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B9EE358-660C-48B4-998F-59E13AA7A6AD" style="width:450.8pt;height:4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before="0" w:after="240"/>
        <w:rPr>
          <w:noProof/>
        </w:rPr>
      </w:pPr>
      <w:bookmarkStart w:id="1" w:name="_GoBack"/>
      <w:bookmarkEnd w:id="1"/>
      <w:r>
        <w:rPr>
          <w:noProof/>
        </w:rPr>
        <w:lastRenderedPageBreak/>
        <w:t>BIJLAGE</w:t>
      </w:r>
    </w:p>
    <w:p>
      <w:pPr>
        <w:spacing w:after="480"/>
        <w:jc w:val="center"/>
        <w:rPr>
          <w:rFonts w:eastAsia="Times New Roman"/>
          <w:i/>
          <w:noProof/>
        </w:rPr>
      </w:pPr>
      <w:r>
        <w:rPr>
          <w:i/>
          <w:noProof/>
        </w:rPr>
        <w:t>De in dit actieplan voorgestelde maatregelen worden of zullen worden uitgevoerd overeenkomstig de beginselen van betere regelgeving, indien nodig met evaluaties en effectbeoordelingen</w:t>
      </w:r>
    </w:p>
    <w:tbl>
      <w:tblPr>
        <w:tblStyle w:val="TableGrid"/>
        <w:tblW w:w="9639" w:type="dxa"/>
        <w:tblInd w:w="-459" w:type="dxa"/>
        <w:tblLook w:val="04A0" w:firstRow="1" w:lastRow="0" w:firstColumn="1" w:lastColumn="0" w:noHBand="0" w:noVBand="1"/>
      </w:tblPr>
      <w:tblGrid>
        <w:gridCol w:w="7067"/>
        <w:gridCol w:w="2572"/>
      </w:tblGrid>
      <w:tr>
        <w:tc>
          <w:tcPr>
            <w:tcW w:w="7067" w:type="dxa"/>
          </w:tcPr>
          <w:p>
            <w:pPr>
              <w:spacing w:before="120" w:after="120"/>
              <w:jc w:val="both"/>
              <w:rPr>
                <w:rFonts w:ascii="Times New Roman" w:eastAsia="Times New Roman" w:hAnsi="Times New Roman" w:cs="Times New Roman"/>
                <w:b/>
                <w:noProof/>
              </w:rPr>
            </w:pPr>
            <w:r>
              <w:rPr>
                <w:rFonts w:ascii="Times New Roman" w:hAnsi="Times New Roman"/>
                <w:b/>
                <w:noProof/>
              </w:rPr>
              <w:t>Belangrijkste door de Commissie te nemen maatregelen</w:t>
            </w:r>
          </w:p>
        </w:tc>
        <w:tc>
          <w:tcPr>
            <w:tcW w:w="2572" w:type="dxa"/>
          </w:tcPr>
          <w:p>
            <w:pPr>
              <w:spacing w:before="120" w:after="120"/>
              <w:jc w:val="both"/>
              <w:rPr>
                <w:rFonts w:ascii="Times New Roman" w:eastAsia="Times New Roman" w:hAnsi="Times New Roman" w:cs="Times New Roman"/>
                <w:b/>
                <w:noProof/>
              </w:rPr>
            </w:pPr>
            <w:r>
              <w:rPr>
                <w:rFonts w:ascii="Times New Roman" w:hAnsi="Times New Roman"/>
                <w:b/>
                <w:noProof/>
              </w:rPr>
              <w:t>Indicatief tijdschema</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EEN SAMENHANGEND NETWERK VAN BESCHERMDE GEBIEDEN</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Criteria en richtsnoeren voor het identificeren en aanwijzen van aanvullende beschermde gebieden en ecologische corridors, voor een passende planning van het beheer en voor hoe andere doeltreffende gebiedsgebonden instandhoudingsmaatregelen en stedelijke vergroening kunnen bijdragen aan de EU-2030-doelstellingen inzake natuurbescherming</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Beoordeling van de vooruitgang die de EU heeft geboekt bij het bereiken van haar doelstellingen voor 2030 inzake beschermde gebieden en betreffende de vraag of aanvullende wetgevings- of andere maatregelen nodig zijn</w:t>
            </w:r>
          </w:p>
        </w:tc>
        <w:tc>
          <w:tcPr>
            <w:tcW w:w="2572" w:type="dxa"/>
          </w:tcPr>
          <w:p>
            <w:pPr>
              <w:spacing w:before="120" w:after="120"/>
              <w:jc w:val="both"/>
              <w:rPr>
                <w:rFonts w:ascii="Times New Roman" w:hAnsi="Times New Roman" w:cs="Times New Roman"/>
                <w:noProof/>
              </w:rPr>
            </w:pPr>
            <w:r>
              <w:rPr>
                <w:rFonts w:ascii="Times New Roman" w:hAnsi="Times New Roman"/>
                <w:noProof/>
              </w:rPr>
              <w:t>tegen 2024</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EEN EU-PLAN VOOR HET HERSTEL VAN DE NATUUR</w:t>
            </w:r>
          </w:p>
        </w:tc>
      </w:tr>
      <w:tr>
        <w:tc>
          <w:tcPr>
            <w:tcW w:w="7067" w:type="dxa"/>
          </w:tcPr>
          <w:p>
            <w:pPr>
              <w:spacing w:before="120" w:after="120"/>
              <w:jc w:val="both"/>
              <w:rPr>
                <w:rFonts w:ascii="Times New Roman" w:eastAsia="Times New Roman" w:hAnsi="Times New Roman" w:cs="Times New Roman"/>
                <w:noProof/>
              </w:rPr>
            </w:pPr>
            <w:r>
              <w:rPr>
                <w:rFonts w:ascii="Times New Roman" w:hAnsi="Times New Roman"/>
                <w:noProof/>
              </w:rPr>
              <w:t>Voorstel voor EU-doelstellingen voor natuurherstel</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Richtsnoeren voor de selectie van soorten en habitats om te waarborgen dat ten minste 30 % van de beschermde soorten en habitats die momenteel niet in een gunstige toestand verkeren, tegen 2030 wel in die categorie terechtkomen of een sterke positieve trend vertonen</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Herziening van de richtlijn betreffende een duurzaam gebruik van pesticiden en versterking van de bepalingen inzake geïntegreerde gewasbescherming</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2022</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Evaluatie en mogelijke herziening van het EU-initiatief inzake bestuivers</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Maatregelen om ervoor te zorgen dat in de strategische GLB-plannen van de lidstaten expliciete nationale waarden worden vastgesteld voor relevante streefdoelen van de biodiversiteits- en de “van boer tot bord”-strategie, onder meer ondersteund door GLB-instrumenten en de uitvoering van de habitatrichtlijn</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Actieplan voor biologische landbouw voor de periode 2021-2026</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Herziening van de thematische strategie voor bodembescherming</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Nieuwe EU-bosstrategie, met een routekaart voor het planten van ten minste 3 miljard extra bomen in de EU tegen 2030</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Het Europees informatiesysteem voor bossen verder ontwikkelen</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Richtsnoeren inzake biodiversiteitsvriendelijke bebossing en herbebossing en bosbouwpraktijken die de natuur respecteren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Evaluatie van de vraag naar en het aanbod aan biomassa in de EU en wereldwijd, en de duurzaamheid ervan</w:t>
            </w:r>
          </w:p>
        </w:tc>
        <w:tc>
          <w:tcPr>
            <w:tcW w:w="2572" w:type="dxa"/>
          </w:tcPr>
          <w:p>
            <w:pPr>
              <w:spacing w:before="120" w:after="120"/>
              <w:jc w:val="both"/>
              <w:rPr>
                <w:rFonts w:ascii="Times New Roman" w:hAnsi="Times New Roman" w:cs="Times New Roman"/>
                <w:noProof/>
              </w:rPr>
            </w:pPr>
            <w:r>
              <w:rPr>
                <w:rFonts w:ascii="Times New Roman" w:hAnsi="Times New Roman"/>
                <w:noProof/>
              </w:rPr>
              <w:t>lopend</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Onderzoek naar de duurzaamheid van het gebruik van bosbiomassa voor de productie van energie</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Operationele richtsnoeren met betrekking tot de nieuwe duurzaamheidscriteria voor het gebruik van bosbiomassa voor energie</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Evaluatie van de gegevens over biobrandstoffen die een hoog risico vormen op het veroorzaken van indirecte veranderingen in landgebruik, en een traject vaststellen voor de geleidelijke afschaffing ervan tegen 2030</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Nieuw actieplan voor de instandhouding van de visbestanden en de bescherming van de mariene ecosystemen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Richtsnoeren en steun voor de lidstaten om locaties te identificeren en financiering te helpen mobiliseren voor het herstel van 25 000 km vrij stromende rivieren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Technische richtsnoeren voor de lidstaten met betrekking tot hun maatregelen om vergunningen voor wateronttrekking en opstuwing te evalueren en de ecologische stromen in de herziene stroomgebiedbeheerplannen te herstellen</w:t>
            </w:r>
          </w:p>
        </w:tc>
        <w:tc>
          <w:tcPr>
            <w:tcW w:w="2572" w:type="dxa"/>
          </w:tcPr>
          <w:p>
            <w:pPr>
              <w:spacing w:before="120" w:after="120"/>
              <w:jc w:val="both"/>
              <w:rPr>
                <w:rFonts w:ascii="Times New Roman" w:hAnsi="Times New Roman" w:cs="Times New Roman"/>
                <w:noProof/>
              </w:rPr>
            </w:pPr>
            <w:r>
              <w:rPr>
                <w:rFonts w:ascii="Times New Roman" w:hAnsi="Times New Roman"/>
                <w:noProof/>
              </w:rPr>
              <w:t>2023</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Oprichting van het EU-platform voor stedelijke vergroening in het kader van een nieuw “Green City Accord” met steden en burgemeesters</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Technische richtsnoeren voor stedelijke vergroening en hulp voor lidstaten, lokale en regionale overheden bij het mobiliseren van financiering en capaciteitsopbouw, onder meer voor het opstellen van plannen voor stedelijke vergroening</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Actieplan voor geïntegreerd nutriëntenbeheer</w:t>
            </w:r>
          </w:p>
        </w:tc>
        <w:tc>
          <w:tcPr>
            <w:tcW w:w="2572" w:type="dxa"/>
          </w:tcPr>
          <w:p>
            <w:pPr>
              <w:spacing w:before="120" w:after="120"/>
              <w:jc w:val="both"/>
              <w:rPr>
                <w:rFonts w:ascii="Times New Roman" w:hAnsi="Times New Roman" w:cs="Times New Roman"/>
                <w:noProof/>
              </w:rPr>
            </w:pPr>
            <w:r>
              <w:rPr>
                <w:rFonts w:ascii="Times New Roman" w:hAnsi="Times New Roman"/>
                <w:noProof/>
              </w:rPr>
              <w:t>2022</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WEZENLIJKE VERANDERINGEN MOGELIJK MAKEN</w:t>
            </w:r>
          </w:p>
        </w:tc>
      </w:tr>
      <w:tr>
        <w:trPr>
          <w:trHeight w:val="753"/>
        </w:trPr>
        <w:tc>
          <w:tcPr>
            <w:tcW w:w="7067" w:type="dxa"/>
          </w:tcPr>
          <w:p>
            <w:pPr>
              <w:spacing w:before="120" w:after="120"/>
              <w:rPr>
                <w:rFonts w:ascii="Times New Roman" w:hAnsi="Times New Roman" w:cs="Times New Roman"/>
                <w:bCs/>
                <w:noProof/>
              </w:rPr>
            </w:pPr>
            <w:r>
              <w:rPr>
                <w:rFonts w:ascii="Times New Roman" w:hAnsi="Times New Roman"/>
                <w:bCs/>
                <w:noProof/>
              </w:rPr>
              <w:t>Beoordeling van de doeltreffendheid van het nieuwe op samenwerking gebaseerde governancekader voor biodiversiteit, en van de noodzaak van een versterkte, juridisch bindende of andere aanpak van governance op het gebied van biodiversiteit</w:t>
            </w:r>
          </w:p>
        </w:tc>
        <w:tc>
          <w:tcPr>
            <w:tcW w:w="2572" w:type="dxa"/>
          </w:tcPr>
          <w:p>
            <w:pPr>
              <w:spacing w:before="120" w:after="120"/>
              <w:jc w:val="both"/>
              <w:rPr>
                <w:rFonts w:ascii="Times New Roman" w:hAnsi="Times New Roman" w:cs="Times New Roman"/>
                <w:noProof/>
              </w:rPr>
            </w:pPr>
            <w:r>
              <w:rPr>
                <w:rFonts w:ascii="Times New Roman" w:hAnsi="Times New Roman"/>
                <w:noProof/>
              </w:rPr>
              <w:t>2023</w:t>
            </w:r>
          </w:p>
        </w:tc>
      </w:tr>
      <w:tr>
        <w:tc>
          <w:tcPr>
            <w:tcW w:w="7067" w:type="dxa"/>
            <w:shd w:val="clear" w:color="auto" w:fill="auto"/>
          </w:tcPr>
          <w:p>
            <w:pPr>
              <w:spacing w:before="120" w:after="120"/>
              <w:jc w:val="both"/>
              <w:rPr>
                <w:rFonts w:ascii="Times New Roman" w:hAnsi="Times New Roman" w:cs="Times New Roman"/>
                <w:bCs/>
                <w:noProof/>
              </w:rPr>
            </w:pPr>
            <w:r>
              <w:rPr>
                <w:rFonts w:ascii="Times New Roman" w:hAnsi="Times New Roman"/>
                <w:bCs/>
                <w:noProof/>
              </w:rPr>
              <w:t>Evaluatie en mogelijke herziening van de richtlijn milieucriminaliteit</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Een nieuw initiatief inzake duurzame corporate governance waarin de </w:t>
            </w:r>
            <w:r>
              <w:rPr>
                <w:rFonts w:ascii="Times New Roman" w:hAnsi="Times New Roman"/>
                <w:bCs/>
                <w:noProof/>
                <w:color w:val="333333"/>
              </w:rPr>
              <w:t>mensenrechten en de milieuzorgplicht</w:t>
            </w:r>
            <w:r>
              <w:rPr>
                <w:rFonts w:ascii="Times New Roman" w:hAnsi="Times New Roman"/>
                <w:noProof/>
              </w:rPr>
              <w:t xml:space="preserve"> en zorgvuldigheidsverplichting in alle economische waardeketens aan bod komen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Helpen bij het opbouwen van een beweging van bedrijven voor de biodiversiteit in de EU</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2020</w:t>
            </w:r>
          </w:p>
        </w:tc>
      </w:tr>
      <w:tr>
        <w:tc>
          <w:tcPr>
            <w:tcW w:w="7067" w:type="dxa"/>
          </w:tcPr>
          <w:p>
            <w:pPr>
              <w:spacing w:before="120" w:after="120"/>
              <w:jc w:val="both"/>
              <w:rPr>
                <w:rFonts w:ascii="Times New Roman" w:hAnsi="Times New Roman" w:cs="Times New Roman"/>
                <w:noProof/>
              </w:rPr>
            </w:pPr>
            <w:r>
              <w:rPr>
                <w:rFonts w:ascii="Times New Roman" w:hAnsi="Times New Roman"/>
                <w:bCs/>
                <w:noProof/>
              </w:rPr>
              <w:t>Vernieuwde strategie voor duurzame financiering</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Gedelegeerde handeling in het kader van de taxonomieverordening om een gemeenschappelijke classificatie vast te stellen van economische activiteiten die een wezenlijke bijdrage leveren tot de bescherming en het herstel van de biodiversiteit en de ecosystemen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Methoden, criteria en normen ontwikkelen om biodiversiteitsoverwegingen beter te integreren in de openbare en zakelijke besluitvorming op alle niveaus, en om de milieuvoetafdruk van producten en organisaties te meten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Een internationaal initiatief inzake boekhoudpraktijken voor natuurlijk kapitaal bevorderen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Een nieuw kenniscentrum voor biodiversiteit oprichten</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Voorstel voor een aanbeveling van de Raad betreffende de bevordering van samenwerking op het gebied van onderwijs in milieuduurzaamheid, met inbegrip van onderwijs in biodiversiteit</w:t>
            </w:r>
          </w:p>
        </w:tc>
        <w:tc>
          <w:tcPr>
            <w:tcW w:w="2572" w:type="dxa"/>
            <w:shd w:val="clear" w:color="auto" w:fill="auto"/>
          </w:tcPr>
          <w:p>
            <w:pPr>
              <w:spacing w:before="120" w:after="120"/>
              <w:jc w:val="both"/>
              <w:rPr>
                <w:rFonts w:ascii="Times New Roman" w:hAnsi="Times New Roman" w:cs="Times New Roman"/>
                <w:noProof/>
              </w:rPr>
            </w:pPr>
            <w:r>
              <w:rPr>
                <w:rFonts w:ascii="Times New Roman" w:hAnsi="Times New Roman"/>
                <w:noProof/>
              </w:rPr>
              <w:t>2021</w:t>
            </w:r>
          </w:p>
        </w:tc>
      </w:tr>
      <w:tr>
        <w:tc>
          <w:tcPr>
            <w:tcW w:w="9639" w:type="dxa"/>
            <w:gridSpan w:val="2"/>
            <w:shd w:val="clear" w:color="auto" w:fill="D9D9D9" w:themeFill="background1" w:themeFillShade="D9"/>
          </w:tcPr>
          <w:p>
            <w:pPr>
              <w:spacing w:before="120" w:after="120"/>
              <w:rPr>
                <w:rFonts w:ascii="Times New Roman" w:eastAsia="Times New Roman" w:hAnsi="Times New Roman" w:cs="Times New Roman"/>
                <w:b/>
                <w:noProof/>
                <w:color w:val="000000" w:themeColor="text1"/>
              </w:rPr>
            </w:pPr>
            <w:r>
              <w:rPr>
                <w:rFonts w:ascii="Times New Roman" w:hAnsi="Times New Roman"/>
                <w:b/>
                <w:noProof/>
              </w:rPr>
              <w:t>DE EUROPESE UNIE VOOR EEN AMBITIEUZE WERELDWIJDE BIODIVERSITEITSAGENDA</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Op de 15e conferentie van de partijen bij het Verdrag inzake biologische diversiteit (CBD COP15) bemiddelen om tot een akkoord over een ambitieus kader voor de biodiversiteit na 2020 te komen</w:t>
            </w:r>
          </w:p>
        </w:tc>
        <w:tc>
          <w:tcPr>
            <w:tcW w:w="2572" w:type="dxa"/>
          </w:tcPr>
          <w:p>
            <w:pPr>
              <w:spacing w:before="120" w:after="120"/>
              <w:jc w:val="both"/>
              <w:rPr>
                <w:rFonts w:ascii="Times New Roman" w:hAnsi="Times New Roman" w:cs="Times New Roman"/>
                <w:noProof/>
              </w:rPr>
            </w:pPr>
            <w:r>
              <w:rPr>
                <w:rFonts w:ascii="Times New Roman" w:hAnsi="Times New Roman"/>
                <w:noProof/>
              </w:rPr>
              <w:t>2020-21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Bemiddelen om tot een ambitieus akkoord te komen over de mariene biologische diversiteit in gebieden voorbij de grenzen van de nationale rechtsmacht en over drie uitgestrekte beschermde mariene gebieden in de Zuidelijke Oceaan</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De gevolgen van handelsovereenkomsten voor de biodiversiteit beoordelen, met vervolgmaatregelen waar nodig</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2020</w:t>
            </w:r>
          </w:p>
        </w:tc>
      </w:tr>
      <w:tr>
        <w:tc>
          <w:tcPr>
            <w:tcW w:w="7067" w:type="dxa"/>
          </w:tcPr>
          <w:p>
            <w:pPr>
              <w:spacing w:before="120" w:after="120"/>
              <w:jc w:val="both"/>
              <w:rPr>
                <w:rFonts w:ascii="Times New Roman" w:hAnsi="Times New Roman" w:cs="Times New Roman"/>
                <w:noProof/>
                <w:szCs w:val="24"/>
              </w:rPr>
            </w:pPr>
            <w:r>
              <w:rPr>
                <w:rFonts w:ascii="Times New Roman" w:hAnsi="Times New Roman"/>
                <w:noProof/>
              </w:rPr>
              <w:t>Maatregelen om het in de EU in de handel brengen van producten die met de ontbossing of de aantasting van de bossen verband houden, te vermijden of tot een minimum te beperken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Evaluatie van het actieplan van de EU tegen de illegale handel in wilde dieren</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Voorstel voor verdere aanscherping van de regels voor de ivoorhandel in de EU</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Het initiatief NaturAfrica ter bescherming van wilde flora en fauna en belangrijke ecosystemen</w:t>
            </w:r>
          </w:p>
        </w:tc>
        <w:tc>
          <w:tcPr>
            <w:tcW w:w="2572" w:type="dxa"/>
          </w:tcPr>
          <w:p>
            <w:pPr>
              <w:spacing w:before="120" w:after="120"/>
              <w:jc w:val="both"/>
              <w:rPr>
                <w:rFonts w:ascii="Times New Roman" w:hAnsi="Times New Roman" w:cs="Times New Roman"/>
                <w:noProof/>
              </w:rPr>
            </w:pPr>
            <w:r>
              <w:rPr>
                <w:rFonts w:ascii="Times New Roman" w:hAnsi="Times New Roman"/>
                <w:noProof/>
              </w:rPr>
              <w:t>vanaf 2021</w:t>
            </w:r>
          </w:p>
        </w:tc>
      </w:tr>
    </w:tbl>
    <w:p>
      <w:pPr>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062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227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77F"/>
    <w:multiLevelType w:val="hybridMultilevel"/>
    <w:tmpl w:val="F3549252"/>
    <w:lvl w:ilvl="0" w:tplc="90CEADFC">
      <w:start w:val="202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4321C"/>
    <w:multiLevelType w:val="multilevel"/>
    <w:tmpl w:val="18A01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880712"/>
    <w:multiLevelType w:val="hybridMultilevel"/>
    <w:tmpl w:val="D2709E76"/>
    <w:lvl w:ilvl="0" w:tplc="0C0EEB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C31AE"/>
    <w:multiLevelType w:val="hybridMultilevel"/>
    <w:tmpl w:val="C7AE0E3A"/>
    <w:lvl w:ilvl="0" w:tplc="506230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14800"/>
    <w:multiLevelType w:val="hybridMultilevel"/>
    <w:tmpl w:val="666A540C"/>
    <w:lvl w:ilvl="0" w:tplc="60C83EAA">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B8160A1"/>
    <w:multiLevelType w:val="hybridMultilevel"/>
    <w:tmpl w:val="E4E6F362"/>
    <w:lvl w:ilvl="0" w:tplc="51F81068">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65145E"/>
    <w:multiLevelType w:val="multilevel"/>
    <w:tmpl w:val="B104831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5682"/>
        </w:tabs>
        <w:ind w:left="568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num w:numId="1">
    <w:abstractNumId w:val="7"/>
  </w:num>
  <w:num w:numId="2">
    <w:abstractNumId w:val="6"/>
  </w:num>
  <w:num w:numId="3">
    <w:abstractNumId w:val="5"/>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nl-NL"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1"/>
    <w:docVar w:name="LW_ANNEX_UNIQUE" w:val="1"/>
    <w:docVar w:name="LW_CORRIGENDUM" w:val="&lt;UNUSED&gt;"/>
    <w:docVar w:name="LW_COVERPAGE_EXISTS" w:val="True"/>
    <w:docVar w:name="LW_COVERPAGE_GUID" w:val="BB9EE358-660C-48B4-998F-59E13AA7A6AD"/>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EU-biodiversiteitsstrategie voor 2030_x000d__x000d__x000d__x000d__x000d__x000d__x000d__x000d__x000b__x000d__x000d__x000d__x000b_De natuur terug in ons leven brengen"/>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RAAD, HET EUROPEES ECONOMISCH EN SOCIAAL COMITÉ EN HET COMITÉ VAN DE REGIO'S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qFormat/>
    <w:pPr>
      <w:keepNext/>
      <w:tabs>
        <w:tab w:val="num" w:pos="709"/>
      </w:tabs>
      <w:spacing w:after="240" w:line="240" w:lineRule="auto"/>
      <w:ind w:left="709" w:hanging="709"/>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0"/>
    <w:qFormat/>
    <w:pPr>
      <w:keepNext/>
      <w:tabs>
        <w:tab w:val="num" w:pos="1922"/>
      </w:tabs>
      <w:spacing w:after="240" w:line="240" w:lineRule="auto"/>
      <w:ind w:left="1922" w:hanging="720"/>
      <w:jc w:val="both"/>
      <w:outlineLvl w:val="3"/>
    </w:pPr>
    <w:rPr>
      <w:rFonts w:ascii="Times New Roman" w:eastAsia="Times New Roman" w:hAnsi="Times New Roman" w:cs="Times New Roman"/>
      <w:sz w:val="24"/>
      <w:szCs w:val="20"/>
      <w:lang w:eastAsia="en-IE"/>
    </w:rPr>
  </w:style>
  <w:style w:type="paragraph" w:styleId="Heading5">
    <w:name w:val="heading 5"/>
    <w:basedOn w:val="Normal"/>
    <w:next w:val="Normal"/>
    <w:link w:val="Heading5Char"/>
    <w:semiHidden/>
    <w:pPr>
      <w:keepNext/>
      <w:tabs>
        <w:tab w:val="num" w:pos="2880"/>
      </w:tabs>
      <w:spacing w:after="240" w:line="240" w:lineRule="auto"/>
      <w:ind w:left="3838" w:hanging="958"/>
      <w:jc w:val="both"/>
      <w:outlineLvl w:val="4"/>
    </w:pPr>
    <w:rPr>
      <w:rFonts w:ascii="Times New Roman" w:eastAsia="Times New Roman" w:hAnsi="Times New Roman" w:cs="Times New Roman"/>
      <w:sz w:val="24"/>
      <w:szCs w:val="20"/>
      <w:lang w:eastAsia="en-IE"/>
    </w:rPr>
  </w:style>
  <w:style w:type="paragraph" w:styleId="Heading6">
    <w:name w:val="heading 6"/>
    <w:basedOn w:val="Normal"/>
    <w:next w:val="Normal"/>
    <w:link w:val="Heading6Char"/>
    <w:semiHidden/>
    <w:pPr>
      <w:keepNext/>
      <w:tabs>
        <w:tab w:val="num" w:pos="2880"/>
      </w:tabs>
      <w:spacing w:after="240" w:line="240" w:lineRule="auto"/>
      <w:ind w:left="3838" w:hanging="958"/>
      <w:jc w:val="both"/>
      <w:outlineLvl w:val="5"/>
    </w:pPr>
    <w:rPr>
      <w:rFonts w:ascii="Times New Roman" w:eastAsia="Times New Roman" w:hAnsi="Times New Roman" w:cs="Times New Roman"/>
      <w:sz w:val="24"/>
      <w:szCs w:val="20"/>
      <w:lang w:eastAsia="en-IE"/>
    </w:rPr>
  </w:style>
  <w:style w:type="paragraph" w:styleId="Heading7">
    <w:name w:val="heading 7"/>
    <w:basedOn w:val="Normal"/>
    <w:next w:val="Normal"/>
    <w:link w:val="Heading7Char"/>
    <w:semiHidden/>
    <w:pPr>
      <w:keepNext/>
      <w:tabs>
        <w:tab w:val="num" w:pos="2880"/>
      </w:tabs>
      <w:spacing w:after="240" w:line="240" w:lineRule="auto"/>
      <w:ind w:left="3838" w:hanging="958"/>
      <w:jc w:val="both"/>
      <w:outlineLvl w:val="6"/>
    </w:pPr>
    <w:rPr>
      <w:rFonts w:ascii="Times New Roman" w:eastAsia="Times New Roman" w:hAnsi="Times New Roman" w:cs="Times New Roman"/>
      <w:sz w:val="24"/>
      <w:szCs w:val="20"/>
      <w:lang w:eastAsia="en-IE"/>
    </w:rPr>
  </w:style>
  <w:style w:type="paragraph" w:styleId="Heading8">
    <w:name w:val="heading 8"/>
    <w:basedOn w:val="Normal"/>
    <w:next w:val="Normal"/>
    <w:link w:val="Heading8Char"/>
    <w:semiHidden/>
    <w:pPr>
      <w:keepNext/>
      <w:tabs>
        <w:tab w:val="num" w:pos="2880"/>
      </w:tabs>
      <w:spacing w:after="240" w:line="240" w:lineRule="auto"/>
      <w:ind w:left="3838" w:hanging="958"/>
      <w:jc w:val="both"/>
      <w:outlineLvl w:val="7"/>
    </w:pPr>
    <w:rPr>
      <w:rFonts w:ascii="Times New Roman" w:eastAsia="Times New Roman" w:hAnsi="Times New Roman" w:cs="Times New Roman"/>
      <w:sz w:val="24"/>
      <w:szCs w:val="20"/>
      <w:lang w:eastAsia="en-IE"/>
    </w:rPr>
  </w:style>
  <w:style w:type="paragraph" w:styleId="Heading9">
    <w:name w:val="heading 9"/>
    <w:basedOn w:val="Normal"/>
    <w:next w:val="Normal"/>
    <w:link w:val="Heading9Char"/>
    <w:semiHidden/>
    <w:pPr>
      <w:keepNext/>
      <w:tabs>
        <w:tab w:val="num" w:pos="2880"/>
      </w:tabs>
      <w:spacing w:after="240" w:line="240" w:lineRule="auto"/>
      <w:ind w:left="3838" w:hanging="958"/>
      <w:jc w:val="both"/>
      <w:outlineLvl w:val="8"/>
    </w:pPr>
    <w:rPr>
      <w:rFonts w:ascii="Times New Roman" w:eastAsia="Times New Roman" w:hAnsi="Times New Roman" w:cs="Times New Roman"/>
      <w:sz w:val="24"/>
      <w:szCs w:val="20"/>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FooterLine">
    <w:name w:val="Footer Line"/>
    <w:basedOn w:val="Footer"/>
    <w:next w:val="Footer"/>
    <w:uiPriority w:val="99"/>
    <w:pPr>
      <w:tabs>
        <w:tab w:val="clear" w:pos="4680"/>
        <w:tab w:val="clear" w:pos="9360"/>
        <w:tab w:val="right" w:pos="8646"/>
      </w:tabs>
      <w:spacing w:before="120" w:line="264" w:lineRule="auto"/>
      <w:jc w:val="both"/>
    </w:pPr>
    <w:rPr>
      <w:rFonts w:ascii="Times New Roman" w:eastAsia="Times New Roman" w:hAnsi="Times New Roman" w:cs="Times New Roman"/>
      <w:sz w:val="16"/>
      <w:szCs w:val="20"/>
      <w:lang w:eastAsia="en-IE"/>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Fußnotentextf,f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IE"/>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jc w:val="both"/>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style>
  <w:style w:type="paragraph" w:customStyle="1" w:styleId="FigureBody">
    <w:name w:val="Figure Body"/>
    <w:basedOn w:val="Normal"/>
    <w:uiPriority w:val="7"/>
    <w:pPr>
      <w:keepNext/>
      <w:spacing w:after="40" w:line="240" w:lineRule="auto"/>
      <w:jc w:val="both"/>
    </w:pPr>
    <w:rPr>
      <w:rFonts w:ascii="Times New Roman" w:hAnsi="Times New Roman" w:cs="Times New Roman"/>
      <w:sz w:val="24"/>
      <w:szCs w:val="24"/>
      <w:lang w:eastAsia="en-GB"/>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qFormat/>
    <w:pPr>
      <w:keepNext/>
      <w:tabs>
        <w:tab w:val="num" w:pos="709"/>
      </w:tabs>
      <w:spacing w:after="240" w:line="240" w:lineRule="auto"/>
      <w:ind w:left="709" w:hanging="709"/>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0"/>
    <w:qFormat/>
    <w:pPr>
      <w:keepNext/>
      <w:tabs>
        <w:tab w:val="num" w:pos="1922"/>
      </w:tabs>
      <w:spacing w:after="240" w:line="240" w:lineRule="auto"/>
      <w:ind w:left="1922" w:hanging="720"/>
      <w:jc w:val="both"/>
      <w:outlineLvl w:val="3"/>
    </w:pPr>
    <w:rPr>
      <w:rFonts w:ascii="Times New Roman" w:eastAsia="Times New Roman" w:hAnsi="Times New Roman" w:cs="Times New Roman"/>
      <w:sz w:val="24"/>
      <w:szCs w:val="20"/>
      <w:lang w:eastAsia="en-IE"/>
    </w:rPr>
  </w:style>
  <w:style w:type="paragraph" w:styleId="Heading5">
    <w:name w:val="heading 5"/>
    <w:basedOn w:val="Normal"/>
    <w:next w:val="Normal"/>
    <w:link w:val="Heading5Char"/>
    <w:semiHidden/>
    <w:pPr>
      <w:keepNext/>
      <w:tabs>
        <w:tab w:val="num" w:pos="2880"/>
      </w:tabs>
      <w:spacing w:after="240" w:line="240" w:lineRule="auto"/>
      <w:ind w:left="3838" w:hanging="958"/>
      <w:jc w:val="both"/>
      <w:outlineLvl w:val="4"/>
    </w:pPr>
    <w:rPr>
      <w:rFonts w:ascii="Times New Roman" w:eastAsia="Times New Roman" w:hAnsi="Times New Roman" w:cs="Times New Roman"/>
      <w:sz w:val="24"/>
      <w:szCs w:val="20"/>
      <w:lang w:eastAsia="en-IE"/>
    </w:rPr>
  </w:style>
  <w:style w:type="paragraph" w:styleId="Heading6">
    <w:name w:val="heading 6"/>
    <w:basedOn w:val="Normal"/>
    <w:next w:val="Normal"/>
    <w:link w:val="Heading6Char"/>
    <w:semiHidden/>
    <w:pPr>
      <w:keepNext/>
      <w:tabs>
        <w:tab w:val="num" w:pos="2880"/>
      </w:tabs>
      <w:spacing w:after="240" w:line="240" w:lineRule="auto"/>
      <w:ind w:left="3838" w:hanging="958"/>
      <w:jc w:val="both"/>
      <w:outlineLvl w:val="5"/>
    </w:pPr>
    <w:rPr>
      <w:rFonts w:ascii="Times New Roman" w:eastAsia="Times New Roman" w:hAnsi="Times New Roman" w:cs="Times New Roman"/>
      <w:sz w:val="24"/>
      <w:szCs w:val="20"/>
      <w:lang w:eastAsia="en-IE"/>
    </w:rPr>
  </w:style>
  <w:style w:type="paragraph" w:styleId="Heading7">
    <w:name w:val="heading 7"/>
    <w:basedOn w:val="Normal"/>
    <w:next w:val="Normal"/>
    <w:link w:val="Heading7Char"/>
    <w:semiHidden/>
    <w:pPr>
      <w:keepNext/>
      <w:tabs>
        <w:tab w:val="num" w:pos="2880"/>
      </w:tabs>
      <w:spacing w:after="240" w:line="240" w:lineRule="auto"/>
      <w:ind w:left="3838" w:hanging="958"/>
      <w:jc w:val="both"/>
      <w:outlineLvl w:val="6"/>
    </w:pPr>
    <w:rPr>
      <w:rFonts w:ascii="Times New Roman" w:eastAsia="Times New Roman" w:hAnsi="Times New Roman" w:cs="Times New Roman"/>
      <w:sz w:val="24"/>
      <w:szCs w:val="20"/>
      <w:lang w:eastAsia="en-IE"/>
    </w:rPr>
  </w:style>
  <w:style w:type="paragraph" w:styleId="Heading8">
    <w:name w:val="heading 8"/>
    <w:basedOn w:val="Normal"/>
    <w:next w:val="Normal"/>
    <w:link w:val="Heading8Char"/>
    <w:semiHidden/>
    <w:pPr>
      <w:keepNext/>
      <w:tabs>
        <w:tab w:val="num" w:pos="2880"/>
      </w:tabs>
      <w:spacing w:after="240" w:line="240" w:lineRule="auto"/>
      <w:ind w:left="3838" w:hanging="958"/>
      <w:jc w:val="both"/>
      <w:outlineLvl w:val="7"/>
    </w:pPr>
    <w:rPr>
      <w:rFonts w:ascii="Times New Roman" w:eastAsia="Times New Roman" w:hAnsi="Times New Roman" w:cs="Times New Roman"/>
      <w:sz w:val="24"/>
      <w:szCs w:val="20"/>
      <w:lang w:eastAsia="en-IE"/>
    </w:rPr>
  </w:style>
  <w:style w:type="paragraph" w:styleId="Heading9">
    <w:name w:val="heading 9"/>
    <w:basedOn w:val="Normal"/>
    <w:next w:val="Normal"/>
    <w:link w:val="Heading9Char"/>
    <w:semiHidden/>
    <w:pPr>
      <w:keepNext/>
      <w:tabs>
        <w:tab w:val="num" w:pos="2880"/>
      </w:tabs>
      <w:spacing w:after="240" w:line="240" w:lineRule="auto"/>
      <w:ind w:left="3838" w:hanging="958"/>
      <w:jc w:val="both"/>
      <w:outlineLvl w:val="8"/>
    </w:pPr>
    <w:rPr>
      <w:rFonts w:ascii="Times New Roman" w:eastAsia="Times New Roman" w:hAnsi="Times New Roman" w:cs="Times New Roman"/>
      <w:sz w:val="24"/>
      <w:szCs w:val="20"/>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FooterLine">
    <w:name w:val="Footer Line"/>
    <w:basedOn w:val="Footer"/>
    <w:next w:val="Footer"/>
    <w:uiPriority w:val="99"/>
    <w:pPr>
      <w:tabs>
        <w:tab w:val="clear" w:pos="4680"/>
        <w:tab w:val="clear" w:pos="9360"/>
        <w:tab w:val="right" w:pos="8646"/>
      </w:tabs>
      <w:spacing w:before="120" w:line="264" w:lineRule="auto"/>
      <w:jc w:val="both"/>
    </w:pPr>
    <w:rPr>
      <w:rFonts w:ascii="Times New Roman" w:eastAsia="Times New Roman" w:hAnsi="Times New Roman" w:cs="Times New Roman"/>
      <w:sz w:val="16"/>
      <w:szCs w:val="20"/>
      <w:lang w:eastAsia="en-IE"/>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Fußnotentextf,f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IE"/>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jc w:val="both"/>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style>
  <w:style w:type="paragraph" w:customStyle="1" w:styleId="FigureBody">
    <w:name w:val="Figure Body"/>
    <w:basedOn w:val="Normal"/>
    <w:uiPriority w:val="7"/>
    <w:pPr>
      <w:keepNext/>
      <w:spacing w:after="40" w:line="240" w:lineRule="auto"/>
      <w:jc w:val="both"/>
    </w:pPr>
    <w:rPr>
      <w:rFonts w:ascii="Times New Roman" w:hAnsi="Times New Roman" w:cs="Times New Roman"/>
      <w:sz w:val="24"/>
      <w:szCs w:val="24"/>
      <w:lang w:eastAsia="en-GB"/>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7C48A6-3C4C-4910-8311-8D524905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5520</Characters>
  <Application>Microsoft Office Word</Application>
  <DocSecurity>0</DocSecurity>
  <Lines>149</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2020-05-19T09:51:00Z</dcterms:created>
  <dcterms:modified xsi:type="dcterms:W3CDTF">2020-06-04T07:22:00Z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