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17" w:rsidRDefault="008A798B" w:rsidP="008A798B">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50F1A13-FCD4-41F8-A376-38D935B1E602" style="width:450.4pt;height:400.85pt">
            <v:imagedata r:id="rId8" o:title=""/>
          </v:shape>
        </w:pict>
      </w:r>
    </w:p>
    <w:bookmarkEnd w:id="0"/>
    <w:p w:rsidR="007B3017" w:rsidRDefault="007B3017">
      <w:pPr>
        <w:rPr>
          <w:noProof/>
        </w:rPr>
        <w:sectPr w:rsidR="007B3017" w:rsidSect="008A798B">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rsidR="008A798B" w:rsidRPr="008A798B" w:rsidRDefault="008A798B" w:rsidP="008A798B">
      <w:pPr>
        <w:pStyle w:val="Typedudocument"/>
      </w:pPr>
      <w:bookmarkStart w:id="1" w:name="_GoBack"/>
      <w:bookmarkEnd w:id="1"/>
      <w:r w:rsidRPr="008A798B">
        <w:lastRenderedPageBreak/>
        <w:t>KOMISJONI ARUANNE</w:t>
      </w:r>
    </w:p>
    <w:p w:rsidR="008A798B" w:rsidRPr="008A798B" w:rsidRDefault="008A798B" w:rsidP="008A798B">
      <w:pPr>
        <w:pStyle w:val="Titreobjet"/>
      </w:pPr>
      <w:r w:rsidRPr="008A798B">
        <w:t xml:space="preserve">Läti </w:t>
      </w:r>
      <w:r w:rsidRPr="008A798B">
        <w:br/>
        <w:t xml:space="preserve"> </w:t>
      </w:r>
      <w:r w:rsidRPr="008A798B">
        <w:br/>
        <w:t>Euroopa Liidu toimimise lepingu artikli 126 lõike 3 kohaselt koostatud aruanne</w:t>
      </w:r>
    </w:p>
    <w:p w:rsidR="007B3017" w:rsidRDefault="008A798B">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rFonts w:ascii="Times New Roman" w:hAnsi="Times New Roman"/>
          <w:b/>
          <w:smallCaps/>
          <w:noProof/>
          <w:sz w:val="24"/>
        </w:rPr>
        <w:t>.</w:t>
      </w:r>
      <w:r>
        <w:rPr>
          <w:noProof/>
        </w:rPr>
        <w:tab/>
      </w:r>
      <w:r>
        <w:rPr>
          <w:rFonts w:ascii="Times New Roman" w:hAnsi="Times New Roman"/>
          <w:b/>
          <w:smallCaps/>
          <w:noProof/>
          <w:sz w:val="24"/>
        </w:rPr>
        <w:t xml:space="preserve">Sissejuhatus </w:t>
      </w:r>
    </w:p>
    <w:p w:rsidR="007B3017" w:rsidRDefault="008A798B">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20. märtsil 2020 </w:t>
      </w:r>
      <w:r>
        <w:rPr>
          <w:rFonts w:ascii="Times New Roman" w:hAnsi="Times New Roman"/>
          <w:noProof/>
          <w:sz w:val="24"/>
          <w:szCs w:val="24"/>
        </w:rPr>
        <w:t>võttis komisjon vastu teatise stabiilsuse ja kasvu pakti üldise vabastusklausli aktiveerimise kohta. Määruse (EÜ) nr 1466/97 artikli 5 lõikes 1, artikli 6 lõikes 3, artikli 9 lõikes 1 ja artikli 10 lõikes 3 ning määruse (EÜ) 1467/97 artikli 3 lõikes 5 ja a</w:t>
      </w:r>
      <w:r>
        <w:rPr>
          <w:rFonts w:ascii="Times New Roman" w:hAnsi="Times New Roman"/>
          <w:noProof/>
          <w:sz w:val="24"/>
          <w:szCs w:val="24"/>
        </w:rPr>
        <w:t>rtikli 5 lõikes 2 sätestatud klausel hõlbustab eelarvepoliitika koordineerimist tõsise majandussurutise korral. Komisjon jagas oma teatises nõukoguga seisukohta, et arvestades COVID-19 puhangust tingitud eeldatavat tõsist majandussurutist, võimaldab praegu</w:t>
      </w:r>
      <w:r>
        <w:rPr>
          <w:rFonts w:ascii="Times New Roman" w:hAnsi="Times New Roman"/>
          <w:noProof/>
          <w:sz w:val="24"/>
          <w:szCs w:val="24"/>
        </w:rPr>
        <w:t>ne olukord klausli aktiveerida. 23. märtsil 2020 nõustusid liikmesriikide rahandusministrid komisjoni hinnanguga. Üldise vabastusklausli aktiveerimine võimaldab ajutiselt kõrvale kalduda keskpika perioodi eelarve-eesmärgi saavutamiseks nõutavast kohandamis</w:t>
      </w:r>
      <w:r>
        <w:rPr>
          <w:rFonts w:ascii="Times New Roman" w:hAnsi="Times New Roman"/>
          <w:noProof/>
          <w:sz w:val="24"/>
          <w:szCs w:val="24"/>
        </w:rPr>
        <w:t>kavast, tingimusel et see ei ohusta riigi rahanduse jätkusuutlikkust keskpikas perspektiivis. Parandusliku osa puhul võib nõukogu teha komisjoni soovituse alusel ka otsuse võtta vastu muudetud eelarvekurss. Üldine vabastusklausel ei peata stabiilsuse ja ka</w:t>
      </w:r>
      <w:r>
        <w:rPr>
          <w:rFonts w:ascii="Times New Roman" w:hAnsi="Times New Roman"/>
          <w:noProof/>
          <w:sz w:val="24"/>
          <w:szCs w:val="24"/>
        </w:rPr>
        <w:t>svu pakti kohaseid menetlusi. See võimaldab liikmesriikidel kalduda kõrvale tavapäraselt kohaldatavatest eelarvenõuetest ning komisjonil ja nõukogul võtta pakti raames vajalikke poliitika koordineerimise meetmeid.</w:t>
      </w:r>
    </w:p>
    <w:p w:rsidR="007B3017" w:rsidRDefault="008A798B">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Andmed, mille Läti ametiasutused esitasid </w:t>
      </w:r>
      <w:r>
        <w:rPr>
          <w:rFonts w:ascii="Times New Roman" w:hAnsi="Times New Roman"/>
          <w:noProof/>
          <w:sz w:val="24"/>
          <w:szCs w:val="24"/>
        </w:rPr>
        <w:t>31. märtsil 2020 ja mille Eurostat seejärel kinnitas,</w:t>
      </w:r>
      <w:r>
        <w:rPr>
          <w:rStyle w:val="FootnoteReference"/>
          <w:rFonts w:eastAsiaTheme="minorHAnsi"/>
          <w:noProof/>
        </w:rPr>
        <w:footnoteReference w:id="2"/>
      </w:r>
      <w:r>
        <w:rPr>
          <w:rFonts w:ascii="Times New Roman" w:hAnsi="Times New Roman"/>
          <w:noProof/>
          <w:sz w:val="24"/>
          <w:szCs w:val="24"/>
        </w:rPr>
        <w:t xml:space="preserve"> näitavad, et Läti valitsemissektori eelarvepuudujääk oli 2019. aastal 0,2 % SKPst, samal ajal kui valitsemissektori koguvõlg oli 36,9 % SKPst. 2020. aasta stabiilsusprogrammi kohaselt kavandab Läti 202</w:t>
      </w:r>
      <w:r>
        <w:rPr>
          <w:rFonts w:ascii="Times New Roman" w:hAnsi="Times New Roman"/>
          <w:noProof/>
          <w:sz w:val="24"/>
          <w:szCs w:val="24"/>
        </w:rPr>
        <w:t>0. aastal eelarvepuudujäägiks 9,4 % SKPst ja võlatasemeks 51,7 % SKPst.</w:t>
      </w:r>
    </w:p>
    <w:p w:rsidR="007B3017" w:rsidRDefault="008A798B">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2020. aastaks kavandatud eelarvepuudujääk on esmapilgul usutav tõend stabiilsuse ja kasvu paktis määratletud ülemäärase eelarvepuudujäägi olemasolu kohta.</w:t>
      </w:r>
    </w:p>
    <w:p w:rsidR="007B3017" w:rsidRDefault="008A798B">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Seoses sellega on komisjon </w:t>
      </w:r>
      <w:r>
        <w:rPr>
          <w:rFonts w:ascii="Times New Roman" w:hAnsi="Times New Roman"/>
          <w:noProof/>
          <w:sz w:val="24"/>
          <w:szCs w:val="24"/>
        </w:rPr>
        <w:t>koostanud käesoleva aruande, milles analüüsitakse, kas Läti täidab aluslepingukohast eelarvepuudujäägi ja võlakriteeriumi. Võlakriteeriumi võib pidada täidetuks, kuna võla suhe jääb allapoole aluslepingus sätestatud kontrollväärtust 60 % SKPst. Aruandes võ</w:t>
      </w:r>
      <w:r>
        <w:rPr>
          <w:rFonts w:ascii="Times New Roman" w:hAnsi="Times New Roman"/>
          <w:noProof/>
          <w:sz w:val="24"/>
          <w:szCs w:val="24"/>
        </w:rPr>
        <w:t>etakse arvesse kõiki asjakohaseid tegureid ja COVID-19 pandeemiast tingitud suurt majandusšokki.</w:t>
      </w:r>
    </w:p>
    <w:p w:rsidR="007B3017" w:rsidRDefault="008A798B">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Tabel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Valitsemissektori eelarvepuudujääk ja võlg (% SKPst)</w:t>
      </w:r>
    </w:p>
    <w:tbl>
      <w:tblPr>
        <w:tblStyle w:val="TableGrid"/>
        <w:tblW w:w="0" w:type="auto"/>
        <w:tblLook w:val="04A0" w:firstRow="1" w:lastRow="0" w:firstColumn="1" w:lastColumn="0" w:noHBand="0" w:noVBand="1"/>
      </w:tblPr>
      <w:tblGrid>
        <w:gridCol w:w="1717"/>
        <w:gridCol w:w="1617"/>
        <w:gridCol w:w="977"/>
        <w:gridCol w:w="977"/>
        <w:gridCol w:w="977"/>
        <w:gridCol w:w="977"/>
        <w:gridCol w:w="1000"/>
        <w:gridCol w:w="1000"/>
      </w:tblGrid>
      <w:tr w:rsidR="007B3017">
        <w:trPr>
          <w:trHeight w:val="603"/>
        </w:trPr>
        <w:tc>
          <w:tcPr>
            <w:tcW w:w="1154" w:type="dxa"/>
          </w:tcPr>
          <w:p w:rsidR="007B3017" w:rsidRDefault="007B3017">
            <w:pPr>
              <w:keepNext/>
              <w:jc w:val="center"/>
              <w:rPr>
                <w:rFonts w:ascii="Times New Roman" w:eastAsia="Times New Roman" w:hAnsi="Times New Roman" w:cs="Calibri"/>
                <w:noProof/>
                <w:sz w:val="20"/>
                <w:szCs w:val="20"/>
                <w:lang w:eastAsia="en-GB"/>
              </w:rPr>
            </w:pPr>
          </w:p>
        </w:tc>
        <w:tc>
          <w:tcPr>
            <w:tcW w:w="1172" w:type="dxa"/>
          </w:tcPr>
          <w:p w:rsidR="007B3017" w:rsidRDefault="007B3017">
            <w:pPr>
              <w:keepNext/>
              <w:jc w:val="center"/>
              <w:rPr>
                <w:rFonts w:ascii="Times New Roman" w:eastAsia="Times New Roman" w:hAnsi="Times New Roman" w:cs="Calibri"/>
                <w:noProof/>
                <w:sz w:val="20"/>
                <w:szCs w:val="20"/>
                <w:lang w:eastAsia="en-GB"/>
              </w:rPr>
            </w:pPr>
          </w:p>
        </w:tc>
        <w:tc>
          <w:tcPr>
            <w:tcW w:w="115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4"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rsidR="007B3017">
        <w:tc>
          <w:tcPr>
            <w:tcW w:w="1154"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Eelarvepuudujäägi kriteerium</w:t>
            </w:r>
          </w:p>
        </w:tc>
        <w:tc>
          <w:tcPr>
            <w:tcW w:w="117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Valitsemissektori eelarvepositsioon</w:t>
            </w:r>
          </w:p>
        </w:tc>
        <w:tc>
          <w:tcPr>
            <w:tcW w:w="115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4"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-7,3</w:t>
            </w:r>
          </w:p>
        </w:tc>
        <w:tc>
          <w:tcPr>
            <w:tcW w:w="1154"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-4,5</w:t>
            </w:r>
          </w:p>
        </w:tc>
      </w:tr>
      <w:tr w:rsidR="007B3017">
        <w:tc>
          <w:tcPr>
            <w:tcW w:w="1154"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Võlakriteerium</w:t>
            </w:r>
          </w:p>
        </w:tc>
        <w:tc>
          <w:tcPr>
            <w:tcW w:w="117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Valitsemissektori koguvõlg</w:t>
            </w:r>
          </w:p>
        </w:tc>
        <w:tc>
          <w:tcPr>
            <w:tcW w:w="115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40,9</w:t>
            </w:r>
          </w:p>
        </w:tc>
        <w:tc>
          <w:tcPr>
            <w:tcW w:w="115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39,3</w:t>
            </w:r>
          </w:p>
        </w:tc>
        <w:tc>
          <w:tcPr>
            <w:tcW w:w="115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37,2</w:t>
            </w:r>
          </w:p>
        </w:tc>
        <w:tc>
          <w:tcPr>
            <w:tcW w:w="1152"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36,9</w:t>
            </w:r>
          </w:p>
        </w:tc>
        <w:tc>
          <w:tcPr>
            <w:tcW w:w="1154"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43,1</w:t>
            </w:r>
          </w:p>
        </w:tc>
        <w:tc>
          <w:tcPr>
            <w:tcW w:w="1154" w:type="dxa"/>
          </w:tcPr>
          <w:p w:rsidR="007B3017" w:rsidRDefault="008A798B">
            <w:pPr>
              <w:keepNext/>
              <w:jc w:val="center"/>
              <w:rPr>
                <w:rFonts w:ascii="Times New Roman" w:eastAsia="Times New Roman" w:hAnsi="Times New Roman" w:cs="Calibri"/>
                <w:noProof/>
                <w:sz w:val="20"/>
                <w:szCs w:val="20"/>
              </w:rPr>
            </w:pPr>
            <w:r>
              <w:rPr>
                <w:rFonts w:ascii="Times New Roman" w:hAnsi="Times New Roman"/>
                <w:noProof/>
                <w:sz w:val="20"/>
                <w:szCs w:val="20"/>
              </w:rPr>
              <w:t>43,7</w:t>
            </w:r>
          </w:p>
        </w:tc>
      </w:tr>
    </w:tbl>
    <w:p w:rsidR="007B3017" w:rsidRDefault="008A798B">
      <w:pPr>
        <w:keepNext/>
        <w:spacing w:after="0" w:line="240" w:lineRule="auto"/>
        <w:rPr>
          <w:rFonts w:ascii="Times New Roman" w:eastAsia="Times New Roman" w:hAnsi="Times New Roman" w:cs="Calibri"/>
          <w:noProof/>
          <w:sz w:val="24"/>
        </w:rPr>
      </w:pPr>
      <w:r>
        <w:rPr>
          <w:rFonts w:ascii="Times New Roman" w:hAnsi="Times New Roman"/>
          <w:noProof/>
          <w:sz w:val="20"/>
          <w:szCs w:val="20"/>
        </w:rPr>
        <w:t>Allikas: Eurostat, komisjoni 2020. aasta kevadprognoos</w:t>
      </w:r>
    </w:p>
    <w:p w:rsidR="007B3017" w:rsidRDefault="008A798B">
      <w:pPr>
        <w:pStyle w:val="ManualHeading1"/>
        <w:rPr>
          <w:noProof/>
        </w:rPr>
      </w:pPr>
      <w:r>
        <w:rPr>
          <w:smallCaps w:val="0"/>
          <w:noProof/>
        </w:rPr>
        <w:t>2.</w:t>
      </w:r>
      <w:r>
        <w:rPr>
          <w:noProof/>
        </w:rPr>
        <w:tab/>
        <w:t>Eelarvepuudujäägi kriteerium</w:t>
      </w:r>
    </w:p>
    <w:p w:rsidR="007B3017" w:rsidRDefault="008A798B">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2020. aasta </w:t>
      </w:r>
      <w:r>
        <w:rPr>
          <w:rFonts w:ascii="Times New Roman" w:hAnsi="Times New Roman"/>
          <w:noProof/>
          <w:sz w:val="24"/>
          <w:szCs w:val="24"/>
        </w:rPr>
        <w:t>stabiilsusprogrammi kohaselt jõuab Läti valitsemissektori eelarvepuudujääk 2020. aastal 9,4 %ni SKPst, mis ületab oluliselt aluslepingus sätestatud kontrollväärtust 3 % SKPst.</w:t>
      </w:r>
    </w:p>
    <w:p w:rsidR="007B3017" w:rsidRDefault="008A798B">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Kontrollväärtuse kavandatav ületamine 2020. aastal on erandlik, kuna selle põhju</w:t>
      </w:r>
      <w:r>
        <w:rPr>
          <w:rFonts w:ascii="Times New Roman" w:hAnsi="Times New Roman"/>
          <w:noProof/>
          <w:sz w:val="24"/>
          <w:szCs w:val="24"/>
        </w:rPr>
        <w:t>seks on tõsine majandussurutis. Võttes arvesse COVID-19 pandeemia mõju, prognoositakse komisjoni 2020. aasta kevadprognoosis, et reaalne SKP väheneb 2020. aastal 7,0 %.</w:t>
      </w:r>
    </w:p>
    <w:p w:rsidR="007B3017" w:rsidRDefault="008A798B">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Aluslepingu kontrollväärtuse kavandatud ületamine ei ole komisjoni 2020. aasta kevadpro</w:t>
      </w:r>
      <w:r>
        <w:rPr>
          <w:rFonts w:ascii="Times New Roman" w:hAnsi="Times New Roman"/>
          <w:noProof/>
          <w:sz w:val="24"/>
          <w:szCs w:val="24"/>
        </w:rPr>
        <w:t>gnoosi kohaselt ajutine, kuna prognoosi kohaselt jääb eelarvepuudujääk suuremaks kui 3 % SKPst ka 2021. aastal.</w:t>
      </w:r>
    </w:p>
    <w:p w:rsidR="007B3017" w:rsidRDefault="008A798B">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Kokkuvõttes on 2020. aastaks kavandatud puudujääk suurem kui asutamislepingus sätestatud kontrollväärtus 3 % SKPst ega ole selle lähedal. Kontro</w:t>
      </w:r>
      <w:r>
        <w:rPr>
          <w:rFonts w:ascii="Times New Roman" w:hAnsi="Times New Roman"/>
          <w:noProof/>
          <w:sz w:val="24"/>
          <w:szCs w:val="24"/>
        </w:rPr>
        <w:t xml:space="preserve">llväärtuse kavandatud ületamist peetakse erandlikuks, kuid mitte ajutiseks, nagu on määratletud asutamislepingus ning stabiilsuse ja kasvu paktis. Seega näitab analüüs, et </w:t>
      </w:r>
      <w:r>
        <w:rPr>
          <w:rFonts w:ascii="Times New Roman" w:hAnsi="Times New Roman"/>
          <w:bCs/>
          <w:noProof/>
          <w:sz w:val="24"/>
        </w:rPr>
        <w:t>esmapilgul</w:t>
      </w:r>
      <w:r>
        <w:rPr>
          <w:rFonts w:ascii="Times New Roman" w:hAnsi="Times New Roman"/>
          <w:noProof/>
          <w:sz w:val="24"/>
          <w:szCs w:val="24"/>
        </w:rPr>
        <w:t xml:space="preserve"> ei ole asutamislepingus ja määruses (EÜ) nr 1467/97 sätestatud eelarvepuu</w:t>
      </w:r>
      <w:r>
        <w:rPr>
          <w:rFonts w:ascii="Times New Roman" w:hAnsi="Times New Roman"/>
          <w:noProof/>
          <w:sz w:val="24"/>
          <w:szCs w:val="24"/>
        </w:rPr>
        <w:t>dujäägi kriteerium täidetud.</w:t>
      </w:r>
    </w:p>
    <w:p w:rsidR="007B3017" w:rsidRDefault="008A798B">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Asjakohased tegurid </w:t>
      </w:r>
    </w:p>
    <w:p w:rsidR="007B3017" w:rsidRDefault="008A798B">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Aluslepingu artikli 126 lõikes 3 on sätestatud, et juhul kui liikmesriik ei vasta ühele või mõlemale kriteeriumile, peab komisjon koostama aruande. Aruandes tuleb võtta „arvesse ka seda, kas </w:t>
      </w:r>
      <w:r>
        <w:rPr>
          <w:rFonts w:ascii="Times New Roman" w:hAnsi="Times New Roman"/>
          <w:noProof/>
          <w:sz w:val="24"/>
          <w:szCs w:val="24"/>
        </w:rPr>
        <w:t>eelarvepuudujääk ületab riigi investeerimiskulutused, samuti kõiki muid asjassepuutuvaid tegureid, kaasa arvatud liikmesriigi keskmise pikkusega perioodi majandus- ja eelarveseisund“.</w:t>
      </w:r>
    </w:p>
    <w:p w:rsidR="007B3017" w:rsidRDefault="008A798B">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Neid tegureid on lisaks selgitatud määruse (EÜ) nr 1467/97 artikli 2 lõi</w:t>
      </w:r>
      <w:r>
        <w:rPr>
          <w:rFonts w:ascii="Times New Roman" w:hAnsi="Times New Roman"/>
          <w:noProof/>
          <w:sz w:val="24"/>
          <w:szCs w:val="24"/>
        </w:rPr>
        <w:t>kes 3, milles on samuti sätestatud, et asjakohast tähelepanu tuleb pöörata „kõikidele teistele teguritele, mis on asjaomase liikmesriigi arvates olulised, et põhjalikult hinnata puudujäägi- ja võlakriteeriumide järgimist, ning millest liikmesriik on nõukog</w:t>
      </w:r>
      <w:r>
        <w:rPr>
          <w:rFonts w:ascii="Times New Roman" w:hAnsi="Times New Roman"/>
          <w:noProof/>
          <w:sz w:val="24"/>
          <w:szCs w:val="24"/>
        </w:rPr>
        <w:t>ule ja komisjonile teada andnud“.</w:t>
      </w:r>
    </w:p>
    <w:p w:rsidR="007B3017" w:rsidRDefault="008A798B">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Praeguses olukorras on peamine lisategur, mida tuleb 2020. aasta puhul arvesse võtta, COVID-19 pandeemia majanduslik mõju. Pandeemial on väga arvestatav mõju eelarveseisundile ja see toob kaasa väga ebakindlad väljavaated.</w:t>
      </w:r>
      <w:r>
        <w:rPr>
          <w:rFonts w:ascii="Times New Roman" w:hAnsi="Times New Roman"/>
          <w:noProof/>
          <w:sz w:val="24"/>
        </w:rPr>
        <w:t xml:space="preserve"> Pandeemia on viinud ka üldise vabastusklausli aktiveerimiseni.</w:t>
      </w:r>
    </w:p>
    <w:p w:rsidR="007B3017" w:rsidRDefault="008A798B">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COVID-19 pandeemia</w:t>
      </w:r>
    </w:p>
    <w:p w:rsidR="007B3017" w:rsidRDefault="008A798B">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COVID-19 pandeemia on toonud kaasa suure majandusšoki, millel on märkimisväärne negatiivne mõju kogu Euroopa Liidus. Mõju SKP kasvule sõltub nii pandeemia kestusest kui ka meetmetest, mida riiklikud ametiasutused võtavad Euroopa ja ülemaailmsel tasandil pa</w:t>
      </w:r>
      <w:r>
        <w:rPr>
          <w:rFonts w:ascii="Times New Roman" w:hAnsi="Times New Roman"/>
          <w:bCs/>
          <w:noProof/>
          <w:sz w:val="24"/>
          <w:szCs w:val="24"/>
        </w:rPr>
        <w:t xml:space="preserve">ndeemia leviku aeglustamiseks, tootmisvõimsuse kaitsmiseks ja kogunõudluse toetamiseks. </w:t>
      </w:r>
      <w:r>
        <w:rPr>
          <w:rFonts w:ascii="Times New Roman" w:hAnsi="Times New Roman"/>
          <w:noProof/>
          <w:sz w:val="24"/>
          <w:szCs w:val="24"/>
        </w:rPr>
        <w:t xml:space="preserve">Riigid on juba võtnud või võtmas eelarvemeetmeid, et suurendada tervishoiusüsteemide suutlikkust ning aidata eriti palju kannatanud inimesi ja majandussektoreid. Vastu </w:t>
      </w:r>
      <w:r>
        <w:rPr>
          <w:rFonts w:ascii="Times New Roman" w:hAnsi="Times New Roman"/>
          <w:noProof/>
          <w:sz w:val="24"/>
          <w:szCs w:val="24"/>
        </w:rPr>
        <w:t>on võetud ka märkimisväärsed likviidsustoetuse meetmed ja muud garantiid. Kui üksikasjalikumast teabest ei tulene teisiti, peavad pädevad statistikaasutused uurima, kas need avaldavad vahetut mõju valitsemissektori eelarve tasakaalule või mitte. Koos majan</w:t>
      </w:r>
      <w:r>
        <w:rPr>
          <w:rFonts w:ascii="Times New Roman" w:hAnsi="Times New Roman"/>
          <w:noProof/>
          <w:sz w:val="24"/>
          <w:szCs w:val="24"/>
        </w:rPr>
        <w:t>dustegevuse aeglustumisega suurendavad need meetmed märkimisväärselt valitsemissektori eelarvepuudujääki ja võlapositsiooni.</w:t>
      </w:r>
    </w:p>
    <w:p w:rsidR="007B3017" w:rsidRDefault="007B3017">
      <w:pPr>
        <w:spacing w:before="120" w:after="120" w:line="240" w:lineRule="auto"/>
        <w:jc w:val="both"/>
        <w:rPr>
          <w:rFonts w:ascii="Times New Roman" w:hAnsi="Times New Roman" w:cs="Times New Roman"/>
          <w:noProof/>
          <w:sz w:val="24"/>
          <w:szCs w:val="24"/>
        </w:rPr>
      </w:pPr>
    </w:p>
    <w:p w:rsidR="007B3017" w:rsidRDefault="008A798B">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Keskpika perioodi majandusseisund </w:t>
      </w:r>
    </w:p>
    <w:p w:rsidR="007B3017" w:rsidRDefault="008A798B">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Läti reaalne SKP kasvas 2019. aastal 2,2 % tänu tugevale eratarbimisele, kuid sealjuures ae</w:t>
      </w:r>
      <w:r>
        <w:rPr>
          <w:rFonts w:ascii="Times New Roman" w:hAnsi="Times New Roman"/>
          <w:bCs/>
          <w:noProof/>
          <w:sz w:val="24"/>
          <w:szCs w:val="24"/>
        </w:rPr>
        <w:t>glustusid investeeringud ja ekspordi kasv. Komisjoni 2020. aasta kevadprognoosi kohaselt väheneb reaalne SKP 2020. aastal 7 %, mõjutatuna COVID-19 puhangust ja sellega seotud piiramismeetmetest. Eeldatakse, et investeeringud ja eksport kannatavad piiride s</w:t>
      </w:r>
      <w:r>
        <w:rPr>
          <w:rFonts w:ascii="Times New Roman" w:hAnsi="Times New Roman"/>
          <w:bCs/>
          <w:noProof/>
          <w:sz w:val="24"/>
          <w:szCs w:val="24"/>
        </w:rPr>
        <w:t>ulgemise ja kahaneva välisnõudluse tõttu enim, samal ajal kui tarbimine on eeldatavasti teistest liikmesriikidest suurem. SKP järsk langus on leevendav tegur Läti eelarvepuudujäägi kriteeriumi täitmise hindamisel 2020. aastal.</w:t>
      </w:r>
    </w:p>
    <w:p w:rsidR="007B3017" w:rsidRDefault="008A798B">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Makromajanduslikud prognoosid</w:t>
      </w:r>
      <w:r>
        <w:rPr>
          <w:rFonts w:ascii="Times New Roman" w:hAnsi="Times New Roman"/>
          <w:bCs/>
          <w:noProof/>
          <w:sz w:val="24"/>
          <w:szCs w:val="24"/>
        </w:rPr>
        <w:t xml:space="preserve"> on väga ebakindlad, kuna COVID-19 pandeemia mõju sõltub piiravate meetmete kestusest ja rangusest. Pandeemia võib muutuda raskemaks ja kesta eeldatust kauem, mis nõuab rangemaid ja pikemaajalisi isoleerimismeetmeid. Tootmis- ja ehitussektoris pakkumisega </w:t>
      </w:r>
      <w:r>
        <w:rPr>
          <w:rFonts w:ascii="Times New Roman" w:hAnsi="Times New Roman"/>
          <w:bCs/>
          <w:noProof/>
          <w:sz w:val="24"/>
          <w:szCs w:val="24"/>
        </w:rPr>
        <w:t>seotud piirangud puuduvad. Seepärast võivad need sektorid osutuda nõudluse taastumisel korral eeldatust vastupidavamaks. Liidu majanduse elavnemine ei pruugi siiski olla nii kindel kui prognoositud ja võib seetõttu Läti taastumisaega pikendada.</w:t>
      </w:r>
    </w:p>
    <w:p w:rsidR="007B3017" w:rsidRDefault="008A798B">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Keskpi</w:t>
      </w:r>
      <w:r>
        <w:rPr>
          <w:rFonts w:ascii="Times New Roman" w:hAnsi="Times New Roman"/>
          <w:b/>
          <w:noProof/>
          <w:sz w:val="24"/>
          <w:szCs w:val="24"/>
        </w:rPr>
        <w:t>ka perioodi eelarvepositsioon</w:t>
      </w:r>
    </w:p>
    <w:p w:rsidR="007B3017" w:rsidRDefault="008A798B">
      <w:pPr>
        <w:spacing w:before="120" w:after="120" w:line="240" w:lineRule="auto"/>
        <w:jc w:val="both"/>
        <w:rPr>
          <w:rFonts w:ascii="Times New Roman" w:hAnsi="Times New Roman" w:cs="Times New Roman"/>
          <w:noProof/>
          <w:sz w:val="24"/>
          <w:highlight w:val="yellow"/>
        </w:rPr>
      </w:pPr>
      <w:r>
        <w:rPr>
          <w:rFonts w:ascii="Times New Roman" w:hAnsi="Times New Roman"/>
          <w:noProof/>
          <w:sz w:val="24"/>
        </w:rPr>
        <w:t xml:space="preserve">Tuginedes tulemusandmetele ja komisjoni 2020. aasta kevadprognoosile, hinnatakse Läti 2019. aasta struktuurset eelarvepuudujääki (1,7 % SKPst) keskpika perioodi eelarve-eesmärgi (–1,0 % SKPst) lähedal olevaks, võttes arvesse </w:t>
      </w:r>
      <w:r>
        <w:rPr>
          <w:rFonts w:ascii="Times New Roman" w:hAnsi="Times New Roman"/>
          <w:noProof/>
          <w:sz w:val="24"/>
          <w:szCs w:val="24"/>
        </w:rPr>
        <w:t>t</w:t>
      </w:r>
      <w:r>
        <w:rPr>
          <w:rFonts w:ascii="Times New Roman" w:hAnsi="Times New Roman"/>
          <w:noProof/>
          <w:sz w:val="24"/>
          <w:szCs w:val="24"/>
        </w:rPr>
        <w:t>ervishoiureformiga seotud lubatud hälvet 0,5 % SKPst</w:t>
      </w:r>
      <w:r>
        <w:rPr>
          <w:rFonts w:ascii="Times New Roman" w:hAnsi="Times New Roman"/>
          <w:noProof/>
          <w:sz w:val="24"/>
        </w:rPr>
        <w:t>, mis osutab stabiilsuse ja kasvu pakti nõuete täitmisele.</w:t>
      </w:r>
    </w:p>
    <w:p w:rsidR="007B3017" w:rsidRDefault="008A798B">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Stabiilsusprogrammi kohaselt peaks valitsemissektori eelarve puudujääk 2020. aastal suurenema 9,4 %ni. Majanduslangus peaks vähendama valitsemiss</w:t>
      </w:r>
      <w:r>
        <w:rPr>
          <w:rFonts w:ascii="Times New Roman" w:hAnsi="Times New Roman"/>
          <w:noProof/>
          <w:sz w:val="24"/>
          <w:szCs w:val="24"/>
        </w:rPr>
        <w:t>ektori maksu- ja maksuvälist tulu ligikaudu 5 % ulatuses SKPst. Töötuse kasv ning suurem nõudlus haiguspuhkuse ja sotsiaaltoetuste järele lähevad eeldatavasti maksma ligikaudu 1 % SKPst. Peale selle suurendavad ettevõtjatele ja kodumajapidamistele suunatud</w:t>
      </w:r>
      <w:r>
        <w:rPr>
          <w:rFonts w:ascii="Times New Roman" w:hAnsi="Times New Roman"/>
          <w:noProof/>
          <w:sz w:val="24"/>
          <w:szCs w:val="24"/>
        </w:rPr>
        <w:t xml:space="preserve"> toetusmeetmed 2020. aastal valitsemissektori eelarve puudujääki hinnanguliselt 3 % SKPst. Kriisiohjemeetmed hõlmavad maksude edasilükkamise võimalust kuni kolmeks aastaks, sissetulekutoetust sundpuhkusel töötajatele ja töötutele ning likviidsus- ja valdko</w:t>
      </w:r>
      <w:r>
        <w:rPr>
          <w:rFonts w:ascii="Times New Roman" w:hAnsi="Times New Roman"/>
          <w:noProof/>
          <w:sz w:val="24"/>
          <w:szCs w:val="24"/>
        </w:rPr>
        <w:t>ndlikke toetusmeetmeid. Enamik stimuleerivaid meetmeid peaks kava kohaselt lõppema 2021. aastal.</w:t>
      </w:r>
    </w:p>
    <w:p w:rsidR="007B3017" w:rsidRDefault="008A798B">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Komisjoni kevadprognoosi alusel peaks valitsemissektori eelarvepuudujääk 2020. aastal ulatuma 7,3 %ni SKPst. Eeldatakse, et stimuleerivatel meetmetel on samasu</w:t>
      </w:r>
      <w:r>
        <w:rPr>
          <w:rFonts w:ascii="Times New Roman" w:hAnsi="Times New Roman"/>
          <w:noProof/>
          <w:sz w:val="24"/>
          <w:szCs w:val="24"/>
        </w:rPr>
        <w:t>gune mõju nagu stabiilsusprogrammis, kuid prognooside kohaselt langeb tööhõive vähem, samuti on kulupoole automaatsed stabilisaatorid 2020. aastal eeldatavasti väiksemad. Makromajanduslike ja eelarveprognooside erinevused näitavad nende suurt ebakindlust.</w:t>
      </w:r>
    </w:p>
    <w:p w:rsidR="007B3017" w:rsidRDefault="008A798B">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Liikmesriigi väljapakutud muud tegurid</w:t>
      </w:r>
    </w:p>
    <w:p w:rsidR="007B3017" w:rsidRDefault="008A798B">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15. mail 2020 edastasid Läti ametiasutused kirja, mis puudutas asjaomaseid tegureid kooskõlas määruse (EÜ) nr 1467/97 artikli 2 lõikega 3. Eelmistes punktides esitatud analüüs üldjoontes juba hõlmab ametiasutuste </w:t>
      </w:r>
      <w:r>
        <w:rPr>
          <w:rFonts w:ascii="Times New Roman" w:hAnsi="Times New Roman"/>
          <w:bCs/>
          <w:noProof/>
          <w:sz w:val="24"/>
        </w:rPr>
        <w:t>väljapakutud põhitegureid. Eelkõige on asutamislepingu kontrollväärtust ületav valitsemissektori eelarve puudujääk tingitud üksnes COVID-19 kriisi mõjust.</w:t>
      </w:r>
    </w:p>
    <w:p w:rsidR="007B3017" w:rsidRDefault="008A798B">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 </w:t>
      </w:r>
    </w:p>
    <w:p w:rsidR="007B3017" w:rsidRDefault="008A798B">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Järeldused</w:t>
      </w:r>
    </w:p>
    <w:p w:rsidR="007B3017" w:rsidRDefault="008A798B">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Stabiilsusprogrammi kohaselt peaks Läti valitsemissektori eelarvepuudujääk suurenema </w:t>
      </w:r>
      <w:r>
        <w:rPr>
          <w:rFonts w:ascii="Times New Roman" w:hAnsi="Times New Roman"/>
          <w:bCs/>
          <w:noProof/>
          <w:sz w:val="24"/>
        </w:rPr>
        <w:t>2020. aastal 9,4 %ni SKPst, mis ületab oluliselt aluslepingus sätestatud kontrollväärtust 3 % SKPst. Kontrollväärtuse kavandatud ületamist peetakse erandlikuks, kuid mitte ajutiseks.</w:t>
      </w:r>
    </w:p>
    <w:p w:rsidR="007B3017" w:rsidRDefault="008A798B">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Kooskõlas aluslepingu ning stabiilsuse ja kasvu paktiga analüüsiti käesol</w:t>
      </w:r>
      <w:r>
        <w:rPr>
          <w:rFonts w:ascii="Times New Roman" w:hAnsi="Times New Roman"/>
          <w:noProof/>
          <w:sz w:val="24"/>
        </w:rPr>
        <w:t>evas aruandes ka asjakohaseid tegureid.</w:t>
      </w:r>
    </w:p>
    <w:p w:rsidR="007B3017" w:rsidRDefault="008A798B">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Kuna kavandatud puudujääk ületab oluliselt 3 % SKPst ja ületamine ei ole ajutine ning võttes arvesse kõiki asjakohaseid tegureid, nähtub analüüsist, et aluslepingus ja määruses (EÜ) nr 1467/1997 määratletud eelarvepu</w:t>
      </w:r>
      <w:r>
        <w:rPr>
          <w:rFonts w:ascii="Times New Roman" w:hAnsi="Times New Roman"/>
          <w:noProof/>
          <w:sz w:val="24"/>
        </w:rPr>
        <w:t>udujäägi kriteerium ei ole täidetud.</w:t>
      </w:r>
    </w:p>
    <w:sectPr w:rsidR="007B301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17" w:rsidRDefault="008A798B">
      <w:pPr>
        <w:spacing w:after="0" w:line="240" w:lineRule="auto"/>
      </w:pPr>
      <w:r>
        <w:separator/>
      </w:r>
    </w:p>
  </w:endnote>
  <w:endnote w:type="continuationSeparator" w:id="0">
    <w:p w:rsidR="007B3017" w:rsidRDefault="008A798B">
      <w:pPr>
        <w:spacing w:after="0" w:line="240" w:lineRule="auto"/>
      </w:pPr>
      <w:r>
        <w:continuationSeparator/>
      </w:r>
    </w:p>
  </w:endnote>
  <w:endnote w:type="continuationNotice" w:id="1">
    <w:p w:rsidR="007B3017" w:rsidRDefault="007B30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8B" w:rsidRPr="008A798B" w:rsidRDefault="008A798B" w:rsidP="008A7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8B" w:rsidRPr="008A798B" w:rsidRDefault="008A798B" w:rsidP="008A798B">
    <w:pPr>
      <w:pStyle w:val="FooterCoverPage"/>
      <w:rPr>
        <w:rFonts w:ascii="Arial" w:hAnsi="Arial" w:cs="Arial"/>
        <w:b/>
        <w:sz w:val="48"/>
      </w:rPr>
    </w:pPr>
    <w:r w:rsidRPr="008A798B">
      <w:rPr>
        <w:rFonts w:ascii="Arial" w:hAnsi="Arial" w:cs="Arial"/>
        <w:b/>
        <w:sz w:val="48"/>
      </w:rPr>
      <w:t>ET</w:t>
    </w:r>
    <w:r w:rsidRPr="008A798B">
      <w:rPr>
        <w:rFonts w:ascii="Arial" w:hAnsi="Arial" w:cs="Arial"/>
        <w:b/>
        <w:sz w:val="48"/>
      </w:rPr>
      <w:tab/>
    </w:r>
    <w:r w:rsidRPr="008A798B">
      <w:rPr>
        <w:rFonts w:ascii="Arial" w:hAnsi="Arial" w:cs="Arial"/>
        <w:b/>
        <w:sz w:val="48"/>
      </w:rPr>
      <w:tab/>
    </w:r>
    <w:r w:rsidRPr="008A798B">
      <w:tab/>
    </w:r>
    <w:r w:rsidRPr="008A798B">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8B" w:rsidRPr="008A798B" w:rsidRDefault="008A798B" w:rsidP="008A798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17" w:rsidRDefault="007B30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17" w:rsidRDefault="008A798B">
    <w:pPr>
      <w:pStyle w:val="Footer"/>
      <w:jc w:val="center"/>
    </w:pPr>
    <w:r>
      <w:fldChar w:fldCharType="begin"/>
    </w:r>
    <w:r>
      <w:instrText xml:space="preserve"> PAGE   \* MERGEFORMAT </w:instrText>
    </w:r>
    <w:r>
      <w:fldChar w:fldCharType="separate"/>
    </w:r>
    <w:r>
      <w:rPr>
        <w:noProof/>
      </w:rPr>
      <w:t>1</w:t>
    </w:r>
    <w:r>
      <w:fldChar w:fldCharType="end"/>
    </w:r>
  </w:p>
  <w:p w:rsidR="007B3017" w:rsidRDefault="007B30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17" w:rsidRDefault="007B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17" w:rsidRDefault="008A798B">
      <w:pPr>
        <w:spacing w:after="0" w:line="240" w:lineRule="auto"/>
      </w:pPr>
      <w:r>
        <w:separator/>
      </w:r>
    </w:p>
  </w:footnote>
  <w:footnote w:type="continuationSeparator" w:id="0">
    <w:p w:rsidR="007B3017" w:rsidRDefault="008A798B">
      <w:pPr>
        <w:spacing w:after="0" w:line="240" w:lineRule="auto"/>
      </w:pPr>
      <w:r>
        <w:continuationSeparator/>
      </w:r>
    </w:p>
  </w:footnote>
  <w:footnote w:type="continuationNotice" w:id="1">
    <w:p w:rsidR="007B3017" w:rsidRDefault="007B3017">
      <w:pPr>
        <w:spacing w:after="0" w:line="240" w:lineRule="auto"/>
      </w:pPr>
    </w:p>
  </w:footnote>
  <w:footnote w:id="2">
    <w:p w:rsidR="007B3017" w:rsidRDefault="008A798B">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8B" w:rsidRPr="008A798B" w:rsidRDefault="008A798B" w:rsidP="008A7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8B" w:rsidRPr="008A798B" w:rsidRDefault="008A798B" w:rsidP="008A798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8B" w:rsidRPr="008A798B" w:rsidRDefault="008A798B" w:rsidP="008A798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17" w:rsidRDefault="007B30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17" w:rsidRDefault="007B30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17" w:rsidRDefault="007B3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15:restartNumberingAfterBreak="0">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15:restartNumberingAfterBreak="0">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15:restartNumberingAfterBreak="0">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15:restartNumberingAfterBreak="0">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15:restartNumberingAfterBreak="0">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20) 549 final of 20.5.2020._x000b_Concerns all linguistic versions except English, French, German and Latvian._x000b_Modification of the document\u8217?s marking on the cover page._x000b_The text shall read as follows:"/>
    <w:docVar w:name="LW_COVERPAGE_EXISTS" w:val="True"/>
    <w:docVar w:name="LW_COVERPAGE_GUID" w:val="350F1A13-FCD4-41F8-A376-38D935B1E602"/>
    <w:docVar w:name="LW_COVERPAGE_TYPE" w:val="1"/>
    <w:docVar w:name="LW_CROSSREFERENCE" w:val="&lt;UNUSED&gt;"/>
    <w:docVar w:name="LW_DocType" w:val="NORMAL"/>
    <w:docVar w:name="LW_EMISSION" w:val="4.6.2020"/>
    <w:docVar w:name="LW_EMISSION_ISODATE" w:val="2020-06-04"/>
    <w:docVar w:name="LW_EMISSION_LOCATION" w:val="BRX"/>
    <w:docVar w:name="LW_EMISSION_PREFIX" w:val="Brüssel,"/>
    <w:docVar w:name="LW_EMISSION_SUFFIX" w:val=" "/>
    <w:docVar w:name="LW_ID_DOCTYPE_NONLW" w:val="CP-003"/>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2"/>
    <w:docVar w:name="LW_REF.INST.NEW_TEXT" w:val="(2020) 5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äti _x000b_ _x000b_Euroopa Liidu toimimise lepingu artikli 126 lõike 3 kohaselt koostatud aruanne"/>
    <w:docVar w:name="LW_TYPE.DOC.CP" w:val="KOMISJONI ARUANNE"/>
  </w:docVars>
  <w:rsids>
    <w:rsidRoot w:val="007B3017"/>
    <w:rsid w:val="007B3017"/>
    <w:rsid w:val="008A79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162580B0-30D5-42BA-9F22-92D977A1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41772581">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7183265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C120-DEFE-416E-8BCE-B571ED30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1131</Words>
  <Characters>8318</Characters>
  <Application>Microsoft Office Word</Application>
  <DocSecurity>0</DocSecurity>
  <Lines>156</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PAGANELI Erifili (SG)</cp:lastModifiedBy>
  <cp:revision>32</cp:revision>
  <cp:lastPrinted>2019-05-13T14:09:00Z</cp:lastPrinted>
  <dcterms:created xsi:type="dcterms:W3CDTF">2020-05-18T14:51:00Z</dcterms:created>
  <dcterms:modified xsi:type="dcterms:W3CDTF">2020-06-04T09:51:00Z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