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199" w:rsidRDefault="00E04D23" w:rsidP="00E04D23">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360EC26-5E52-4D44-AF67-5921469814EA" style="width:450.4pt;height:414.65pt">
            <v:imagedata r:id="rId8" o:title=""/>
          </v:shape>
        </w:pict>
      </w:r>
    </w:p>
    <w:bookmarkEnd w:id="0"/>
    <w:p w:rsidR="00952199" w:rsidRDefault="00952199">
      <w:pPr>
        <w:rPr>
          <w:noProof/>
        </w:rPr>
        <w:sectPr w:rsidR="00952199" w:rsidSect="00E04D23">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rsidR="00E04D23" w:rsidRPr="00E04D23" w:rsidRDefault="00E04D23" w:rsidP="00E04D23">
      <w:pPr>
        <w:pStyle w:val="Typedudocument"/>
      </w:pPr>
      <w:bookmarkStart w:id="1" w:name="_GoBack"/>
      <w:bookmarkEnd w:id="1"/>
      <w:r w:rsidRPr="00E04D23">
        <w:lastRenderedPageBreak/>
        <w:t>A BIZOTTSÁG JELENTÉSE</w:t>
      </w:r>
    </w:p>
    <w:p w:rsidR="00E04D23" w:rsidRPr="00E04D23" w:rsidRDefault="00E04D23" w:rsidP="00E04D23">
      <w:pPr>
        <w:pStyle w:val="Titreobjet"/>
      </w:pPr>
      <w:r w:rsidRPr="00E04D23">
        <w:t>Lettország</w:t>
      </w:r>
      <w:r w:rsidRPr="00E04D23">
        <w:br/>
      </w:r>
      <w:r w:rsidRPr="00E04D23">
        <w:br/>
        <w:t>Az Európai Unió működéséről szóló szerződés 126. cikkének (3) bekezdése szerinti jelentés</w:t>
      </w:r>
    </w:p>
    <w:p w:rsidR="00952199" w:rsidRDefault="00E04D23">
      <w:pPr>
        <w:keepNext/>
        <w:tabs>
          <w:tab w:val="left" w:pos="850"/>
        </w:tabs>
        <w:spacing w:before="360" w:after="12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rPr>
        <w:t>1</w:t>
      </w:r>
      <w:r>
        <w:rPr>
          <w:rFonts w:ascii="Times New Roman" w:hAnsi="Times New Roman"/>
          <w:b/>
          <w:smallCaps/>
          <w:noProof/>
        </w:rPr>
        <w:t>.</w:t>
      </w:r>
      <w:r>
        <w:rPr>
          <w:rFonts w:ascii="Times New Roman" w:hAnsi="Times New Roman"/>
          <w:b/>
          <w:smallCaps/>
          <w:noProof/>
        </w:rPr>
        <w:tab/>
      </w:r>
      <w:r>
        <w:rPr>
          <w:rFonts w:ascii="Times New Roman" w:hAnsi="Times New Roman"/>
          <w:b/>
          <w:smallCaps/>
          <w:noProof/>
          <w:sz w:val="24"/>
          <w:szCs w:val="24"/>
        </w:rPr>
        <w:t xml:space="preserve">Bevezetés </w:t>
      </w:r>
    </w:p>
    <w:p w:rsidR="00952199" w:rsidRDefault="00E04D23">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2020.</w:t>
      </w:r>
      <w:r>
        <w:rPr>
          <w:rFonts w:ascii="Times New Roman" w:hAnsi="Times New Roman"/>
          <w:noProof/>
          <w:sz w:val="24"/>
          <w:szCs w:val="24"/>
        </w:rPr>
        <w:t xml:space="preserve"> március 20-án a Bizottság közleményt fogadott el a Stabilitási és Növekedési Paktum általános mentesítési rendelkezésének aktiválásáról. Az 1466/97/EK rendelet 5. cikkének (1) bekezdésében, 6. cikkének (3) bekezdésében, 9. cikkének (1) bekezdésében és 10.</w:t>
      </w:r>
      <w:r>
        <w:rPr>
          <w:rFonts w:ascii="Times New Roman" w:hAnsi="Times New Roman"/>
          <w:noProof/>
          <w:sz w:val="24"/>
          <w:szCs w:val="24"/>
        </w:rPr>
        <w:t xml:space="preserve"> cikkének (3) bekezdésében, valamint az 1467/97/EK rendelet 3. cikkének (5) bekezdésében és 5. cikkének (2) bekezdésében meghatározottak szerinti rendelkezés elősegíti a költségvetési politikák összehangolását súlyos gazdasági visszaesés idején. Közleményé</w:t>
      </w:r>
      <w:r>
        <w:rPr>
          <w:rFonts w:ascii="Times New Roman" w:hAnsi="Times New Roman"/>
          <w:noProof/>
          <w:sz w:val="24"/>
          <w:szCs w:val="24"/>
        </w:rPr>
        <w:t>ben a Bizottság megosztotta a Tanáccsal azt a véleményét, miszerint a Covid19-járvány következtében várható súlyos gazdasági visszaesés miatt a jelenlegi feltételek lehetővé teszik a rendelkezés alkalmazását. A tagállamok pénzügyminiszterei 2020. március 2</w:t>
      </w:r>
      <w:r>
        <w:rPr>
          <w:rFonts w:ascii="Times New Roman" w:hAnsi="Times New Roman"/>
          <w:noProof/>
          <w:sz w:val="24"/>
          <w:szCs w:val="24"/>
        </w:rPr>
        <w:t>3-án egyetértettek a Bizottság értékelésével. Az általános mentesítési rendelkezés aktiválása lehetővé teszi a középtávú költségvetési célhoz vezető kiigazítási pályától való átmeneti eltérést, ha ez középtávon nem veszélyezteti a költségvetés fenntartható</w:t>
      </w:r>
      <w:r>
        <w:rPr>
          <w:rFonts w:ascii="Times New Roman" w:hAnsi="Times New Roman"/>
          <w:noProof/>
          <w:sz w:val="24"/>
          <w:szCs w:val="24"/>
        </w:rPr>
        <w:t>ságát. A korrekciós ág tekintetében a Tanács a Bizottság ajánlására úgy is határozhat, hogy módosított költségvetési pályát fogad el. Az általános mentesítési rendelkezés nem függeszti fel a Stabilitási és Növekedési Paktum eljárásait. Lehetővé teszi a tag</w:t>
      </w:r>
      <w:r>
        <w:rPr>
          <w:rFonts w:ascii="Times New Roman" w:hAnsi="Times New Roman"/>
          <w:noProof/>
          <w:sz w:val="24"/>
          <w:szCs w:val="24"/>
        </w:rPr>
        <w:t>államok számára, hogy eltérjenek az általában alkalmazandó költségvetési követelményektől, a Bizottság és a Tanács számára pedig biztosítja annak lehetőségét, hogy a Paktum keretében meghozzák a szükséges szakpolitikai koordinációs intézkedéseket.</w:t>
      </w:r>
    </w:p>
    <w:p w:rsidR="00952199" w:rsidRDefault="00E04D23">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A lett h</w:t>
      </w:r>
      <w:r>
        <w:rPr>
          <w:rFonts w:ascii="Times New Roman" w:hAnsi="Times New Roman"/>
          <w:noProof/>
          <w:sz w:val="24"/>
          <w:szCs w:val="24"/>
        </w:rPr>
        <w:t>atóságok által 2020. március 31-én bejelentett és azt követően az Eurostat által megerősített adatok</w:t>
      </w:r>
      <w:r>
        <w:rPr>
          <w:rStyle w:val="FootnoteReference"/>
          <w:rFonts w:eastAsiaTheme="minorHAnsi"/>
          <w:noProof/>
          <w:sz w:val="24"/>
          <w:szCs w:val="24"/>
        </w:rPr>
        <w:footnoteReference w:id="2"/>
      </w:r>
      <w:r>
        <w:rPr>
          <w:rFonts w:ascii="Times New Roman" w:hAnsi="Times New Roman"/>
          <w:noProof/>
          <w:sz w:val="24"/>
          <w:szCs w:val="24"/>
        </w:rPr>
        <w:t xml:space="preserve"> azt mutatják, hogy a lett költségvetési hiány 2019-ben elérte a GDP 0,2 %-át, miközben a bruttó államadósság a GDP 36,9 %-át tette ki. A 2020. évi stabili</w:t>
      </w:r>
      <w:r>
        <w:rPr>
          <w:rFonts w:ascii="Times New Roman" w:hAnsi="Times New Roman"/>
          <w:noProof/>
          <w:sz w:val="24"/>
          <w:szCs w:val="24"/>
        </w:rPr>
        <w:t>tási program szerint Lettország 2020-ra a GDP 9,4 %-ának megfelelő hiányt tervez, míg az adósság a tervek szerint a GDP 51,7 %-a lesz.</w:t>
      </w:r>
    </w:p>
    <w:p w:rsidR="00952199" w:rsidRDefault="00E04D23">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 2020-ra tervezett hiány </w:t>
      </w:r>
      <w:r>
        <w:rPr>
          <w:rFonts w:ascii="Times New Roman" w:hAnsi="Times New Roman"/>
          <w:i/>
          <w:noProof/>
          <w:sz w:val="24"/>
          <w:szCs w:val="24"/>
        </w:rPr>
        <w:t>prima facie</w:t>
      </w:r>
      <w:r>
        <w:rPr>
          <w:rFonts w:ascii="Times New Roman" w:hAnsi="Times New Roman"/>
          <w:noProof/>
          <w:sz w:val="24"/>
          <w:szCs w:val="24"/>
        </w:rPr>
        <w:t xml:space="preserve"> azt bizonyítja, hogy a Stabilitási és Növekedési Paktum értelmében túlzott hiány ál</w:t>
      </w:r>
      <w:r>
        <w:rPr>
          <w:rFonts w:ascii="Times New Roman" w:hAnsi="Times New Roman"/>
          <w:noProof/>
          <w:sz w:val="24"/>
          <w:szCs w:val="24"/>
        </w:rPr>
        <w:t>l fenn.</w:t>
      </w:r>
    </w:p>
    <w:p w:rsidR="00952199" w:rsidRDefault="00E04D23">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Mindezek alapján a Bizottság ezért elkészítette ezt a jelentést, amely elemzi Lettország Szerződésben foglalt hiány- és adósságkritériumoknak való megfelelését. Az adósságkritérium teljesítettnek tekinthető, mivel az adósság szintje nem éri el a Szerződésb</w:t>
      </w:r>
      <w:r>
        <w:rPr>
          <w:rFonts w:ascii="Times New Roman" w:hAnsi="Times New Roman"/>
          <w:noProof/>
          <w:sz w:val="24"/>
          <w:szCs w:val="24"/>
        </w:rPr>
        <w:t xml:space="preserve">en a GDP 60 %-ában meghatározott referenciaértéket. Megvizsgálja az érdemleges tényezőket, és megfelelően figyelembe veszi a Covid19-világjárványhoz kapcsolódó komoly gazdasági sokkhatást. </w:t>
      </w:r>
    </w:p>
    <w:p w:rsidR="00952199" w:rsidRDefault="00E04D23">
      <w:pPr>
        <w:keepNext/>
        <w:spacing w:before="240" w:after="120" w:line="240" w:lineRule="auto"/>
        <w:jc w:val="center"/>
        <w:rPr>
          <w:rFonts w:ascii="Times New Roman" w:eastAsia="Times New Roman" w:hAnsi="Times New Roman" w:cs="Calibri"/>
          <w:noProof/>
          <w:sz w:val="24"/>
          <w:szCs w:val="24"/>
        </w:rPr>
      </w:pPr>
      <w:r>
        <w:rPr>
          <w:rFonts w:ascii="Times New Roman" w:eastAsia="Times New Roman" w:hAnsi="Times New Roman" w:cs="Times New Roman"/>
          <w:b/>
          <w:noProof/>
          <w:sz w:val="24"/>
          <w:szCs w:val="24"/>
        </w:rPr>
        <w:lastRenderedPageBreak/>
        <w:fldChar w:fldCharType="begin"/>
      </w:r>
      <w:r>
        <w:rPr>
          <w:rFonts w:ascii="Times New Roman" w:eastAsia="Times New Roman" w:hAnsi="Times New Roman" w:cs="Times New Roman"/>
          <w:b/>
          <w:noProof/>
          <w:sz w:val="24"/>
          <w:szCs w:val="24"/>
        </w:rPr>
        <w:instrText xml:space="preserve"> SEQ Table \* ARABIC </w:instrText>
      </w:r>
      <w:r>
        <w:rPr>
          <w:rFonts w:ascii="Times New Roman" w:eastAsia="Times New Roman" w:hAnsi="Times New Roman" w:cs="Times New Roman"/>
          <w:b/>
          <w:noProof/>
          <w:sz w:val="24"/>
          <w:szCs w:val="24"/>
        </w:rPr>
        <w:fldChar w:fldCharType="separate"/>
      </w:r>
      <w:r>
        <w:rPr>
          <w:rFonts w:ascii="Times New Roman" w:eastAsia="Times New Roman" w:hAnsi="Times New Roman" w:cs="Times New Roman"/>
          <w:b/>
          <w:noProof/>
          <w:sz w:val="24"/>
          <w:szCs w:val="24"/>
        </w:rPr>
        <w:t>1</w:t>
      </w:r>
      <w:r>
        <w:rPr>
          <w:rFonts w:ascii="Times New Roman" w:eastAsia="Times New Roman" w:hAnsi="Times New Roman" w:cs="Times New Roman"/>
          <w:b/>
          <w:noProof/>
          <w:sz w:val="24"/>
          <w:szCs w:val="24"/>
        </w:rPr>
        <w:fldChar w:fldCharType="end"/>
      </w:r>
      <w:r>
        <w:rPr>
          <w:noProof/>
          <w:sz w:val="24"/>
          <w:szCs w:val="24"/>
        </w:rPr>
        <w:t xml:space="preserve">. </w:t>
      </w:r>
      <w:r>
        <w:rPr>
          <w:rFonts w:ascii="Times New Roman" w:hAnsi="Times New Roman"/>
          <w:b/>
          <w:noProof/>
          <w:sz w:val="24"/>
          <w:szCs w:val="24"/>
        </w:rPr>
        <w:t xml:space="preserve">táblázat. Költségvetési hiány és államadósság (a GDP %-ában) </w:t>
      </w:r>
    </w:p>
    <w:tbl>
      <w:tblPr>
        <w:tblStyle w:val="TableGrid"/>
        <w:tblW w:w="0" w:type="auto"/>
        <w:tblLook w:val="04A0" w:firstRow="1" w:lastRow="0" w:firstColumn="1" w:lastColumn="0" w:noHBand="0" w:noVBand="1"/>
      </w:tblPr>
      <w:tblGrid>
        <w:gridCol w:w="1650"/>
        <w:gridCol w:w="1483"/>
        <w:gridCol w:w="1017"/>
        <w:gridCol w:w="1018"/>
        <w:gridCol w:w="1018"/>
        <w:gridCol w:w="1018"/>
        <w:gridCol w:w="1019"/>
        <w:gridCol w:w="1019"/>
      </w:tblGrid>
      <w:tr w:rsidR="00952199">
        <w:trPr>
          <w:trHeight w:val="603"/>
        </w:trPr>
        <w:tc>
          <w:tcPr>
            <w:tcW w:w="1154" w:type="dxa"/>
          </w:tcPr>
          <w:p w:rsidR="00952199" w:rsidRDefault="00952199">
            <w:pPr>
              <w:keepNext/>
              <w:jc w:val="center"/>
              <w:rPr>
                <w:rFonts w:ascii="Times New Roman" w:eastAsia="Times New Roman" w:hAnsi="Times New Roman" w:cs="Calibri"/>
                <w:noProof/>
                <w:sz w:val="20"/>
                <w:szCs w:val="24"/>
              </w:rPr>
            </w:pPr>
          </w:p>
        </w:tc>
        <w:tc>
          <w:tcPr>
            <w:tcW w:w="1172" w:type="dxa"/>
          </w:tcPr>
          <w:p w:rsidR="00952199" w:rsidRDefault="00952199">
            <w:pPr>
              <w:keepNext/>
              <w:jc w:val="center"/>
              <w:rPr>
                <w:rFonts w:ascii="Times New Roman" w:eastAsia="Times New Roman" w:hAnsi="Times New Roman" w:cs="Calibri"/>
                <w:noProof/>
                <w:sz w:val="20"/>
                <w:szCs w:val="24"/>
              </w:rPr>
            </w:pPr>
          </w:p>
        </w:tc>
        <w:tc>
          <w:tcPr>
            <w:tcW w:w="1152" w:type="dxa"/>
          </w:tcPr>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2016</w:t>
            </w:r>
          </w:p>
        </w:tc>
        <w:tc>
          <w:tcPr>
            <w:tcW w:w="1152" w:type="dxa"/>
          </w:tcPr>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2017</w:t>
            </w:r>
          </w:p>
        </w:tc>
        <w:tc>
          <w:tcPr>
            <w:tcW w:w="1152" w:type="dxa"/>
          </w:tcPr>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2018</w:t>
            </w:r>
          </w:p>
        </w:tc>
        <w:tc>
          <w:tcPr>
            <w:tcW w:w="1152" w:type="dxa"/>
          </w:tcPr>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2019</w:t>
            </w:r>
          </w:p>
        </w:tc>
        <w:tc>
          <w:tcPr>
            <w:tcW w:w="1154" w:type="dxa"/>
          </w:tcPr>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2020</w:t>
            </w:r>
          </w:p>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BIZ</w:t>
            </w:r>
          </w:p>
        </w:tc>
        <w:tc>
          <w:tcPr>
            <w:tcW w:w="1154" w:type="dxa"/>
          </w:tcPr>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2021</w:t>
            </w:r>
          </w:p>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BIZ</w:t>
            </w:r>
          </w:p>
        </w:tc>
      </w:tr>
      <w:tr w:rsidR="00952199">
        <w:tc>
          <w:tcPr>
            <w:tcW w:w="1154" w:type="dxa"/>
          </w:tcPr>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Hiánykritérium</w:t>
            </w:r>
          </w:p>
        </w:tc>
        <w:tc>
          <w:tcPr>
            <w:tcW w:w="1172" w:type="dxa"/>
          </w:tcPr>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Államháztartási egyenleg</w:t>
            </w:r>
          </w:p>
        </w:tc>
        <w:tc>
          <w:tcPr>
            <w:tcW w:w="1152" w:type="dxa"/>
          </w:tcPr>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0,2</w:t>
            </w:r>
          </w:p>
        </w:tc>
        <w:tc>
          <w:tcPr>
            <w:tcW w:w="1152" w:type="dxa"/>
          </w:tcPr>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-0,8</w:t>
            </w:r>
          </w:p>
        </w:tc>
        <w:tc>
          <w:tcPr>
            <w:tcW w:w="1152" w:type="dxa"/>
          </w:tcPr>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-0,8</w:t>
            </w:r>
          </w:p>
        </w:tc>
        <w:tc>
          <w:tcPr>
            <w:tcW w:w="1152" w:type="dxa"/>
          </w:tcPr>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-0,2</w:t>
            </w:r>
          </w:p>
        </w:tc>
        <w:tc>
          <w:tcPr>
            <w:tcW w:w="1154" w:type="dxa"/>
          </w:tcPr>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-7,3</w:t>
            </w:r>
          </w:p>
        </w:tc>
        <w:tc>
          <w:tcPr>
            <w:tcW w:w="1154" w:type="dxa"/>
          </w:tcPr>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-4,5</w:t>
            </w:r>
          </w:p>
        </w:tc>
      </w:tr>
      <w:tr w:rsidR="00952199">
        <w:tc>
          <w:tcPr>
            <w:tcW w:w="1154" w:type="dxa"/>
          </w:tcPr>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Adósságkritérium</w:t>
            </w:r>
          </w:p>
        </w:tc>
        <w:tc>
          <w:tcPr>
            <w:tcW w:w="1172" w:type="dxa"/>
          </w:tcPr>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Bruttó államadósság</w:t>
            </w:r>
          </w:p>
        </w:tc>
        <w:tc>
          <w:tcPr>
            <w:tcW w:w="1152" w:type="dxa"/>
          </w:tcPr>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40,9</w:t>
            </w:r>
          </w:p>
        </w:tc>
        <w:tc>
          <w:tcPr>
            <w:tcW w:w="1152" w:type="dxa"/>
          </w:tcPr>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39,3</w:t>
            </w:r>
          </w:p>
        </w:tc>
        <w:tc>
          <w:tcPr>
            <w:tcW w:w="1152" w:type="dxa"/>
          </w:tcPr>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37,2</w:t>
            </w:r>
          </w:p>
        </w:tc>
        <w:tc>
          <w:tcPr>
            <w:tcW w:w="1152" w:type="dxa"/>
          </w:tcPr>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36,9</w:t>
            </w:r>
          </w:p>
        </w:tc>
        <w:tc>
          <w:tcPr>
            <w:tcW w:w="1154" w:type="dxa"/>
          </w:tcPr>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43,1</w:t>
            </w:r>
          </w:p>
        </w:tc>
        <w:tc>
          <w:tcPr>
            <w:tcW w:w="1154" w:type="dxa"/>
          </w:tcPr>
          <w:p w:rsidR="00952199" w:rsidRDefault="00E04D23">
            <w:pPr>
              <w:keepNext/>
              <w:jc w:val="center"/>
              <w:rPr>
                <w:rFonts w:ascii="Times New Roman" w:eastAsia="Times New Roman" w:hAnsi="Times New Roman" w:cs="Calibri"/>
                <w:noProof/>
                <w:sz w:val="20"/>
                <w:szCs w:val="24"/>
              </w:rPr>
            </w:pPr>
            <w:r>
              <w:rPr>
                <w:rFonts w:ascii="Times New Roman" w:hAnsi="Times New Roman"/>
                <w:noProof/>
                <w:sz w:val="20"/>
                <w:szCs w:val="24"/>
              </w:rPr>
              <w:t>43,7</w:t>
            </w:r>
          </w:p>
        </w:tc>
      </w:tr>
    </w:tbl>
    <w:p w:rsidR="00952199" w:rsidRDefault="00E04D23">
      <w:pPr>
        <w:keepNext/>
        <w:spacing w:after="0" w:line="240" w:lineRule="auto"/>
        <w:rPr>
          <w:rFonts w:ascii="Times New Roman" w:eastAsia="Times New Roman" w:hAnsi="Times New Roman" w:cs="Calibri"/>
          <w:noProof/>
          <w:sz w:val="20"/>
          <w:szCs w:val="24"/>
        </w:rPr>
      </w:pPr>
      <w:r>
        <w:rPr>
          <w:rFonts w:ascii="Times New Roman" w:hAnsi="Times New Roman"/>
          <w:noProof/>
          <w:sz w:val="20"/>
          <w:szCs w:val="24"/>
        </w:rPr>
        <w:t xml:space="preserve">Forrás: </w:t>
      </w:r>
      <w:r>
        <w:rPr>
          <w:rFonts w:ascii="Times New Roman" w:hAnsi="Times New Roman"/>
          <w:noProof/>
          <w:sz w:val="20"/>
          <w:szCs w:val="24"/>
        </w:rPr>
        <w:t>Eurostat, a Bizottság 2020. tavaszi előrejelzése</w:t>
      </w:r>
    </w:p>
    <w:p w:rsidR="00952199" w:rsidRDefault="00E04D23">
      <w:pPr>
        <w:pStyle w:val="ManualHeading1"/>
        <w:rPr>
          <w:noProof/>
          <w:szCs w:val="24"/>
        </w:rPr>
      </w:pPr>
      <w:r>
        <w:rPr>
          <w:smallCaps w:val="0"/>
          <w:noProof/>
          <w:szCs w:val="24"/>
        </w:rPr>
        <w:t>2.</w:t>
      </w:r>
      <w:r>
        <w:rPr>
          <w:b w:val="0"/>
          <w:smallCaps w:val="0"/>
          <w:noProof/>
          <w:szCs w:val="24"/>
        </w:rPr>
        <w:tab/>
      </w:r>
      <w:r>
        <w:rPr>
          <w:noProof/>
          <w:szCs w:val="24"/>
        </w:rPr>
        <w:t>Hiánykritérium</w:t>
      </w:r>
      <w:r>
        <w:rPr>
          <w:b w:val="0"/>
          <w:smallCaps w:val="0"/>
          <w:noProof/>
          <w:szCs w:val="24"/>
        </w:rPr>
        <w:t xml:space="preserve"> </w:t>
      </w:r>
    </w:p>
    <w:p w:rsidR="00952199" w:rsidRDefault="00E04D23">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 2020. évi stabilitási program alapján Lettország költségvetési hiánya 2020-ban a tervek szerint eléri a GDP 9,4 %-át, azaz meghaladja a Szerződésben szereplő, a GDP 3 %-ában meghatározot</w:t>
      </w:r>
      <w:r>
        <w:rPr>
          <w:rFonts w:ascii="Times New Roman" w:hAnsi="Times New Roman"/>
          <w:noProof/>
          <w:sz w:val="24"/>
          <w:szCs w:val="24"/>
        </w:rPr>
        <w:t>t referenciaértéket, és ahhoz nem marad közel.</w:t>
      </w:r>
    </w:p>
    <w:p w:rsidR="00952199" w:rsidRDefault="00E04D23">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 meghatározott referenciaérték 2020-ra tervezett túllépése kivételes, mivel súlyos gazdasági visszaesés eredménye. A Covid19-világjárvány hatását figyelembe véve a Bizottság 2020. tavaszi előrejelzése a 2020.</w:t>
      </w:r>
      <w:r>
        <w:rPr>
          <w:rFonts w:ascii="Times New Roman" w:hAnsi="Times New Roman"/>
          <w:noProof/>
          <w:sz w:val="24"/>
          <w:szCs w:val="24"/>
        </w:rPr>
        <w:t xml:space="preserve"> évi reál-GDP 7,0 %-os csökkenését vetíti előre.</w:t>
      </w:r>
    </w:p>
    <w:p w:rsidR="00952199" w:rsidRDefault="00E04D23">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 Bizottság 2020. tavaszi előrejelzése alapján a hiány 2021-ben a GDP 3 %-a felett marad, így a Szerződésben meghatározott referenciaérték tervezett túllépése nem átmeneti. </w:t>
      </w:r>
    </w:p>
    <w:p w:rsidR="00952199" w:rsidRDefault="00E04D23">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Összegezve, a 2020-ra tervezett hiány meghaladja a Szerződésben szereplő, a GDP 3 %-ában meghatározott referenciaértéket, és ahhoz nem marad közel. A referenciaérték tervezett túllépése a Szerződés és a Stabilitási és Növekedési Paktum értelmében véve kivé</w:t>
      </w:r>
      <w:r>
        <w:rPr>
          <w:rFonts w:ascii="Times New Roman" w:hAnsi="Times New Roman"/>
          <w:noProof/>
          <w:sz w:val="24"/>
          <w:szCs w:val="24"/>
        </w:rPr>
        <w:t xml:space="preserve">telesnek minősül, de nem átmeneti. Így az elemzés arra enged következtetni, hogy a Szerződés és az 1467/97/EK rendelet értelmében a hiánykritérium </w:t>
      </w:r>
      <w:r>
        <w:rPr>
          <w:rFonts w:ascii="Times New Roman" w:hAnsi="Times New Roman"/>
          <w:bCs/>
          <w:i/>
          <w:noProof/>
          <w:sz w:val="24"/>
          <w:szCs w:val="24"/>
        </w:rPr>
        <w:t>prima facie</w:t>
      </w:r>
      <w:r>
        <w:rPr>
          <w:rFonts w:ascii="Times New Roman" w:hAnsi="Times New Roman"/>
          <w:noProof/>
          <w:sz w:val="24"/>
          <w:szCs w:val="24"/>
        </w:rPr>
        <w:t xml:space="preserve"> nem teljesül.</w:t>
      </w:r>
    </w:p>
    <w:p w:rsidR="00952199" w:rsidRDefault="00E04D23">
      <w:pPr>
        <w:keepNext/>
        <w:tabs>
          <w:tab w:val="left" w:pos="850"/>
        </w:tabs>
        <w:spacing w:before="360" w:after="120" w:line="240" w:lineRule="auto"/>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3.</w:t>
      </w:r>
      <w:r>
        <w:rPr>
          <w:rFonts w:ascii="Times New Roman" w:hAnsi="Times New Roman"/>
          <w:b/>
          <w:smallCaps/>
          <w:noProof/>
          <w:sz w:val="24"/>
          <w:szCs w:val="24"/>
        </w:rPr>
        <w:tab/>
        <w:t xml:space="preserve">Érdemleges tényezők </w:t>
      </w:r>
    </w:p>
    <w:p w:rsidR="00952199" w:rsidRDefault="00E04D23">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A Szerződés 126. cikkének (3) bekezdése úgy rendelkezik, ho</w:t>
      </w:r>
      <w:r>
        <w:rPr>
          <w:rFonts w:ascii="Times New Roman" w:hAnsi="Times New Roman"/>
          <w:noProof/>
          <w:sz w:val="24"/>
          <w:szCs w:val="24"/>
        </w:rPr>
        <w:t>gy ha egy tagállam nem felel meg az egyik vagy mindkét említett kritériummal kapcsolatos követelményeknek, a Bizottság erről jelentést készít. A Bizottság jelentése „figyelembe veszi, hogy a költségvetési hiány meghaladja-e az állami beruházások kiadásait,</w:t>
      </w:r>
      <w:r>
        <w:rPr>
          <w:rFonts w:ascii="Times New Roman" w:hAnsi="Times New Roman"/>
          <w:noProof/>
          <w:sz w:val="24"/>
          <w:szCs w:val="24"/>
        </w:rPr>
        <w:t xml:space="preserve"> valamint minden egyéb érdemleges tényezőt, beleértve a tagállam középtávú gazdasági és költségvetési helyzetét”. </w:t>
      </w:r>
    </w:p>
    <w:p w:rsidR="00952199" w:rsidRDefault="00E04D23">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Ezeket a tényezőket tovább pontosítja az 1467/97/EK rendelet 2. cikkének (3) bekezdése, amely arról is rendelkezik, hogy kellő figyelmet kell</w:t>
      </w:r>
      <w:r>
        <w:rPr>
          <w:rFonts w:ascii="Times New Roman" w:hAnsi="Times New Roman"/>
          <w:noProof/>
          <w:sz w:val="24"/>
          <w:szCs w:val="24"/>
        </w:rPr>
        <w:t xml:space="preserve"> fordítani „minden olyan egyéb tényezőre, amely az érintett tagállam véleménye szerint érdemleges a hiány- és adósságkritériumoknak való megfelelés átfogó értékelése szempontjából, és amelyet az adott tagállam a Tanács és a Bizottság elé terjesztett”. </w:t>
      </w:r>
    </w:p>
    <w:p w:rsidR="00952199" w:rsidRDefault="00E04D23">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 </w:t>
      </w:r>
      <w:r>
        <w:rPr>
          <w:rFonts w:ascii="Times New Roman" w:hAnsi="Times New Roman"/>
          <w:noProof/>
          <w:sz w:val="24"/>
          <w:szCs w:val="24"/>
        </w:rPr>
        <w:t>jelenlegi helyzetben a 2020 tekintetében figyelembe veendő további kulcsfontosságú tényező a Covid19-világjárvány gazdasági hatása, amely igen jelentős mértékben befolyásolja a költségvetési helyzetet, és rendkívül bizonytalan kilátásokat eredményez. A vil</w:t>
      </w:r>
      <w:r>
        <w:rPr>
          <w:rFonts w:ascii="Times New Roman" w:hAnsi="Times New Roman"/>
          <w:noProof/>
          <w:sz w:val="24"/>
          <w:szCs w:val="24"/>
        </w:rPr>
        <w:t>ágjárvány miatt sor kerül az általános mentesítési rendelkezés alkalmazására is.</w:t>
      </w:r>
    </w:p>
    <w:p w:rsidR="00952199" w:rsidRDefault="00E04D23">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3.1.</w:t>
      </w:r>
      <w:r>
        <w:rPr>
          <w:rFonts w:ascii="Times New Roman" w:hAnsi="Times New Roman"/>
          <w:b/>
          <w:noProof/>
          <w:sz w:val="24"/>
          <w:szCs w:val="24"/>
        </w:rPr>
        <w:tab/>
      </w:r>
      <w:r>
        <w:rPr>
          <w:rFonts w:ascii="Times New Roman" w:hAnsi="Times New Roman"/>
          <w:b/>
          <w:noProof/>
          <w:sz w:val="24"/>
          <w:szCs w:val="24"/>
        </w:rPr>
        <w:tab/>
        <w:t xml:space="preserve">A Covid19-világjárvány </w:t>
      </w:r>
    </w:p>
    <w:p w:rsidR="00952199" w:rsidRDefault="00E04D23">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A Covid19-világjárvány komoly gazdasági sokkhoz vezetett, amelynek számottevő negatív hatása van az Európai Unió egészében. A GDP-növekedésre jel</w:t>
      </w:r>
      <w:r>
        <w:rPr>
          <w:rFonts w:ascii="Times New Roman" w:hAnsi="Times New Roman"/>
          <w:bCs/>
          <w:noProof/>
          <w:sz w:val="24"/>
          <w:szCs w:val="24"/>
        </w:rPr>
        <w:t>entett következmények a járvány időtartamától és a nemzeti hatóságok által, valamint európai és világszinten a járvány terjedésének lassítása, a termelőkapacitások védelme és az aggregált kereslet támogatása érdekében hozott intézkedések időtartamától függ</w:t>
      </w:r>
      <w:r>
        <w:rPr>
          <w:rFonts w:ascii="Times New Roman" w:hAnsi="Times New Roman"/>
          <w:bCs/>
          <w:noProof/>
          <w:sz w:val="24"/>
          <w:szCs w:val="24"/>
        </w:rPr>
        <w:t xml:space="preserve">nek majd. </w:t>
      </w:r>
      <w:r>
        <w:rPr>
          <w:rFonts w:ascii="Times New Roman" w:hAnsi="Times New Roman"/>
          <w:noProof/>
          <w:sz w:val="24"/>
          <w:szCs w:val="24"/>
        </w:rPr>
        <w:t>Az országok olyan költségvetési intézkedéseket fogadtak el, illetve jelenleg is dolgoznak olyan költségvetési intézkedések elfogadásán, amelyek célja az, hogy növeljék az egészségügyi rendszerek kapacitását, és segítséget nyújtsanak a válság álta</w:t>
      </w:r>
      <w:r>
        <w:rPr>
          <w:rFonts w:ascii="Times New Roman" w:hAnsi="Times New Roman"/>
          <w:noProof/>
          <w:sz w:val="24"/>
          <w:szCs w:val="24"/>
        </w:rPr>
        <w:t>l különösen súlyosan érintett egyéneknek és ágazatoknak. Jelentős likviditástámogatási intézkedések és egyéb garanciák elfogadására is sor került. Részletesebb információk függvényében az illetékes statisztikai hatóságoknak meg kell vizsgálniuk, hogy az em</w:t>
      </w:r>
      <w:r>
        <w:rPr>
          <w:rFonts w:ascii="Times New Roman" w:hAnsi="Times New Roman"/>
          <w:noProof/>
          <w:sz w:val="24"/>
          <w:szCs w:val="24"/>
        </w:rPr>
        <w:t>lített intézkedések azonnali hatással vannak-e az államháztartási egyenlegre. Az említett intézkedések a gazdasági tevékenység visszaesésével együtt a költségvetési hiány és az államadósság jelentős mértékű megnövekedéséhez fognak vezetni.</w:t>
      </w:r>
    </w:p>
    <w:p w:rsidR="00952199" w:rsidRDefault="00952199">
      <w:pPr>
        <w:spacing w:before="120" w:after="120" w:line="240" w:lineRule="auto"/>
        <w:jc w:val="both"/>
        <w:rPr>
          <w:rFonts w:ascii="Times New Roman" w:hAnsi="Times New Roman" w:cs="Times New Roman"/>
          <w:noProof/>
          <w:sz w:val="24"/>
          <w:szCs w:val="24"/>
        </w:rPr>
      </w:pPr>
    </w:p>
    <w:p w:rsidR="00952199" w:rsidRDefault="00E04D23">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3.2.</w:t>
      </w:r>
      <w:r>
        <w:rPr>
          <w:rFonts w:ascii="Times New Roman" w:hAnsi="Times New Roman"/>
          <w:b/>
          <w:noProof/>
          <w:sz w:val="24"/>
          <w:szCs w:val="24"/>
        </w:rPr>
        <w:tab/>
        <w:t>A középtáv</w:t>
      </w:r>
      <w:r>
        <w:rPr>
          <w:rFonts w:ascii="Times New Roman" w:hAnsi="Times New Roman"/>
          <w:b/>
          <w:noProof/>
          <w:sz w:val="24"/>
          <w:szCs w:val="24"/>
        </w:rPr>
        <w:t xml:space="preserve">ú gazdasági helyzet </w:t>
      </w:r>
    </w:p>
    <w:p w:rsidR="00952199" w:rsidRDefault="00E04D23">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Lettország reál-GDP-je 2019-ben a stabil magánfogyasztásnak köszönhetően – de a beruházások és az export növekedésének lassulása mellett – 2,2 %-kal nőtt. A Bizottság 2020. tavaszi előrejelzése alapján a Covid19-járvány és annak megfék</w:t>
      </w:r>
      <w:r>
        <w:rPr>
          <w:rFonts w:ascii="Times New Roman" w:hAnsi="Times New Roman"/>
          <w:bCs/>
          <w:noProof/>
          <w:sz w:val="24"/>
          <w:szCs w:val="24"/>
        </w:rPr>
        <w:t>ezésére irányuló intézkedések hatására a reál-GDP 2020-ban várhatóan 7 %-kal csökken. A határlezárások és a csökkenő külföldi kereslet várhatóan a beruházásokra és az exportra lesznek a legkedvezőtlenebb hatással, míg a fogyasztás várhatóan jobb lesz, mint</w:t>
      </w:r>
      <w:r>
        <w:rPr>
          <w:rFonts w:ascii="Times New Roman" w:hAnsi="Times New Roman"/>
          <w:bCs/>
          <w:noProof/>
          <w:sz w:val="24"/>
          <w:szCs w:val="24"/>
        </w:rPr>
        <w:t xml:space="preserve"> más országok esetében. A GDP hirtelen visszaesése enyhítő tényező annak értékelése során, hogy Lettország 2020-ban megfelel-e a hiánykritériumnak.</w:t>
      </w:r>
    </w:p>
    <w:p w:rsidR="00952199" w:rsidRDefault="00E04D23">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A makrogazdasági előrejelzések nagyon bizonytalanok, mivel a Covid19-világjárvány hatása a korlátozó intézke</w:t>
      </w:r>
      <w:r>
        <w:rPr>
          <w:rFonts w:ascii="Times New Roman" w:hAnsi="Times New Roman"/>
          <w:bCs/>
          <w:noProof/>
          <w:sz w:val="24"/>
          <w:szCs w:val="24"/>
        </w:rPr>
        <w:t xml:space="preserve">dések időtartamától és szigorúságától függ. A világjárvány a feltételezettnél súlyosabb és hosszabb időtartamú lehet, ami a járvány megfékezésére irányuló szigorúbb és tartósabb intézkedéseket tehet szükségessé. A feldolgozóipar és az építőipar kínálatára </w:t>
      </w:r>
      <w:r>
        <w:rPr>
          <w:rFonts w:ascii="Times New Roman" w:hAnsi="Times New Roman"/>
          <w:bCs/>
          <w:noProof/>
          <w:sz w:val="24"/>
          <w:szCs w:val="24"/>
        </w:rPr>
        <w:t>vonatkozóan nincsenek korlátozások. Ennek eredményeképpen ezek az ágazatok a vártnál ellenállóbbnak bizonyulhatnak, amennyiben a kereslet helyreáll. Ugyanakkor elképzelhető, hogy az uniós gazdaság helyreállítása nem az előrejelzéseknek megfelelő gyors ütem</w:t>
      </w:r>
      <w:r>
        <w:rPr>
          <w:rFonts w:ascii="Times New Roman" w:hAnsi="Times New Roman"/>
          <w:bCs/>
          <w:noProof/>
          <w:sz w:val="24"/>
          <w:szCs w:val="24"/>
        </w:rPr>
        <w:t>ben halad, ami Lettországban a helyreállítás elhúzódását eredményezheti.</w:t>
      </w:r>
    </w:p>
    <w:p w:rsidR="00952199" w:rsidRDefault="00E04D23">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rFonts w:ascii="Times New Roman" w:hAnsi="Times New Roman"/>
          <w:b/>
          <w:noProof/>
          <w:sz w:val="24"/>
          <w:szCs w:val="24"/>
        </w:rPr>
        <w:tab/>
      </w:r>
      <w:r>
        <w:rPr>
          <w:rFonts w:ascii="Times New Roman" w:hAnsi="Times New Roman"/>
          <w:b/>
          <w:noProof/>
          <w:sz w:val="24"/>
          <w:szCs w:val="24"/>
        </w:rPr>
        <w:tab/>
        <w:t>A középtávú költségvetési helyzet</w:t>
      </w:r>
    </w:p>
    <w:p w:rsidR="00952199" w:rsidRDefault="00E04D23">
      <w:pPr>
        <w:spacing w:before="120" w:after="120" w:line="240" w:lineRule="auto"/>
        <w:jc w:val="both"/>
        <w:rPr>
          <w:rFonts w:ascii="Times New Roman" w:hAnsi="Times New Roman" w:cs="Times New Roman"/>
          <w:noProof/>
          <w:sz w:val="24"/>
          <w:szCs w:val="24"/>
          <w:highlight w:val="yellow"/>
        </w:rPr>
      </w:pPr>
      <w:r>
        <w:rPr>
          <w:rFonts w:ascii="Times New Roman" w:hAnsi="Times New Roman"/>
          <w:noProof/>
          <w:sz w:val="24"/>
          <w:szCs w:val="24"/>
        </w:rPr>
        <w:t>Az eredményadatok és a Bizottság 2020. tavaszi előrejelzése alapján 2019-ben</w:t>
      </w:r>
      <w:r>
        <w:rPr>
          <w:noProof/>
          <w:sz w:val="24"/>
          <w:szCs w:val="24"/>
        </w:rPr>
        <w:t xml:space="preserve"> </w:t>
      </w:r>
      <w:r>
        <w:rPr>
          <w:rFonts w:ascii="Times New Roman" w:hAnsi="Times New Roman"/>
          <w:noProof/>
          <w:sz w:val="24"/>
          <w:szCs w:val="24"/>
        </w:rPr>
        <w:t>a GDP 1,7 %-ának megfelelő lett strukturális hiány – figyelembe vé</w:t>
      </w:r>
      <w:r>
        <w:rPr>
          <w:rFonts w:ascii="Times New Roman" w:hAnsi="Times New Roman"/>
          <w:noProof/>
          <w:sz w:val="24"/>
          <w:szCs w:val="24"/>
        </w:rPr>
        <w:t>ve a GDP 0,5 %-át kitevő egészségügyi reformhoz kapcsolódó engedményt – az értékelés szerint közel lesz a GDP -1,0 %-ában meghatározott középtávú költségvetési célhoz, ami azt mutatja, hogy megfelel a Stabilitási és Növekedési Paktum követelményeinek.</w:t>
      </w:r>
    </w:p>
    <w:p w:rsidR="00952199" w:rsidRDefault="00E04D23">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 st</w:t>
      </w:r>
      <w:r>
        <w:rPr>
          <w:rFonts w:ascii="Times New Roman" w:hAnsi="Times New Roman"/>
          <w:noProof/>
          <w:sz w:val="24"/>
          <w:szCs w:val="24"/>
        </w:rPr>
        <w:t>abilitási program előrejelzése alapján a költségvetési hiány 2020-ban 9,4 %-ra romlik. A gazdasági visszaesés várhatóan a GDP mintegy 5 %-ával csökkenti az államháztartási adóbevételeket és a nem adójellegű bevételeket. A munkanélküliség növekedése, valami</w:t>
      </w:r>
      <w:r>
        <w:rPr>
          <w:rFonts w:ascii="Times New Roman" w:hAnsi="Times New Roman"/>
          <w:noProof/>
          <w:sz w:val="24"/>
          <w:szCs w:val="24"/>
        </w:rPr>
        <w:t>nt a betegszabadság és a szociális ellátás iránti igények növekedése várhatóan a GDP mintegy 1 %-ának megfelelő kiadást fog eredményezni. Továbbá a vállalkozásokat és a háztartásokat támogató intézkedések várhatóan a GDP 3 %-ával növelik 2020-ban a költség</w:t>
      </w:r>
      <w:r>
        <w:rPr>
          <w:rFonts w:ascii="Times New Roman" w:hAnsi="Times New Roman"/>
          <w:noProof/>
          <w:sz w:val="24"/>
          <w:szCs w:val="24"/>
        </w:rPr>
        <w:t xml:space="preserve">vetési hiányt. A válságreagálási intézkedések magukban foglalják a három évig terjedő adóhalasztási lehetőségeket, a kényszerszabadságolt munkavállalók és a munkanélküliek jövedelemtámogatását, valamint likviditási és ágazati támogatási intézkedéseket. Az </w:t>
      </w:r>
      <w:r>
        <w:rPr>
          <w:rFonts w:ascii="Times New Roman" w:hAnsi="Times New Roman"/>
          <w:noProof/>
          <w:sz w:val="24"/>
          <w:szCs w:val="24"/>
        </w:rPr>
        <w:t>ösztönző intézkedések többsége a tervek szerint 2021-ben fejeződik be.</w:t>
      </w:r>
    </w:p>
    <w:p w:rsidR="00952199" w:rsidRDefault="00E04D23">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 Bizottság tavaszi előrejelzése alapján a költségvetési hiány 2020-ban várhatóan eléri a GDP 7,3 %-át. Ez azt feltételezi, hogy az ösztönző intézkedések a stabilitási programban foglal</w:t>
      </w:r>
      <w:r>
        <w:rPr>
          <w:rFonts w:ascii="Times New Roman" w:hAnsi="Times New Roman"/>
          <w:noProof/>
          <w:sz w:val="24"/>
          <w:szCs w:val="24"/>
        </w:rPr>
        <w:t>thoz hasonló hatást fejtenek majd ki, ugyanakkor a foglalkoztatás előre jelzett csökkenése alacsonyabb lesz, és a kiadási oldalon az automatikus stabilizátorok a feltételezés szerint 2020-ban szintén alacsonyabbak lesznek. A makrogazdasági és költségvetési</w:t>
      </w:r>
      <w:r>
        <w:rPr>
          <w:rFonts w:ascii="Times New Roman" w:hAnsi="Times New Roman"/>
          <w:noProof/>
          <w:sz w:val="24"/>
          <w:szCs w:val="24"/>
        </w:rPr>
        <w:t xml:space="preserve"> előrejelzések közötti különbségek az azokat övező nagy fokú bizonytalanságról tanúskodnak. </w:t>
      </w:r>
    </w:p>
    <w:p w:rsidR="00952199" w:rsidRDefault="00E04D23">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3.4.</w:t>
      </w:r>
      <w:r>
        <w:rPr>
          <w:rFonts w:ascii="Times New Roman" w:hAnsi="Times New Roman"/>
          <w:b/>
          <w:noProof/>
          <w:sz w:val="24"/>
          <w:szCs w:val="24"/>
        </w:rPr>
        <w:tab/>
        <w:t>A tagállam által előterjesztett egyéb tényezők</w:t>
      </w:r>
    </w:p>
    <w:p w:rsidR="00952199" w:rsidRDefault="00E04D23">
      <w:pPr>
        <w:spacing w:before="120" w:after="120" w:line="240" w:lineRule="auto"/>
        <w:jc w:val="both"/>
        <w:rPr>
          <w:rFonts w:ascii="Times New Roman" w:eastAsia="Times New Roman" w:hAnsi="Times New Roman" w:cs="Calibri"/>
          <w:bCs/>
          <w:noProof/>
          <w:sz w:val="24"/>
          <w:szCs w:val="24"/>
        </w:rPr>
      </w:pPr>
      <w:r>
        <w:rPr>
          <w:rFonts w:ascii="Times New Roman" w:hAnsi="Times New Roman"/>
          <w:bCs/>
          <w:noProof/>
          <w:sz w:val="24"/>
          <w:szCs w:val="24"/>
        </w:rPr>
        <w:t>A lett hatóságok 2020. május 15-én az 1467/97/EK rendelet 2. cikkének (3) bekezdésével összhangban az érdemlege</w:t>
      </w:r>
      <w:r>
        <w:rPr>
          <w:rFonts w:ascii="Times New Roman" w:hAnsi="Times New Roman"/>
          <w:bCs/>
          <w:noProof/>
          <w:sz w:val="24"/>
          <w:szCs w:val="24"/>
        </w:rPr>
        <w:t>s tényezőket ismertető levelet továbbítottak. Az előző szakaszokban bemutatott elemzés már lényegében tartalmazza a hatóságok által előterjesztett érdemleges tényezőket. Különösen a költségvetési hiányra vonatkozó, a Szerződésben meghatározott referenciaér</w:t>
      </w:r>
      <w:r>
        <w:rPr>
          <w:rFonts w:ascii="Times New Roman" w:hAnsi="Times New Roman"/>
          <w:bCs/>
          <w:noProof/>
          <w:sz w:val="24"/>
          <w:szCs w:val="24"/>
        </w:rPr>
        <w:t xml:space="preserve">ték túllépése kizárólag a Covid19-válság hatásának tudható be. </w:t>
      </w:r>
    </w:p>
    <w:p w:rsidR="00952199" w:rsidRDefault="00E04D23">
      <w:pPr>
        <w:spacing w:before="120" w:after="120" w:line="240" w:lineRule="auto"/>
        <w:jc w:val="both"/>
        <w:rPr>
          <w:rFonts w:ascii="Times New Roman" w:eastAsia="Times New Roman" w:hAnsi="Times New Roman" w:cs="Calibri"/>
          <w:bCs/>
          <w:noProof/>
          <w:sz w:val="24"/>
          <w:szCs w:val="24"/>
          <w:highlight w:val="yellow"/>
        </w:rPr>
      </w:pPr>
      <w:r>
        <w:rPr>
          <w:rFonts w:ascii="Times New Roman" w:hAnsi="Times New Roman"/>
          <w:bCs/>
          <w:noProof/>
          <w:sz w:val="24"/>
          <w:szCs w:val="24"/>
        </w:rPr>
        <w:t xml:space="preserve"> </w:t>
      </w:r>
    </w:p>
    <w:p w:rsidR="00952199" w:rsidRDefault="00E04D23">
      <w:pPr>
        <w:spacing w:before="120" w:after="120" w:line="240" w:lineRule="auto"/>
        <w:jc w:val="both"/>
        <w:rPr>
          <w:rFonts w:ascii="Times New Roman" w:eastAsia="Times New Roman" w:hAnsi="Times New Roman" w:cs="Times New Roman"/>
          <w:b/>
          <w:smallCaps/>
          <w:noProof/>
          <w:sz w:val="24"/>
          <w:szCs w:val="24"/>
        </w:rPr>
      </w:pPr>
      <w:r>
        <w:rPr>
          <w:rFonts w:ascii="Times New Roman" w:hAnsi="Times New Roman"/>
          <w:b/>
          <w:smallCaps/>
          <w:noProof/>
          <w:sz w:val="24"/>
          <w:szCs w:val="24"/>
        </w:rPr>
        <w:t xml:space="preserve"> 4.</w:t>
      </w:r>
      <w:r>
        <w:rPr>
          <w:rFonts w:ascii="Times New Roman" w:hAnsi="Times New Roman"/>
          <w:b/>
          <w:smallCaps/>
          <w:noProof/>
          <w:sz w:val="24"/>
          <w:szCs w:val="24"/>
        </w:rPr>
        <w:tab/>
        <w:t>Következtetések</w:t>
      </w:r>
    </w:p>
    <w:p w:rsidR="00952199" w:rsidRDefault="00E04D23">
      <w:pPr>
        <w:spacing w:before="120" w:after="120" w:line="240" w:lineRule="auto"/>
        <w:jc w:val="both"/>
        <w:rPr>
          <w:rFonts w:ascii="Times New Roman" w:eastAsia="Times New Roman" w:hAnsi="Times New Roman" w:cs="Calibri"/>
          <w:bCs/>
          <w:noProof/>
          <w:sz w:val="24"/>
          <w:szCs w:val="24"/>
          <w:highlight w:val="yellow"/>
        </w:rPr>
      </w:pPr>
      <w:r>
        <w:rPr>
          <w:rFonts w:ascii="Times New Roman" w:hAnsi="Times New Roman"/>
          <w:noProof/>
          <w:sz w:val="24"/>
          <w:szCs w:val="24"/>
        </w:rPr>
        <w:t xml:space="preserve">A stabilitási program </w:t>
      </w:r>
      <w:r>
        <w:rPr>
          <w:rFonts w:ascii="Times New Roman" w:hAnsi="Times New Roman"/>
          <w:bCs/>
          <w:noProof/>
          <w:sz w:val="24"/>
          <w:szCs w:val="24"/>
        </w:rPr>
        <w:t>alapján</w:t>
      </w:r>
      <w:r>
        <w:rPr>
          <w:rFonts w:ascii="Times New Roman" w:hAnsi="Times New Roman"/>
          <w:noProof/>
          <w:sz w:val="24"/>
          <w:szCs w:val="24"/>
        </w:rPr>
        <w:t xml:space="preserve"> Lettország költségvetési hiánya 2020-ban a tervek szerint a GDP 9,4 %-ára emelkedik,</w:t>
      </w:r>
      <w:r>
        <w:rPr>
          <w:rFonts w:ascii="Times New Roman" w:hAnsi="Times New Roman"/>
          <w:bCs/>
          <w:noProof/>
          <w:sz w:val="24"/>
          <w:szCs w:val="24"/>
        </w:rPr>
        <w:t xml:space="preserve"> így meghaladja a Szerződésben szereplő, a GDP 3 %-ában meghatározott referenciaértéket, és nem marad közel ahhoz. A referenciaérték tervezett túllépése kivételesnek minősül, de nem átmeneti. </w:t>
      </w:r>
    </w:p>
    <w:p w:rsidR="00952199" w:rsidRDefault="00E04D23">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 Szerződéssel és a Stabilitási és Növekedési Paktummal összhangban ez a jelentés az érdemleges tényezőket is megvizsgálta. </w:t>
      </w:r>
    </w:p>
    <w:p w:rsidR="00952199" w:rsidRDefault="00E04D23">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Mivel a tervezett hiány jóval a GDP 3 %-a feletti, és a határérték túllépése nem átmeneti, valamint figyelembe véve valamennyi érde</w:t>
      </w:r>
      <w:r>
        <w:rPr>
          <w:rFonts w:ascii="Times New Roman" w:hAnsi="Times New Roman"/>
          <w:noProof/>
          <w:sz w:val="24"/>
          <w:szCs w:val="24"/>
        </w:rPr>
        <w:t>mleges tényezőt, összességében az elemzés arra enged következtetni, hogy a Szerződésben és az 1467/97/EK rendeletben meghatározott hiánykritérium nem teljesül.</w:t>
      </w:r>
    </w:p>
    <w:sectPr w:rsidR="0095219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199" w:rsidRDefault="00E04D23">
      <w:pPr>
        <w:spacing w:after="0" w:line="240" w:lineRule="auto"/>
      </w:pPr>
      <w:r>
        <w:separator/>
      </w:r>
    </w:p>
  </w:endnote>
  <w:endnote w:type="continuationSeparator" w:id="0">
    <w:p w:rsidR="00952199" w:rsidRDefault="00E04D23">
      <w:pPr>
        <w:spacing w:after="0" w:line="240" w:lineRule="auto"/>
      </w:pPr>
      <w:r>
        <w:continuationSeparator/>
      </w:r>
    </w:p>
  </w:endnote>
  <w:endnote w:type="continuationNotice" w:id="1">
    <w:p w:rsidR="00952199" w:rsidRDefault="009521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23" w:rsidRPr="00E04D23" w:rsidRDefault="00E04D23" w:rsidP="00E04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23" w:rsidRPr="00E04D23" w:rsidRDefault="00E04D23" w:rsidP="00E04D23">
    <w:pPr>
      <w:pStyle w:val="FooterCoverPage"/>
      <w:rPr>
        <w:rFonts w:ascii="Arial" w:hAnsi="Arial" w:cs="Arial"/>
        <w:b/>
        <w:sz w:val="48"/>
      </w:rPr>
    </w:pPr>
    <w:r w:rsidRPr="00E04D23">
      <w:rPr>
        <w:rFonts w:ascii="Arial" w:hAnsi="Arial" w:cs="Arial"/>
        <w:b/>
        <w:sz w:val="48"/>
      </w:rPr>
      <w:t>HU</w:t>
    </w:r>
    <w:r w:rsidRPr="00E04D23">
      <w:rPr>
        <w:rFonts w:ascii="Arial" w:hAnsi="Arial" w:cs="Arial"/>
        <w:b/>
        <w:sz w:val="48"/>
      </w:rPr>
      <w:tab/>
    </w:r>
    <w:r w:rsidRPr="00E04D23">
      <w:rPr>
        <w:rFonts w:ascii="Arial" w:hAnsi="Arial" w:cs="Arial"/>
        <w:b/>
        <w:sz w:val="48"/>
      </w:rPr>
      <w:tab/>
    </w:r>
    <w:r w:rsidRPr="00E04D23">
      <w:tab/>
    </w:r>
    <w:r w:rsidRPr="00E04D23">
      <w:rPr>
        <w:rFonts w:ascii="Arial" w:hAnsi="Arial" w:cs="Arial"/>
        <w:b/>
        <w:sz w:val="48"/>
      </w:rPr>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23" w:rsidRPr="00E04D23" w:rsidRDefault="00E04D23" w:rsidP="00E04D23">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99" w:rsidRDefault="009521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99" w:rsidRDefault="00E04D23">
    <w:pPr>
      <w:pStyle w:val="Footer"/>
      <w:jc w:val="center"/>
    </w:pPr>
    <w:r>
      <w:fldChar w:fldCharType="begin"/>
    </w:r>
    <w:r>
      <w:instrText xml:space="preserve"> PAGE   \* MERGEFORMAT </w:instrText>
    </w:r>
    <w:r>
      <w:fldChar w:fldCharType="separate"/>
    </w:r>
    <w:r>
      <w:rPr>
        <w:noProof/>
      </w:rPr>
      <w:t>1</w:t>
    </w:r>
    <w:r>
      <w:fldChar w:fldCharType="end"/>
    </w:r>
  </w:p>
  <w:p w:rsidR="00952199" w:rsidRDefault="0095219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99" w:rsidRDefault="00952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199" w:rsidRDefault="00E04D23">
      <w:pPr>
        <w:spacing w:after="0" w:line="240" w:lineRule="auto"/>
      </w:pPr>
      <w:r>
        <w:separator/>
      </w:r>
    </w:p>
  </w:footnote>
  <w:footnote w:type="continuationSeparator" w:id="0">
    <w:p w:rsidR="00952199" w:rsidRDefault="00E04D23">
      <w:pPr>
        <w:spacing w:after="0" w:line="240" w:lineRule="auto"/>
      </w:pPr>
      <w:r>
        <w:continuationSeparator/>
      </w:r>
    </w:p>
  </w:footnote>
  <w:footnote w:type="continuationNotice" w:id="1">
    <w:p w:rsidR="00952199" w:rsidRDefault="00952199">
      <w:pPr>
        <w:spacing w:after="0" w:line="240" w:lineRule="auto"/>
      </w:pPr>
    </w:p>
  </w:footnote>
  <w:footnote w:id="2">
    <w:p w:rsidR="00952199" w:rsidRDefault="00E04D23">
      <w:pPr>
        <w:pStyle w:val="FootnoteText"/>
      </w:pPr>
      <w:r>
        <w:rPr>
          <w:rStyle w:val="FootnoteReference"/>
        </w:rPr>
        <w:footnoteRef/>
      </w:r>
      <w:r>
        <w:t xml:space="preserve"> </w:t>
      </w:r>
      <w:hyperlink r:id="rId1" w:history="1">
        <w:r>
          <w:rPr>
            <w:rStyle w:val="Hyperlink"/>
          </w:rPr>
          <w:t>https://ec.europa.eu/eurostat/documents/2995521/10294648/2-22042020-AP-EN.pdf/6c8f0ef4-6221-1094-fef7-a07764b0369f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23" w:rsidRPr="00E04D23" w:rsidRDefault="00E04D23" w:rsidP="00E04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23" w:rsidRPr="00E04D23" w:rsidRDefault="00E04D23" w:rsidP="00E04D23">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23" w:rsidRPr="00E04D23" w:rsidRDefault="00E04D23" w:rsidP="00E04D23">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99" w:rsidRDefault="009521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99" w:rsidRDefault="009521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99" w:rsidRDefault="00952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15:restartNumberingAfterBreak="0">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15:restartNumberingAfterBreak="0">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15:restartNumberingAfterBreak="0">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15:restartNumberingAfterBreak="0">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15:restartNumberingAfterBreak="0">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15:restartNumberingAfterBreak="0">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15:restartNumberingAfterBreak="0">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15:restartNumberingAfterBreak="0">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15:restartNumberingAfterBreak="0">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20"/>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This document corrects document COM(2020) 549 final of 20.5.2020._x000b_Concerns all linguistic versions except English, French, German and Latvian._x000b_Modification of the document\u8217?s marking on the cover page._x000b_The text shall read as follows:"/>
    <w:docVar w:name="LW_COVERPAGE_EXISTS" w:val="True"/>
    <w:docVar w:name="LW_COVERPAGE_GUID" w:val="7360EC26-5E52-4D44-AF67-5921469814EA"/>
    <w:docVar w:name="LW_COVERPAGE_TYPE" w:val="1"/>
    <w:docVar w:name="LW_CROSSREFERENCE" w:val="&lt;UNUSED&gt;"/>
    <w:docVar w:name="LW_DocType" w:val="NORMAL"/>
    <w:docVar w:name="LW_EMISSION" w:val="2020.6.4."/>
    <w:docVar w:name="LW_EMISSION_ISODATE" w:val="2020-06-04"/>
    <w:docVar w:name="LW_EMISSION_LOCATION" w:val="BRX"/>
    <w:docVar w:name="LW_EMISSION_PREFIX" w:val="Brüsszel, "/>
    <w:docVar w:name="LW_EMISSION_SUFFIX" w:val=" "/>
    <w:docVar w:name="LW_ID_DOCTYPE_NONLW" w:val="CP-003"/>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2"/>
    <w:docVar w:name="LW_REF.INST.NEW_TEXT" w:val="(2020) 5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ettország_x000b__x000b_Az Európai Unió m\u369?ködésér\u337?l szóló szerz\u337?dés 126. cikkének (3) bekezdése szerinti jelentés"/>
    <w:docVar w:name="LW_TYPE.DOC.CP" w:val="A BIZOTTSÁG JELENTÉSE"/>
  </w:docVars>
  <w:rsids>
    <w:rsidRoot w:val="00952199"/>
    <w:rsid w:val="00952199"/>
    <w:rsid w:val="00E04D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5:docId w15:val="{E75D4807-07A8-4AAD-907B-07443982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41772581">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7183265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995521/10294648/2-22042020-AP-EN.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C09AB-5845-4EC0-8056-2E12E0FE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1377</Words>
  <Characters>9490</Characters>
  <Application>Microsoft Office Word</Application>
  <DocSecurity>0</DocSecurity>
  <Lines>172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PAGANELI Erifili (SG)</cp:lastModifiedBy>
  <cp:revision>30</cp:revision>
  <cp:lastPrinted>2019-05-13T14:09:00Z</cp:lastPrinted>
  <dcterms:created xsi:type="dcterms:W3CDTF">2020-05-18T14:51:00Z</dcterms:created>
  <dcterms:modified xsi:type="dcterms:W3CDTF">2020-06-04T09:55:00Z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CP-003</vt:lpwstr>
  </property>
</Properties>
</file>