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28" w:rsidRDefault="00D10CA9" w:rsidP="00D10CA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5FD3EC3-D598-41FF-A073-3182E271FAF6" style="width:450.4pt;height:414.65pt">
            <v:imagedata r:id="rId8" o:title=""/>
          </v:shape>
        </w:pict>
      </w:r>
    </w:p>
    <w:bookmarkEnd w:id="0"/>
    <w:p w:rsidR="008F2028" w:rsidRDefault="008F2028">
      <w:pPr>
        <w:rPr>
          <w:noProof/>
        </w:rPr>
        <w:sectPr w:rsidR="008F2028" w:rsidSect="00D10CA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D10CA9" w:rsidRPr="00D10CA9" w:rsidRDefault="00D10CA9" w:rsidP="00D10CA9">
      <w:pPr>
        <w:pStyle w:val="Typedudocument"/>
      </w:pPr>
      <w:r w:rsidRPr="00D10CA9">
        <w:lastRenderedPageBreak/>
        <w:t>RAPPORT TAL-KUMMISSJONI</w:t>
      </w:r>
    </w:p>
    <w:p w:rsidR="00D10CA9" w:rsidRPr="00D10CA9" w:rsidRDefault="00D10CA9" w:rsidP="00D10CA9">
      <w:pPr>
        <w:pStyle w:val="Titreobjet"/>
      </w:pPr>
      <w:r w:rsidRPr="00D10CA9">
        <w:t xml:space="preserve">Il-Latvja </w:t>
      </w:r>
      <w:r w:rsidRPr="00D10CA9">
        <w:br/>
        <w:t xml:space="preserve"> </w:t>
      </w:r>
      <w:r w:rsidRPr="00D10CA9">
        <w:br/>
        <w:t xml:space="preserve">Rapport imħejji </w:t>
      </w:r>
      <w:bookmarkStart w:id="1" w:name="_GoBack"/>
      <w:bookmarkEnd w:id="1"/>
      <w:r w:rsidRPr="00D10CA9">
        <w:t>skont l-Artikolu 126(3) tat-Trattat dwar il-Funzjonament tal-Unjoni Ewropea</w:t>
      </w:r>
    </w:p>
    <w:p w:rsidR="008F2028" w:rsidRDefault="00D10CA9">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rFonts w:ascii="Times New Roman" w:hAnsi="Times New Roman"/>
          <w:b/>
          <w:smallCaps/>
          <w:noProof/>
          <w:sz w:val="24"/>
        </w:rPr>
        <w:t>.</w:t>
      </w:r>
      <w:r>
        <w:rPr>
          <w:noProof/>
        </w:rPr>
        <w:tab/>
      </w:r>
      <w:r>
        <w:rPr>
          <w:rFonts w:ascii="Times New Roman" w:hAnsi="Times New Roman"/>
          <w:b/>
          <w:smallCaps/>
          <w:noProof/>
          <w:sz w:val="24"/>
        </w:rPr>
        <w:t xml:space="preserve">Introduzzjoni </w:t>
      </w:r>
    </w:p>
    <w:p w:rsidR="008F2028" w:rsidRDefault="00D10CA9">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Fl-20 ta’ Marzu 2020, il-Kummissjoni adottat Komunikazzjoni dwar l-attivazzjoni tal-klawżola liberatorja ġenerali tal-Patt ta’ Stabbiltà u Tkabbir. Il-klawżola, kif inhu stipulat fl-Artikoli 5(1), 6(3), 9(1) u 10(3) tar-Regolament (KE) 1466/</w:t>
      </w:r>
      <w:r>
        <w:rPr>
          <w:rFonts w:ascii="Times New Roman" w:hAnsi="Times New Roman"/>
          <w:noProof/>
          <w:sz w:val="24"/>
          <w:szCs w:val="24"/>
        </w:rPr>
        <w:t>97 u l-Artikoli 3(5) u 5(2) tar-Regolament (KE) 1467/97, tiffaċilita l-koordinazzjoni tal-politiki baġitarji fi żminijiet ta’ tnaqqis qawwi fir-ritmu ekonomiku. Fil-Komunikazzjoni tagħha, il-Kummissjoni kkondividiet mal-Kunsill il-fehma tagħha li, minħabba</w:t>
      </w:r>
      <w:r>
        <w:rPr>
          <w:rFonts w:ascii="Times New Roman" w:hAnsi="Times New Roman"/>
          <w:noProof/>
          <w:sz w:val="24"/>
          <w:szCs w:val="24"/>
        </w:rPr>
        <w:t xml:space="preserve"> t-tnaqqis qawwi fir-ritmu ekonomiku mistenni kaġun tat-tifqigħa tal-COVID-19, il-kundizzjonijiet attwali jippermettu l-attivazzjoni tal-klawżola. Fit-23 ta’ Marzu 2020, il-Ministri tal-Finanzi tal-Istati Membri qablu mal-valutazzjoni tal-Kummissjoni. L-at</w:t>
      </w:r>
      <w:r>
        <w:rPr>
          <w:rFonts w:ascii="Times New Roman" w:hAnsi="Times New Roman"/>
          <w:noProof/>
          <w:sz w:val="24"/>
          <w:szCs w:val="24"/>
        </w:rPr>
        <w:t>tivazzjoni tal-klawżola liberatorja ġenerali tippermetti tluq temporanju mill-perkors ta’ aġġustament lejn l-objettiv baġitarju ta’ terminu medju, dment li dan ma jipperikolax is-sostenibbiltà fiskali fuq terminu medju. Għall-parti korrettiva, il-Kunsill j</w:t>
      </w:r>
      <w:r>
        <w:rPr>
          <w:rFonts w:ascii="Times New Roman" w:hAnsi="Times New Roman"/>
          <w:noProof/>
          <w:sz w:val="24"/>
          <w:szCs w:val="24"/>
        </w:rPr>
        <w:t>ista’ jiddeċiedi wkoll, fuq rakkomandazzjoni mill-Kummissjoni, li jadotta trajettorja fiskali riveduta. Il-klawżola liberatorja ġenerali ma tissospendix il-proċeduri tal-Patt ta’ Stabbiltà u Tkabbir. Hija tippermetti lill-Istati Membri jitbiegħdu mir-rekwi</w:t>
      </w:r>
      <w:r>
        <w:rPr>
          <w:rFonts w:ascii="Times New Roman" w:hAnsi="Times New Roman"/>
          <w:noProof/>
          <w:sz w:val="24"/>
          <w:szCs w:val="24"/>
        </w:rPr>
        <w:t>żiti baġitarji li normalment japplikaw filwaqt li tippermetti lill-Kummissjoni u lill-Kunsill biex iwettqu l-miżuri ta’ koordinazzjoni tal-politika meħtieġa fil-qafas tal-Patt.</w:t>
      </w:r>
    </w:p>
    <w:p w:rsidR="008F2028" w:rsidRDefault="00D10CA9">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Id-</w:t>
      </w:r>
      <w:r>
        <w:rPr>
          <w:rFonts w:ascii="Times New Roman" w:hAnsi="Times New Roman"/>
          <w:i/>
          <w:iCs/>
          <w:noProof/>
          <w:sz w:val="24"/>
          <w:szCs w:val="24"/>
        </w:rPr>
        <w:t>data</w:t>
      </w:r>
      <w:r>
        <w:rPr>
          <w:rFonts w:ascii="Times New Roman" w:hAnsi="Times New Roman"/>
          <w:noProof/>
          <w:sz w:val="24"/>
          <w:szCs w:val="24"/>
        </w:rPr>
        <w:t xml:space="preserve"> nnotifikata mill-awtoritajiet Latvjani fil-31 ta’ Marzu 2020 u sussegwe</w:t>
      </w:r>
      <w:r>
        <w:rPr>
          <w:rFonts w:ascii="Times New Roman" w:hAnsi="Times New Roman"/>
          <w:noProof/>
          <w:sz w:val="24"/>
          <w:szCs w:val="24"/>
        </w:rPr>
        <w:t>ntement ivvalidata mill-Eurostat</w:t>
      </w:r>
      <w:r>
        <w:rPr>
          <w:rStyle w:val="FootnoteReference"/>
          <w:rFonts w:eastAsiaTheme="minorHAnsi"/>
          <w:noProof/>
        </w:rPr>
        <w:footnoteReference w:id="2"/>
      </w:r>
      <w:r>
        <w:rPr>
          <w:rFonts w:ascii="Times New Roman" w:hAnsi="Times New Roman"/>
          <w:noProof/>
          <w:sz w:val="24"/>
          <w:szCs w:val="24"/>
        </w:rPr>
        <w:t xml:space="preserve"> turi li d-defiċit tal-amministrazzjoni pubblika fil-Latvja laħaq 0,2 % tal-PDG fl-2019, filwaqt li d-dejn gross tal-amministrazzjoni pubblika kien ta’ 36,9 % tal-PDG. Skont il-Programm ta’ Stabbiltà tal-2020, il-Latvja tip</w:t>
      </w:r>
      <w:r>
        <w:rPr>
          <w:rFonts w:ascii="Times New Roman" w:hAnsi="Times New Roman"/>
          <w:noProof/>
          <w:sz w:val="24"/>
          <w:szCs w:val="24"/>
        </w:rPr>
        <w:t>pjana defiċit ta’ 9,4 % tal-PDG fl-2020, filwaqt li d-dejn huwa ppjanat għal 51,7 % tal-PDG.</w:t>
      </w:r>
    </w:p>
    <w:p w:rsidR="008F2028" w:rsidRDefault="00D10CA9">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Id-defiċit ippjanat għall-2020 jipprovdi evidenza </w:t>
      </w:r>
      <w:r>
        <w:rPr>
          <w:rFonts w:ascii="Times New Roman" w:hAnsi="Times New Roman"/>
          <w:i/>
          <w:iCs/>
          <w:noProof/>
          <w:sz w:val="24"/>
          <w:szCs w:val="24"/>
        </w:rPr>
        <w:t>prima facie</w:t>
      </w:r>
      <w:r>
        <w:rPr>
          <w:rFonts w:ascii="Times New Roman" w:hAnsi="Times New Roman"/>
          <w:noProof/>
          <w:sz w:val="24"/>
          <w:szCs w:val="24"/>
        </w:rPr>
        <w:t xml:space="preserve"> dwar l-eżistenza ta’ defiċit eċċessiv kif definit mill-Patt ta’ Stabbiltà u Tkabbir.</w:t>
      </w:r>
    </w:p>
    <w:p w:rsidR="008F2028" w:rsidRDefault="00D10CA9">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Fl-isfond ta’ dan, il-Kummissjoni, għalhekk, ħejjiet dan ir-rapport, li janalizza l-konformità tal-Latvja mal-kriterji tad-defiċit u tad-dejn tat-Trattat. Il-kriterju tad-dejn jista’ jitqies li ġie ssodisfat billi l-proporzjon tad-dejn huwa anqas mill-valu</w:t>
      </w:r>
      <w:r>
        <w:rPr>
          <w:rFonts w:ascii="Times New Roman" w:hAnsi="Times New Roman"/>
          <w:noProof/>
          <w:sz w:val="24"/>
          <w:szCs w:val="24"/>
        </w:rPr>
        <w:t xml:space="preserve">r ta’ referenza ta’ 60 % tal-PDG. Hija tqis il-fatturi rilevanti kollha u tagħti kunsiderazzjoni xierqa lix-xokk ekonomiku kbir marbut mal-pandemija tal-COVID-19. </w:t>
      </w:r>
    </w:p>
    <w:p w:rsidR="008F2028" w:rsidRDefault="00D10CA9">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Tabella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Defiċit u dejn tal-amministrazzjoni pubblika (% tal-PDG) </w:t>
      </w:r>
    </w:p>
    <w:tbl>
      <w:tblPr>
        <w:tblStyle w:val="TableGrid"/>
        <w:tblW w:w="0" w:type="auto"/>
        <w:tblLook w:val="04A0" w:firstRow="1" w:lastRow="0" w:firstColumn="1" w:lastColumn="0" w:noHBand="0" w:noVBand="1"/>
      </w:tblPr>
      <w:tblGrid>
        <w:gridCol w:w="1115"/>
        <w:gridCol w:w="1605"/>
        <w:gridCol w:w="1084"/>
        <w:gridCol w:w="1084"/>
        <w:gridCol w:w="1084"/>
        <w:gridCol w:w="1084"/>
        <w:gridCol w:w="1093"/>
        <w:gridCol w:w="1093"/>
      </w:tblGrid>
      <w:tr w:rsidR="008F2028">
        <w:trPr>
          <w:trHeight w:val="603"/>
        </w:trPr>
        <w:tc>
          <w:tcPr>
            <w:tcW w:w="1154" w:type="dxa"/>
          </w:tcPr>
          <w:p w:rsidR="008F2028" w:rsidRDefault="008F2028">
            <w:pPr>
              <w:keepNext/>
              <w:jc w:val="center"/>
              <w:rPr>
                <w:rFonts w:ascii="Times New Roman" w:eastAsia="Times New Roman" w:hAnsi="Times New Roman" w:cs="Calibri"/>
                <w:noProof/>
                <w:sz w:val="20"/>
                <w:szCs w:val="20"/>
                <w:lang w:eastAsia="en-GB"/>
              </w:rPr>
            </w:pPr>
          </w:p>
        </w:tc>
        <w:tc>
          <w:tcPr>
            <w:tcW w:w="1172" w:type="dxa"/>
          </w:tcPr>
          <w:p w:rsidR="008F2028" w:rsidRDefault="008F2028">
            <w:pPr>
              <w:keepNext/>
              <w:jc w:val="center"/>
              <w:rPr>
                <w:rFonts w:ascii="Times New Roman" w:eastAsia="Times New Roman" w:hAnsi="Times New Roman" w:cs="Calibri"/>
                <w:noProof/>
                <w:sz w:val="20"/>
                <w:szCs w:val="20"/>
                <w:lang w:eastAsia="en-GB"/>
              </w:rPr>
            </w:pP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rsidR="008F2028">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Kriterju tad-defiċit</w:t>
            </w:r>
          </w:p>
        </w:tc>
        <w:tc>
          <w:tcPr>
            <w:tcW w:w="117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Bilanċ tal-amministrazzjoni pubblika</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-7,3</w:t>
            </w:r>
          </w:p>
        </w:tc>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-4,5</w:t>
            </w:r>
          </w:p>
        </w:tc>
      </w:tr>
      <w:tr w:rsidR="008F2028">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Kriterju tad-dejn</w:t>
            </w:r>
          </w:p>
        </w:tc>
        <w:tc>
          <w:tcPr>
            <w:tcW w:w="117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Dejn gross tal-amministrazzjoni pubblika</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40,9</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39,3</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37,2</w:t>
            </w:r>
          </w:p>
        </w:tc>
        <w:tc>
          <w:tcPr>
            <w:tcW w:w="1152"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36,9</w:t>
            </w:r>
          </w:p>
        </w:tc>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43,1</w:t>
            </w:r>
          </w:p>
        </w:tc>
        <w:tc>
          <w:tcPr>
            <w:tcW w:w="1154" w:type="dxa"/>
          </w:tcPr>
          <w:p w:rsidR="008F2028" w:rsidRDefault="00D10CA9">
            <w:pPr>
              <w:keepNext/>
              <w:jc w:val="center"/>
              <w:rPr>
                <w:rFonts w:ascii="Times New Roman" w:eastAsia="Times New Roman" w:hAnsi="Times New Roman" w:cs="Calibri"/>
                <w:noProof/>
                <w:sz w:val="20"/>
                <w:szCs w:val="20"/>
              </w:rPr>
            </w:pPr>
            <w:r>
              <w:rPr>
                <w:rFonts w:ascii="Times New Roman" w:hAnsi="Times New Roman"/>
                <w:noProof/>
                <w:sz w:val="20"/>
                <w:szCs w:val="20"/>
              </w:rPr>
              <w:t>43,7</w:t>
            </w:r>
          </w:p>
        </w:tc>
      </w:tr>
    </w:tbl>
    <w:p w:rsidR="008F2028" w:rsidRDefault="00D10CA9">
      <w:pPr>
        <w:keepNext/>
        <w:spacing w:after="0" w:line="240" w:lineRule="auto"/>
        <w:rPr>
          <w:rFonts w:ascii="Times New Roman" w:eastAsia="Times New Roman" w:hAnsi="Times New Roman" w:cs="Calibri"/>
          <w:noProof/>
          <w:sz w:val="24"/>
        </w:rPr>
      </w:pPr>
      <w:r>
        <w:rPr>
          <w:rFonts w:ascii="Times New Roman" w:hAnsi="Times New Roman"/>
          <w:noProof/>
          <w:sz w:val="20"/>
          <w:szCs w:val="20"/>
        </w:rPr>
        <w:t xml:space="preserve">Sors: Eurostat, it-tbassir </w:t>
      </w:r>
      <w:r>
        <w:rPr>
          <w:rFonts w:ascii="Times New Roman" w:hAnsi="Times New Roman"/>
          <w:noProof/>
          <w:sz w:val="20"/>
          <w:szCs w:val="20"/>
        </w:rPr>
        <w:t>tar-rebbiegħa 2020 tal-Kummissjoni</w:t>
      </w:r>
    </w:p>
    <w:p w:rsidR="008F2028" w:rsidRDefault="00D10CA9">
      <w:pPr>
        <w:pStyle w:val="ManualHeading1"/>
        <w:rPr>
          <w:noProof/>
        </w:rPr>
      </w:pPr>
      <w:r>
        <w:rPr>
          <w:smallCaps w:val="0"/>
          <w:noProof/>
        </w:rPr>
        <w:t>2.</w:t>
      </w:r>
      <w:r>
        <w:rPr>
          <w:noProof/>
        </w:rPr>
        <w:tab/>
        <w:t>Kriterju tad-defiċit</w:t>
      </w:r>
    </w:p>
    <w:p w:rsidR="008F2028" w:rsidRDefault="00D10CA9">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Fuq il-bażi tal-Programm ta’ Stabbiltà tal-2020, id-defiċit tal-amministrazzjoni pubblika fl-2020 huwa ppjanat li jilħaq 9,4 % tal-PDG, ’il fuq u mhux qrib il-valur ta’ referenza tat-Trattat ta’ 3 </w:t>
      </w:r>
      <w:r>
        <w:rPr>
          <w:rFonts w:ascii="Times New Roman" w:hAnsi="Times New Roman"/>
          <w:noProof/>
          <w:sz w:val="24"/>
          <w:szCs w:val="24"/>
        </w:rPr>
        <w:t>% tal-PDG.</w:t>
      </w:r>
    </w:p>
    <w:p w:rsidR="008F2028" w:rsidRDefault="00D10CA9">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L-eċċess ippjanat fuq il-valur ta’ referenza fl-2020 huwa eċċezzjonali, peress li dan jirriżulta minn tnaqqis qawwi fir-ritmu ekonomiku. Jekk jitqies l-impatt tal-pandemija tal-COVID-19, it-tbassir tar-rebbiegħa 2020 tal-Kummissjoni jipprevedi t</w:t>
      </w:r>
      <w:r>
        <w:rPr>
          <w:rFonts w:ascii="Times New Roman" w:hAnsi="Times New Roman"/>
          <w:noProof/>
          <w:sz w:val="24"/>
          <w:szCs w:val="24"/>
        </w:rPr>
        <w:t>naqqis tal-PDG reali fl-2020 b’7,0%.</w:t>
      </w:r>
    </w:p>
    <w:p w:rsidR="008F2028" w:rsidRDefault="00D10CA9">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L-eċċess ippjanat fuq il-valur ta’ referenza tat-Trattat mhuwiex temporanju abbażi tat-tbassir tar-rebbiegħa 2020 tal-Kummissjoni, li jipprevedi li d-defiċit jibqa’ ogħla minn 3 % tal-PDG fl-2021.  </w:t>
      </w:r>
    </w:p>
    <w:p w:rsidR="008F2028" w:rsidRDefault="00D10CA9">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Kollox ma’ kollox, i</w:t>
      </w:r>
      <w:r>
        <w:rPr>
          <w:rFonts w:ascii="Times New Roman" w:hAnsi="Times New Roman"/>
          <w:noProof/>
          <w:sz w:val="24"/>
          <w:szCs w:val="24"/>
        </w:rPr>
        <w:t xml:space="preserve">d-defiċit ippjanat għall-2020 kien ’il fuq u mhux qrib il-valur ta’ referenza ta’ 3 % tal-PDG stabbilit fit-Trattat. L-eċċess ippjanat huwa kkunsidrat eċċezzjonali iżda mhux temporanju kif definit mit-Trattat u mill-Patt ta’ Stabbiltà u Tkabbir. </w:t>
      </w:r>
      <w:r>
        <w:rPr>
          <w:rFonts w:ascii="Times New Roman" w:hAnsi="Times New Roman"/>
          <w:noProof/>
          <w:sz w:val="24"/>
        </w:rPr>
        <w:t xml:space="preserve">Għalhekk, </w:t>
      </w:r>
      <w:r>
        <w:rPr>
          <w:rFonts w:ascii="Times New Roman" w:hAnsi="Times New Roman"/>
          <w:noProof/>
          <w:sz w:val="24"/>
        </w:rPr>
        <w:t xml:space="preserve">l-analiżi tissuġġerixxi li </w:t>
      </w:r>
      <w:r>
        <w:rPr>
          <w:rFonts w:ascii="Times New Roman" w:hAnsi="Times New Roman"/>
          <w:i/>
          <w:noProof/>
          <w:sz w:val="24"/>
        </w:rPr>
        <w:t>prima facie</w:t>
      </w:r>
      <w:r>
        <w:rPr>
          <w:rFonts w:ascii="Times New Roman" w:hAnsi="Times New Roman"/>
          <w:noProof/>
          <w:sz w:val="24"/>
        </w:rPr>
        <w:t xml:space="preserve"> l-kriterju tad-defiċit kif definit mit-Trattat u r-Regolament (KE) Nru 1467/97 mhux issodisfat.</w:t>
      </w:r>
    </w:p>
    <w:p w:rsidR="008F2028" w:rsidRDefault="00D10CA9">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Fatturi rilevanti </w:t>
      </w:r>
    </w:p>
    <w:p w:rsidR="008F2028" w:rsidRDefault="00D10CA9">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L-Artikolu 126(3) tat-Trattat jistipula li, jekk Stat Membru ma jissodisfax il-ħtiġijiet ta’ wieħed minn dawn il-kriterji jew tat-tnejn li huma, il-Kummissjoni jkollha tħejji rapport. Dan ir-rapport irid ukoll “iqis jekk id-dejn tal-gvern ikunx jeċċedi n-n</w:t>
      </w:r>
      <w:r>
        <w:rPr>
          <w:rFonts w:ascii="Times New Roman" w:hAnsi="Times New Roman"/>
          <w:noProof/>
          <w:sz w:val="24"/>
          <w:szCs w:val="24"/>
        </w:rPr>
        <w:t xml:space="preserve">efqa tal-gvern f’investiment u jqis il-fatturi kollha relevanti, inkluża l-pożizzjoni ekonomika u baġitarja għall-futur medju tal-Istat Membru”. </w:t>
      </w:r>
    </w:p>
    <w:p w:rsidR="008F2028" w:rsidRDefault="00D10CA9">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Dawn il-fatturi huma ċċarati aktar fl-Artikolu 2(3) tar-Regolament (KE) Nru 1467/97, li jistipula wkoll li “kw</w:t>
      </w:r>
      <w:r>
        <w:rPr>
          <w:rFonts w:ascii="Times New Roman" w:hAnsi="Times New Roman"/>
          <w:noProof/>
          <w:sz w:val="24"/>
          <w:szCs w:val="24"/>
        </w:rPr>
        <w:t>alunkwe fattur ieħor li, fl-opinjoni tal-Istat Membru kkonċernat huwa rilevanti sabiex tkun ivvalutata b’mod komprensiv il-konformità mal-kriterji tad-defiċit u d-dejn u li l-Istat Membru ressaq quddiem il-Kunsill u l-Kummissjoni” jeħtieġ li jingħata l-kun</w:t>
      </w:r>
      <w:r>
        <w:rPr>
          <w:rFonts w:ascii="Times New Roman" w:hAnsi="Times New Roman"/>
          <w:noProof/>
          <w:sz w:val="24"/>
          <w:szCs w:val="24"/>
        </w:rPr>
        <w:t xml:space="preserve">siderazzjoni dovuta. </w:t>
      </w:r>
    </w:p>
    <w:p w:rsidR="008F2028" w:rsidRDefault="00D10CA9">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Fis-sitwazzjoni attwali, fattur addizzjonali ewlieni li għandu jitqies fir-rigward tal-2020 huwa l-impatt ekonomiku tal-pandemija tal-COVID-19, li huwa sostanzjali ħafna fuq is-sitwazzjoni baġitarja u jirriżulta f’perspettiva inċerta </w:t>
      </w:r>
      <w:r>
        <w:rPr>
          <w:rFonts w:ascii="Times New Roman" w:hAnsi="Times New Roman"/>
          <w:noProof/>
          <w:sz w:val="24"/>
        </w:rPr>
        <w:t>ħafna. Il-pandemija wasslet ukoll għall-attivazzjoni tal-klawżola liberatorja ġenerali.</w:t>
      </w:r>
    </w:p>
    <w:p w:rsidR="008F2028" w:rsidRDefault="00D10CA9">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Il-pandemija tal-COVID-19 </w:t>
      </w:r>
    </w:p>
    <w:p w:rsidR="008F2028" w:rsidRDefault="00D10CA9">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Il-pandemija tal-COVID-19 wasslet għal xokk ekonomiku li qed ikollu impatt negattiv sinifikanti fl-Unjoni Ewropea kollha. Il-konsegwenz</w:t>
      </w:r>
      <w:r>
        <w:rPr>
          <w:rFonts w:ascii="Times New Roman" w:hAnsi="Times New Roman"/>
          <w:bCs/>
          <w:noProof/>
          <w:sz w:val="24"/>
          <w:szCs w:val="24"/>
        </w:rPr>
        <w:t>i għat-tkabbir tal-PDG se jiddependu kemm fuq it-tul tal-pandemija kif ukoll fuq it-tul tal-miżuri li jittieħdu mill-awtoritajiet nazzjonali u fil-livell Ewropew u globali biex titrażżan il-firxa tagħha, biex jiġu mħarsa l-kapaċitajiet tal-produzzjoni u bi</w:t>
      </w:r>
      <w:r>
        <w:rPr>
          <w:rFonts w:ascii="Times New Roman" w:hAnsi="Times New Roman"/>
          <w:bCs/>
          <w:noProof/>
          <w:sz w:val="24"/>
          <w:szCs w:val="24"/>
        </w:rPr>
        <w:t xml:space="preserve">ex tiġi appoġġata d-domanda aggregata. </w:t>
      </w:r>
      <w:r>
        <w:rPr>
          <w:rFonts w:ascii="Times New Roman" w:hAnsi="Times New Roman"/>
          <w:noProof/>
          <w:sz w:val="24"/>
          <w:szCs w:val="24"/>
        </w:rPr>
        <w:t>Il-pajjiżi diġà adottaw, jew qed jadottaw, miżuri baġitarji biex iżidu l-kapaċità tas-sistemi tas-saħħa u jipprovdu l-għajnuna lil-individwi u lis-setturi partikolarment affettwati. Ġew adottati wkoll miżuri ta’ appoġ</w:t>
      </w:r>
      <w:r>
        <w:rPr>
          <w:rFonts w:ascii="Times New Roman" w:hAnsi="Times New Roman"/>
          <w:noProof/>
          <w:sz w:val="24"/>
          <w:szCs w:val="24"/>
        </w:rPr>
        <w:t>ġ</w:t>
      </w:r>
      <w:r>
        <w:rPr>
          <w:rFonts w:ascii="Times New Roman" w:hAnsi="Times New Roman"/>
          <w:noProof/>
          <w:sz w:val="24"/>
          <w:szCs w:val="24"/>
        </w:rPr>
        <w:t xml:space="preserve"> ta’ likwidità sinfikanti u garanziji oħra. Fuq il-bażi ta’ informazzjoni aktar dettaljata, l-awtoritajiet tal-istatistika kompetenti għandhom jeżaminaw jekk dawn jinvolvux impatt immedjat fuq il-bilanċ tal-amministrazzjoni pubblika jew le. Flimkien mat-t</w:t>
      </w:r>
      <w:r>
        <w:rPr>
          <w:rFonts w:ascii="Times New Roman" w:hAnsi="Times New Roman"/>
          <w:noProof/>
          <w:sz w:val="24"/>
          <w:szCs w:val="24"/>
        </w:rPr>
        <w:t>naqqis fl-attività ekonomika, dawk il-miżuri se jikkontribwixxu għal defiċit tal-gvern u u pożizzjonijiet tad-dejn sostanzjalment ogħla.</w:t>
      </w:r>
    </w:p>
    <w:p w:rsidR="008F2028" w:rsidRDefault="008F2028">
      <w:pPr>
        <w:spacing w:before="120" w:after="120" w:line="240" w:lineRule="auto"/>
        <w:jc w:val="both"/>
        <w:rPr>
          <w:rFonts w:ascii="Times New Roman" w:hAnsi="Times New Roman" w:cs="Times New Roman"/>
          <w:noProof/>
          <w:sz w:val="24"/>
          <w:szCs w:val="24"/>
        </w:rPr>
      </w:pPr>
    </w:p>
    <w:p w:rsidR="008F2028" w:rsidRDefault="00D10CA9">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Pożizzjoni ekonomika fi żmien medju </w:t>
      </w:r>
    </w:p>
    <w:p w:rsidR="008F2028" w:rsidRDefault="00D10CA9">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Il-PDG reali tal-Latvja żdied bi 2,2 % fl-2019, xprunat minn konsum privat so</w:t>
      </w:r>
      <w:r>
        <w:rPr>
          <w:rFonts w:ascii="Times New Roman" w:hAnsi="Times New Roman"/>
          <w:bCs/>
          <w:noProof/>
          <w:sz w:val="24"/>
          <w:szCs w:val="24"/>
        </w:rPr>
        <w:t>lidu iżda bi tnaqqis fl-investiment u fit-tkabbir tal-esportazzjoni. Fl-2020, il-PDG reali huwa previst li jonqos b’7 %, affettwat mit-tifqigħa tal-COVID-19 u mill-miżuri ta’ konteniment relatati, fuq il-bażi tat-tbassir tar-rebbiegħa 2020 tal-Kummissjoni.</w:t>
      </w:r>
      <w:r>
        <w:rPr>
          <w:rFonts w:ascii="Times New Roman" w:hAnsi="Times New Roman"/>
          <w:bCs/>
          <w:noProof/>
          <w:sz w:val="24"/>
          <w:szCs w:val="24"/>
        </w:rPr>
        <w:t xml:space="preserve"> L-investimenti u l-esportazzjonijiet huma mistennija li jbatu l-aktar minħabba l-għeluq tal-fruntieri u d-domanda barranija li qed tonqos, filwaqt li l-konsum huwa mistenni li jkun aħjar minn fi Stati Membri oħra. It-tnaqqis drastiku fil-PDG huwa fattur m</w:t>
      </w:r>
      <w:r>
        <w:rPr>
          <w:rFonts w:ascii="Times New Roman" w:hAnsi="Times New Roman"/>
          <w:bCs/>
          <w:noProof/>
          <w:sz w:val="24"/>
          <w:szCs w:val="24"/>
        </w:rPr>
        <w:t>itiganti fil-valutazzjoni tal-konformità tal-Latvja mal-kriterju tad-defiċit fl-2020.</w:t>
      </w:r>
    </w:p>
    <w:p w:rsidR="008F2028" w:rsidRDefault="00D10CA9">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Il-projezzjonijiet makroekonomiċi huma inċerti ħafna, peress li l-impatt tal-pandemija tal-COVID-19 se jiddependi fuq it-tul u s-severità tal-miżuri restrittivi. Il-pande</w:t>
      </w:r>
      <w:r>
        <w:rPr>
          <w:rFonts w:ascii="Times New Roman" w:hAnsi="Times New Roman"/>
          <w:bCs/>
          <w:noProof/>
          <w:sz w:val="24"/>
          <w:szCs w:val="24"/>
        </w:rPr>
        <w:t xml:space="preserve">mija tista’ ssir aktar severa u ddum aktar minn dak preżunt, li jkun jeħtieġ miżuri ta’ konteniment aktar stretti u aktar fit-tul. Ma hemm l-ebda restrizzjoni min-naħa tal-provvista għall-manifattura u l-kostruzzjoni. Minħabba dan, dawn is-setturi jistgħu </w:t>
      </w:r>
      <w:r>
        <w:rPr>
          <w:rFonts w:ascii="Times New Roman" w:hAnsi="Times New Roman"/>
          <w:bCs/>
          <w:noProof/>
          <w:sz w:val="24"/>
          <w:szCs w:val="24"/>
        </w:rPr>
        <w:t>jkunu aktar reżiljenti minn dak preżunt f’każ li jerġa’ jkun hemm domanda. Madankollu, il-perkors tal-irkupru tal-Unjoni jista’ ma jkunx robust kif previst u għalhekk jista’ jirriżulta f’irkupru aktar fit-tul fil-Latvja.</w:t>
      </w:r>
    </w:p>
    <w:p w:rsidR="008F2028" w:rsidRDefault="00D10CA9">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 xml:space="preserve">Pożizzjoni baġitarja fi żmien </w:t>
      </w:r>
      <w:r>
        <w:rPr>
          <w:rFonts w:ascii="Times New Roman" w:hAnsi="Times New Roman"/>
          <w:b/>
          <w:noProof/>
          <w:sz w:val="24"/>
          <w:szCs w:val="24"/>
        </w:rPr>
        <w:t>medju</w:t>
      </w:r>
    </w:p>
    <w:p w:rsidR="008F2028" w:rsidRDefault="00D10CA9">
      <w:pPr>
        <w:spacing w:before="120" w:after="120" w:line="240" w:lineRule="auto"/>
        <w:jc w:val="both"/>
        <w:rPr>
          <w:rFonts w:ascii="Times New Roman" w:hAnsi="Times New Roman" w:cs="Times New Roman"/>
          <w:noProof/>
          <w:sz w:val="24"/>
          <w:highlight w:val="yellow"/>
        </w:rPr>
      </w:pPr>
      <w:r>
        <w:rPr>
          <w:rFonts w:ascii="Times New Roman" w:hAnsi="Times New Roman"/>
          <w:noProof/>
          <w:sz w:val="24"/>
        </w:rPr>
        <w:t>Fl-2019, fuq il-bażi tad-</w:t>
      </w:r>
      <w:r>
        <w:rPr>
          <w:rFonts w:ascii="Times New Roman" w:hAnsi="Times New Roman"/>
          <w:i/>
          <w:iCs/>
          <w:noProof/>
          <w:sz w:val="24"/>
        </w:rPr>
        <w:t>data</w:t>
      </w:r>
      <w:r>
        <w:rPr>
          <w:rFonts w:ascii="Times New Roman" w:hAnsi="Times New Roman"/>
          <w:noProof/>
          <w:sz w:val="24"/>
        </w:rPr>
        <w:t xml:space="preserve"> dwar ir-riżultati u t-tbassir tar-rebbiegħa 2020 tal-Kummissjoni u meta titqies il-konċessjoni ta' 0,5% tal-PDG marbuta mar-riforma tal-kura tas-saħħa, id-defiċit strutturali tal-Latvja ta’ 1,7 % tal-PDG huwa vvalutat li</w:t>
      </w:r>
      <w:r>
        <w:rPr>
          <w:rFonts w:ascii="Times New Roman" w:hAnsi="Times New Roman"/>
          <w:noProof/>
          <w:sz w:val="24"/>
        </w:rPr>
        <w:t xml:space="preserve"> huwa qrib l-objettiv baġitarju fi żmien medju ta’ -1,0 % tal-PDG, li jindika konformità mar-rekwiżiti tal-Patt ta’ Stabbiltà u Tkabbir.</w:t>
      </w:r>
    </w:p>
    <w:p w:rsidR="008F2028" w:rsidRDefault="00D10CA9">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Skont il-Programm ta’ Stabbiltà, id-defiċit tal-amministrazzjoni pubblika se jiddeterjora għal 9,4 % fl-2020. </w:t>
      </w:r>
      <w:r>
        <w:rPr>
          <w:rFonts w:ascii="Times New Roman" w:hAnsi="Times New Roman"/>
          <w:noProof/>
          <w:sz w:val="24"/>
          <w:szCs w:val="24"/>
        </w:rPr>
        <w:t>It-tnaqqis fir-ritmu ekonomiku huwa mistenni li jnaqqas id-dħul mit-taxxa tal-Gvern u dak mhux fiskali b’madwar 5 % tal-PDG. Iż-żieda fiċ-ċifri tal-qgħad u d-domanda ogħla għall-benefiċji tal-liv minħabba l-mard u l-benefiċċji tal-assistenza soċjali huma m</w:t>
      </w:r>
      <w:r>
        <w:rPr>
          <w:rFonts w:ascii="Times New Roman" w:hAnsi="Times New Roman"/>
          <w:noProof/>
          <w:sz w:val="24"/>
          <w:szCs w:val="24"/>
        </w:rPr>
        <w:t>istennija jiswew 1 % tal-PDG. Barra minn hekk, il-miżuri ta’ appoġġ għan-negozji u għall-unitajiet domestiċi huma stmati li jżidu d-defiċit tal-Gvern b’ 3 % tal-PDG fl-2020. Il-miżuri ta’ rispons għall-kriżi jinkludu għażliet ta’ differiment tat-taxxa sa t</w:t>
      </w:r>
      <w:r>
        <w:rPr>
          <w:rFonts w:ascii="Times New Roman" w:hAnsi="Times New Roman"/>
          <w:noProof/>
          <w:sz w:val="24"/>
          <w:szCs w:val="24"/>
        </w:rPr>
        <w:t>liet snin, appoġġ għall-introjtu għal ħaddiema li mhux jaħdmu u li jinsabu qiegħda, kif ukoll miżuri ta’ likwidità u miżuri ta’ appoġġ settorjali. Il-biċċa l-kbira tal-miżuri ta’ stimolu huma ppjanati li jintemmu fl-2021.</w:t>
      </w:r>
    </w:p>
    <w:p w:rsidR="008F2028" w:rsidRDefault="00D10CA9">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Abbażi tat-tbassir tar-rebbiegħa t</w:t>
      </w:r>
      <w:r>
        <w:rPr>
          <w:rFonts w:ascii="Times New Roman" w:hAnsi="Times New Roman"/>
          <w:noProof/>
          <w:sz w:val="24"/>
          <w:szCs w:val="24"/>
        </w:rPr>
        <w:t>al-Kummissjoni, id-defiċit tal-Gvern se jilħaq 7,3 % tal-PDG fl-2020. Dan jassumi effett simili tal-miżuri ta’ stimolu bħal fir-rigward tal-Programm ta’ Stabbiltà, iżda t-tnaqqis fl-impjiegi kif ukoll l-istabilizzaturi awtomatiċi fuq in-naħa tan-nefqa huma</w:t>
      </w:r>
      <w:r>
        <w:rPr>
          <w:rFonts w:ascii="Times New Roman" w:hAnsi="Times New Roman"/>
          <w:noProof/>
          <w:sz w:val="24"/>
          <w:szCs w:val="24"/>
        </w:rPr>
        <w:t xml:space="preserve"> preżunti li jkunu aktar baxxi fl-2020. Id-differenzi fil-projezzjonijiet makroekonomiċi u fiskali juru l-inċertezza kbira marbuta magħhom. </w:t>
      </w:r>
    </w:p>
    <w:p w:rsidR="008F2028" w:rsidRDefault="00D10CA9">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Fatturi oħrajn imressqa mill-Istat Membru</w:t>
      </w:r>
    </w:p>
    <w:p w:rsidR="008F2028" w:rsidRDefault="00D10CA9">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Fil-15 ta’ Mejju 2020, l-awtoritajiet Latvjani bagħtu ittra bil-fattu</w:t>
      </w:r>
      <w:r>
        <w:rPr>
          <w:rFonts w:ascii="Times New Roman" w:hAnsi="Times New Roman"/>
          <w:bCs/>
          <w:noProof/>
          <w:sz w:val="24"/>
        </w:rPr>
        <w:t>ri rilevanti skont l-Artikolu 2(3) tar-Regolament (KE) Nru 1467/97. L-analiżi ppreżentata fit-taqsimiet preċedenti tkopri diġà b’mod wiesa’ l-fatturi ewlenin imressqa mill-awtoritajiet. B’mod partikolari, l-eċċess tad-defiċit tal-Gvern fuq il-valur tar-ref</w:t>
      </w:r>
      <w:r>
        <w:rPr>
          <w:rFonts w:ascii="Times New Roman" w:hAnsi="Times New Roman"/>
          <w:bCs/>
          <w:noProof/>
          <w:sz w:val="24"/>
        </w:rPr>
        <w:t xml:space="preserve">erenza tat-Trattat huwa esklussivament dovut għall-impatt tal-kriżi tal-COVID-19. </w:t>
      </w:r>
    </w:p>
    <w:p w:rsidR="008F2028" w:rsidRDefault="00D10CA9">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 </w:t>
      </w:r>
    </w:p>
    <w:p w:rsidR="008F2028" w:rsidRDefault="00D10CA9">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Konklużjonijiet</w:t>
      </w:r>
    </w:p>
    <w:p w:rsidR="008F2028" w:rsidRDefault="00D10CA9">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sz w:val="24"/>
        </w:rPr>
        <w:t>Skont il-Programm ta’ Stabbiltà, id-defiċit tal-amministrazzjoni pubblika tal-Latvja fl-2020 huwa ppjanat li jiżdied għal 9,4 % tal-PDG, ’il fuq u mhux</w:t>
      </w:r>
      <w:r>
        <w:rPr>
          <w:rFonts w:ascii="Times New Roman" w:hAnsi="Times New Roman"/>
          <w:noProof/>
          <w:sz w:val="24"/>
        </w:rPr>
        <w:t xml:space="preserve"> qrib il-valur ta’ referenza ta’ 3 % tal-PDG skont it-Trattat.</w:t>
      </w:r>
      <w:r>
        <w:rPr>
          <w:rFonts w:ascii="Times New Roman" w:hAnsi="Times New Roman"/>
          <w:bCs/>
          <w:noProof/>
          <w:sz w:val="24"/>
        </w:rPr>
        <w:t xml:space="preserve"> L-eċċess ippjanat fuq il-valur ta’ referenza huwa kkunsidrat eċċezzjonali iżda mhux temporanju. </w:t>
      </w:r>
    </w:p>
    <w:p w:rsidR="008F2028" w:rsidRDefault="00D10CA9">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F’konformità mat-Trattat u mal-Patt ta’ Stabbiltà u Tkabbir, dan ir-rapport eżamina wkoll il-fat</w:t>
      </w:r>
      <w:r>
        <w:rPr>
          <w:rFonts w:ascii="Times New Roman" w:hAnsi="Times New Roman"/>
          <w:noProof/>
          <w:sz w:val="24"/>
        </w:rPr>
        <w:t xml:space="preserve">turi rilevanti. </w:t>
      </w:r>
    </w:p>
    <w:p w:rsidR="008F2028" w:rsidRDefault="00D10CA9">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B’mod ġenerali, id-defiċit ippjanat huwa ferm ogħla minn 3 % tal-PDG, l-eċċess mhuwiex temporanju u meta jitqiesu l-fatturi rilevanti kollha, l-analiżi tissuġġerixxi li l-kriterju tad-defiċit kif definit fit-Trattat u fir-Regolament (KE) N</w:t>
      </w:r>
      <w:r>
        <w:rPr>
          <w:rFonts w:ascii="Times New Roman" w:hAnsi="Times New Roman"/>
          <w:noProof/>
          <w:sz w:val="24"/>
        </w:rPr>
        <w:t>ru 1467/1997 mhuwiex issodisfat.</w:t>
      </w:r>
    </w:p>
    <w:sectPr w:rsidR="008F202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28" w:rsidRDefault="00D10CA9">
      <w:pPr>
        <w:spacing w:after="0" w:line="240" w:lineRule="auto"/>
      </w:pPr>
      <w:r>
        <w:separator/>
      </w:r>
    </w:p>
  </w:endnote>
  <w:endnote w:type="continuationSeparator" w:id="0">
    <w:p w:rsidR="008F2028" w:rsidRDefault="00D10CA9">
      <w:pPr>
        <w:spacing w:after="0" w:line="240" w:lineRule="auto"/>
      </w:pPr>
      <w:r>
        <w:continuationSeparator/>
      </w:r>
    </w:p>
  </w:endnote>
  <w:endnote w:type="continuationNotice" w:id="1">
    <w:p w:rsidR="008F2028" w:rsidRDefault="008F2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A9" w:rsidRPr="00D10CA9" w:rsidRDefault="00D10CA9" w:rsidP="00D10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A9" w:rsidRPr="00D10CA9" w:rsidRDefault="00D10CA9" w:rsidP="00D10CA9">
    <w:pPr>
      <w:pStyle w:val="FooterCoverPage"/>
      <w:rPr>
        <w:rFonts w:ascii="Arial" w:hAnsi="Arial" w:cs="Arial"/>
        <w:b/>
        <w:sz w:val="48"/>
      </w:rPr>
    </w:pPr>
    <w:r w:rsidRPr="00D10CA9">
      <w:rPr>
        <w:rFonts w:ascii="Arial" w:hAnsi="Arial" w:cs="Arial"/>
        <w:b/>
        <w:sz w:val="48"/>
      </w:rPr>
      <w:t>MT</w:t>
    </w:r>
    <w:r w:rsidRPr="00D10CA9">
      <w:rPr>
        <w:rFonts w:ascii="Arial" w:hAnsi="Arial" w:cs="Arial"/>
        <w:b/>
        <w:sz w:val="48"/>
      </w:rPr>
      <w:tab/>
    </w:r>
    <w:r w:rsidRPr="00D10CA9">
      <w:rPr>
        <w:rFonts w:ascii="Arial" w:hAnsi="Arial" w:cs="Arial"/>
        <w:b/>
        <w:sz w:val="48"/>
      </w:rPr>
      <w:tab/>
    </w:r>
    <w:r w:rsidRPr="00D10CA9">
      <w:tab/>
    </w:r>
    <w:r w:rsidRPr="00D10CA9">
      <w:rPr>
        <w:rFonts w:ascii="Arial" w:hAnsi="Arial" w:cs="Arial"/>
        <w:b/>
        <w:sz w:val="48"/>
      </w:rPr>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A9" w:rsidRPr="00D10CA9" w:rsidRDefault="00D10CA9" w:rsidP="00D10CA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28" w:rsidRDefault="008F20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28" w:rsidRDefault="00D10CA9">
    <w:pPr>
      <w:pStyle w:val="Footer"/>
      <w:jc w:val="center"/>
    </w:pPr>
    <w:r>
      <w:fldChar w:fldCharType="begin"/>
    </w:r>
    <w:r>
      <w:instrText xml:space="preserve"> PAGE   \* MERGEFORMAT </w:instrText>
    </w:r>
    <w:r>
      <w:fldChar w:fldCharType="separate"/>
    </w:r>
    <w:r>
      <w:rPr>
        <w:noProof/>
      </w:rPr>
      <w:t>1</w:t>
    </w:r>
    <w:r>
      <w:fldChar w:fldCharType="end"/>
    </w:r>
  </w:p>
  <w:p w:rsidR="008F2028" w:rsidRDefault="008F20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28" w:rsidRDefault="008F2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28" w:rsidRDefault="00D10CA9">
      <w:pPr>
        <w:spacing w:after="0" w:line="240" w:lineRule="auto"/>
      </w:pPr>
      <w:r>
        <w:separator/>
      </w:r>
    </w:p>
  </w:footnote>
  <w:footnote w:type="continuationSeparator" w:id="0">
    <w:p w:rsidR="008F2028" w:rsidRDefault="00D10CA9">
      <w:pPr>
        <w:spacing w:after="0" w:line="240" w:lineRule="auto"/>
      </w:pPr>
      <w:r>
        <w:continuationSeparator/>
      </w:r>
    </w:p>
  </w:footnote>
  <w:footnote w:type="continuationNotice" w:id="1">
    <w:p w:rsidR="008F2028" w:rsidRDefault="008F2028">
      <w:pPr>
        <w:spacing w:after="0" w:line="240" w:lineRule="auto"/>
      </w:pPr>
    </w:p>
  </w:footnote>
  <w:footnote w:id="2">
    <w:p w:rsidR="008F2028" w:rsidRDefault="00D10CA9">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A9" w:rsidRPr="00D10CA9" w:rsidRDefault="00D10CA9" w:rsidP="00D10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A9" w:rsidRPr="00D10CA9" w:rsidRDefault="00D10CA9" w:rsidP="00D10CA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A9" w:rsidRPr="00D10CA9" w:rsidRDefault="00D10CA9" w:rsidP="00D10CA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28" w:rsidRDefault="008F20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28" w:rsidRDefault="008F20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28" w:rsidRDefault="008F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15:restartNumberingAfterBreak="0">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15:restartNumberingAfterBreak="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20) 549 final of 20.5.2020._x000b_Concerns all linguistic versions except English, French, German and Latvian._x000b_Modification of the document\u8217?s marking on the cover page._x000b_The text shall read as follows:"/>
    <w:docVar w:name="LW_COVERPAGE_EXISTS" w:val="True"/>
    <w:docVar w:name="LW_COVERPAGE_GUID" w:val="05FD3EC3-D598-41FF-A073-3182E271FAF6"/>
    <w:docVar w:name="LW_COVERPAGE_TYPE" w:val="1"/>
    <w:docVar w:name="LW_CROSSREFERENCE" w:val="&lt;UNUSED&gt;"/>
    <w:docVar w:name="LW_DocType" w:val="NORMAL"/>
    <w:docVar w:name="LW_EMISSION" w:val="4.6.2020"/>
    <w:docVar w:name="LW_EMISSION_ISODATE" w:val="2020-06-04"/>
    <w:docVar w:name="LW_EMISSION_LOCATION" w:val="BRX"/>
    <w:docVar w:name="LW_EMISSION_PREFIX" w:val="Brussell, "/>
    <w:docVar w:name="LW_EMISSION_SUFFIX" w:val=" "/>
    <w:docVar w:name="LW_ID_DOCTYPE_NONLW" w:val="CP-003"/>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2"/>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Il-Latvja _x000b_ _x000b_Rapport im\u295?ejji skont l-Artikolu 126(3) tat-Trattat dwar il-Funzjonament tal-Unjoni Ewropea"/>
    <w:docVar w:name="LW_TYPE.DOC.CP" w:val="RAPPORT TAL-KUMMISSJONI"/>
  </w:docVars>
  <w:rsids>
    <w:rsidRoot w:val="008F2028"/>
    <w:rsid w:val="008F2028"/>
    <w:rsid w:val="00D10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5:docId w15:val="{8D3CA7AB-42E6-438F-B351-A5AA48D3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EE5D-7B62-4F21-8A6A-22BB4F63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1308</Words>
  <Characters>9223</Characters>
  <Application>Microsoft Office Word</Application>
  <DocSecurity>0</DocSecurity>
  <Lines>170</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PAGANELI Erifili (SG)</cp:lastModifiedBy>
  <cp:revision>31</cp:revision>
  <cp:lastPrinted>2019-05-13T14:09:00Z</cp:lastPrinted>
  <dcterms:created xsi:type="dcterms:W3CDTF">2020-06-02T13:28:00Z</dcterms:created>
  <dcterms:modified xsi:type="dcterms:W3CDTF">2020-06-04T11:32:00Z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