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71780C5-544C-4326-AA8D-E0E61EF1865B" style="width:450.8pt;height:351.5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t>1.</w:t>
      </w:r>
      <w:r>
        <w:tab/>
      </w:r>
      <w:r>
        <w:rPr>
          <w:noProof/>
        </w:rPr>
        <w:t>PASIŪLYMO APLINKYBĖS</w:t>
      </w:r>
    </w:p>
    <w:p>
      <w:pPr>
        <w:pStyle w:val="ManualHeading2"/>
        <w:rPr>
          <w:rFonts w:eastAsia="Arial Unicode MS"/>
          <w:noProof/>
        </w:rPr>
      </w:pPr>
      <w:r>
        <w:rPr>
          <w:noProof/>
          <w:color w:val="000000"/>
          <w:u w:color="000000"/>
          <w:bdr w:val="nil"/>
        </w:rPr>
        <w:t>•</w:t>
      </w:r>
      <w:r>
        <w:rPr>
          <w:noProof/>
        </w:rPr>
        <w:tab/>
        <w:t>Pasiūlymo pagrindimas ir tikslai</w:t>
      </w:r>
    </w:p>
    <w:p>
      <w:pPr>
        <w:pBdr>
          <w:top w:val="nil"/>
          <w:left w:val="nil"/>
          <w:bottom w:val="nil"/>
          <w:right w:val="nil"/>
          <w:between w:val="nil"/>
          <w:bar w:val="nil"/>
        </w:pBdr>
        <w:spacing w:before="0" w:after="240"/>
        <w:rPr>
          <w:noProof/>
        </w:rPr>
      </w:pPr>
      <w:r>
        <w:rPr>
          <w:noProof/>
        </w:rPr>
        <w:t>Pagal Tarybos reglamento (EB) 168/2007, įsteigiančio Europos Sąjungos pagrindinių teisių agentūrą</w:t>
      </w:r>
      <w:r>
        <w:rPr>
          <w:rStyle w:val="FootnoteReference"/>
          <w:rFonts w:eastAsia="Arial Unicode MS"/>
          <w:noProof/>
          <w:lang w:eastAsia="en-GB"/>
        </w:rPr>
        <w:footnoteReference w:id="1"/>
      </w:r>
      <w:r>
        <w:rPr>
          <w:noProof/>
        </w:rPr>
        <w:t>, (toliau – Steigimo reglamentas) 2 straipsnį šios agentūros uždavinys – „teikti pagalbą atitinkamoms Bendrijos ir jos valstybių narių institucijoms, organams, biurams ir agentūroms, joms įgyvendinant Bendrijos teisę, ir dalintis patirtimi pagrindinių teisių srityje, siekiant joms padėti visapusiškai gerbti pagrindines teises, kai jos pagal savo atitinkamą kompetenciją imasi priemonių ar nustato veiksmų kryptis“.</w:t>
      </w:r>
    </w:p>
    <w:p>
      <w:pPr>
        <w:pBdr>
          <w:top w:val="nil"/>
          <w:left w:val="nil"/>
          <w:bottom w:val="nil"/>
          <w:right w:val="nil"/>
          <w:between w:val="nil"/>
          <w:bar w:val="nil"/>
        </w:pBdr>
        <w:spacing w:before="0" w:after="240"/>
        <w:rPr>
          <w:noProof/>
        </w:rPr>
      </w:pPr>
      <w:r>
        <w:rPr>
          <w:noProof/>
        </w:rPr>
        <w:t>Kas penkerius metus Europos Sąjungos pagrindinių teisių agentūra (toliau – Agentūra) paveda atlikti nepriklausomą jos rezultatų išorinį įvertinimą (pagal Steigimo reglamento 30 straipsnio 3 ir 4 dalis). Pirmasis Agentūros išorinis įvertinimas buvo atliktas 2012 m.</w:t>
      </w:r>
      <w:r>
        <w:rPr>
          <w:rStyle w:val="FootnoteReference"/>
          <w:rFonts w:eastAsia="Arial Unicode MS"/>
          <w:noProof/>
          <w:lang w:eastAsia="en-GB"/>
        </w:rPr>
        <w:footnoteReference w:id="2"/>
      </w:r>
      <w:r>
        <w:rPr>
          <w:noProof/>
        </w:rPr>
        <w:t xml:space="preserve"> ir dėl jo nebuvo padaryta jokių Steigimo reglamento pakeitimų. Antrasis išorinis įvertinimas</w:t>
      </w:r>
      <w:r>
        <w:rPr>
          <w:rStyle w:val="FootnoteReference"/>
          <w:rFonts w:eastAsia="Arial Unicode MS"/>
          <w:noProof/>
          <w:lang w:eastAsia="en-GB"/>
        </w:rPr>
        <w:footnoteReference w:id="3"/>
      </w:r>
      <w:r>
        <w:rPr>
          <w:noProof/>
        </w:rPr>
        <w:t xml:space="preserve"> atliktas 2017 m. Komisijos tarnybos išnagrinėjo išorės vertintojo ir Agentūros valdančiosios tarybos Komisijai pateiktas rekomendacijas (2019 m. liepos 26 d. Komisijos tarnybų darbinis dokumentas</w:t>
      </w:r>
      <w:r>
        <w:rPr>
          <w:rStyle w:val="FootnoteReference"/>
          <w:noProof/>
        </w:rPr>
        <w:footnoteReference w:id="4"/>
      </w:r>
      <w:r>
        <w:rPr>
          <w:noProof/>
        </w:rPr>
        <w:t xml:space="preserve">). </w:t>
      </w:r>
    </w:p>
    <w:p>
      <w:pPr>
        <w:pBdr>
          <w:top w:val="nil"/>
          <w:left w:val="nil"/>
          <w:bottom w:val="nil"/>
          <w:right w:val="nil"/>
          <w:between w:val="nil"/>
          <w:bar w:val="nil"/>
        </w:pBdr>
        <w:spacing w:before="0" w:after="240"/>
        <w:rPr>
          <w:noProof/>
        </w:rPr>
      </w:pPr>
      <w:r>
        <w:rPr>
          <w:noProof/>
        </w:rPr>
        <w:t xml:space="preserve">Atsižvelgiant į išorinio įvertinimo išvadas ir Komisijos tarnybų analizę, šiuo pasiūlymu siekiama padaryti keletą tikslinių techninių Agentūros steigimo reglamento pakeitimų. </w:t>
      </w:r>
    </w:p>
    <w:p>
      <w:pPr>
        <w:pBdr>
          <w:top w:val="nil"/>
          <w:left w:val="nil"/>
          <w:bottom w:val="nil"/>
          <w:right w:val="nil"/>
          <w:between w:val="nil"/>
          <w:bar w:val="nil"/>
        </w:pBdr>
        <w:spacing w:before="0" w:after="240"/>
        <w:rPr>
          <w:noProof/>
        </w:rPr>
      </w:pPr>
      <w:r>
        <w:rPr>
          <w:noProof/>
        </w:rPr>
        <w:t xml:space="preserve">Siūlomų pakeitimų tikslas yra dvejopas: </w:t>
      </w:r>
    </w:p>
    <w:p>
      <w:pPr>
        <w:pStyle w:val="Tiret0"/>
        <w:numPr>
          <w:ilvl w:val="0"/>
          <w:numId w:val="11"/>
        </w:numPr>
        <w:rPr>
          <w:rFonts w:eastAsia="Arial Unicode MS"/>
          <w:noProof/>
        </w:rPr>
      </w:pPr>
      <w:r>
        <w:rPr>
          <w:noProof/>
        </w:rPr>
        <w:t>suderinti tam tikras Agentūros steigimo reglamento nuostatas su bendruoju požiūriu, išdėstytu 2012 m. liepos 19 d. bendro Europos Parlamento, ES Tarybos ir Europos Komisijos pareiškimo dėl decentralizuotų agentūrų (toliau – bendras požiūris)</w:t>
      </w:r>
      <w:r>
        <w:rPr>
          <w:rStyle w:val="FootnoteReference"/>
          <w:rFonts w:eastAsia="Arial Unicode MS"/>
          <w:noProof/>
          <w:lang w:eastAsia="en-GB"/>
        </w:rPr>
        <w:footnoteReference w:id="5"/>
      </w:r>
      <w:r>
        <w:rPr>
          <w:noProof/>
        </w:rPr>
        <w:t xml:space="preserve"> priede, kad būtų padidintas Agentūros veiksmingumas, aktualumas ir sustiprintas jos valdymas;</w:t>
      </w:r>
    </w:p>
    <w:p>
      <w:pPr>
        <w:pStyle w:val="Tiret0"/>
        <w:numPr>
          <w:ilvl w:val="0"/>
          <w:numId w:val="11"/>
        </w:numPr>
        <w:rPr>
          <w:noProof/>
        </w:rPr>
      </w:pPr>
      <w:r>
        <w:rPr>
          <w:noProof/>
        </w:rPr>
        <w:t xml:space="preserve">patikslinti, kad įsigaliojus Lisabonos sutarčiai Agentūros veiklos sritis apima Sąjungos kompetenciją, vadinasi į ją patenka ir policijos bei teisminio bendradarbiavimo baudžiamosiose bylose teminės sritys. </w:t>
      </w:r>
    </w:p>
    <w:p>
      <w:pPr>
        <w:rPr>
          <w:noProof/>
        </w:rPr>
      </w:pPr>
      <w:r>
        <w:rPr>
          <w:noProof/>
        </w:rPr>
        <w:t xml:space="preserve">Nors tai yra tiesioginė teisinė Lisabonos sutarties, kuria Bendrija buvo pakeista Sąjunga, įsigaliojimo pasekmė, tikslinga tai išdėstyti Steigimo reglamente, kad būtų visapusiškai atspindėta Agentūros svarba teikiant Sąjungos institucijoms, įstaigoms, organams ir agentūroms bei valstybėms narėms pagalbą su pagrindinėmis teisėmis susijusiais klausimais. </w:t>
      </w:r>
    </w:p>
    <w:p>
      <w:pPr>
        <w:pBdr>
          <w:top w:val="nil"/>
          <w:left w:val="nil"/>
          <w:bottom w:val="nil"/>
          <w:right w:val="nil"/>
          <w:between w:val="nil"/>
          <w:bar w:val="nil"/>
        </w:pBdr>
        <w:spacing w:before="0" w:after="240"/>
        <w:rPr>
          <w:noProof/>
        </w:rPr>
      </w:pPr>
      <w:r>
        <w:rPr>
          <w:noProof/>
        </w:rPr>
        <w:t>Šis pasiūlymas nėra pagal Reglamentavimo kokybės ir rezultatų programą (REFIT) vykdoma iniciatyva.</w:t>
      </w:r>
    </w:p>
    <w:p>
      <w:pPr>
        <w:pStyle w:val="ManualHeading2"/>
        <w:rPr>
          <w:rFonts w:eastAsia="Arial Unicode MS"/>
          <w:noProof/>
          <w:color w:val="000000"/>
          <w:u w:color="000000"/>
          <w:bdr w:val="nil"/>
        </w:rPr>
      </w:pPr>
      <w:r>
        <w:rPr>
          <w:noProof/>
          <w:color w:val="000000"/>
          <w:u w:color="000000"/>
          <w:bdr w:val="nil"/>
        </w:rPr>
        <w:lastRenderedPageBreak/>
        <w:t>•</w:t>
      </w:r>
      <w:r>
        <w:rPr>
          <w:noProof/>
        </w:rPr>
        <w:tab/>
        <w:t>Suderinamumas su šioje politikos srityje galiojančiomis nuostatomis</w:t>
      </w:r>
    </w:p>
    <w:p>
      <w:pPr>
        <w:pBdr>
          <w:top w:val="nil"/>
          <w:left w:val="nil"/>
          <w:bottom w:val="nil"/>
          <w:right w:val="nil"/>
          <w:between w:val="nil"/>
          <w:bar w:val="nil"/>
        </w:pBdr>
        <w:spacing w:before="0" w:after="240"/>
        <w:rPr>
          <w:noProof/>
        </w:rPr>
      </w:pPr>
      <w:r>
        <w:rPr>
          <w:noProof/>
        </w:rPr>
        <w:t xml:space="preserve">Agentūra įsteigta Tarybos reglamentu (EB) Nr. 168/2007. Agentūros uždavinys – „teikti pagalbą atitinkamoms Bendrijos ir jos valstybių narių institucijoms, organams, biurams ir agentūroms, joms įgyvendinant Bendrijos teisę, ir dalintis patirtimi pagrindinių teisių srityje, siekiant joms padėti visapusiškai gerbti pagrindines teises, kai jos pagal savo atitinkamą kompetenciją imasi priemonių ar nustato veiksmų kryptis“ (Steigimo reglamento 2 straipsnis). </w:t>
      </w:r>
    </w:p>
    <w:p>
      <w:pPr>
        <w:pBdr>
          <w:top w:val="nil"/>
          <w:left w:val="nil"/>
          <w:bottom w:val="nil"/>
          <w:right w:val="nil"/>
          <w:between w:val="nil"/>
          <w:bar w:val="nil"/>
        </w:pBdr>
        <w:spacing w:before="0" w:after="240"/>
        <w:rPr>
          <w:noProof/>
        </w:rPr>
      </w:pPr>
      <w:r>
        <w:rPr>
          <w:noProof/>
        </w:rPr>
        <w:t xml:space="preserve">Pagal pasiūlymą Agentūros įgaliojimai išlieka nepakitę. Tačiau praėjus trylikai metų nuo Steigimo reglamento priėmimo reikia padaryti keletą techninių pakeitimų siekiant jį suderinti su bendro požiūrio reikalavimais, kad būtų pagerintas Agentūros valdymas, veiksmingumas ir veiklos rezultatai, ir paaiškinti, kad nuo Lisabonos sutarties įsigaliojimo 2009 m. gruodžio mėn. Agentūros kompetencija yra Sąjungos teisė. </w:t>
      </w:r>
    </w:p>
    <w:p>
      <w:pPr>
        <w:pStyle w:val="ManualHeading2"/>
        <w:rPr>
          <w:rFonts w:eastAsia="Arial Unicode MS"/>
          <w:noProof/>
        </w:rPr>
      </w:pPr>
      <w:r>
        <w:rPr>
          <w:noProof/>
          <w:color w:val="000000"/>
          <w:u w:color="000000"/>
          <w:bdr w:val="nil"/>
        </w:rPr>
        <w:t>•</w:t>
      </w:r>
      <w:r>
        <w:rPr>
          <w:noProof/>
        </w:rPr>
        <w:tab/>
        <w:t>Suderinamumas su kitomis Sąjungos politikos sritimis</w:t>
      </w:r>
    </w:p>
    <w:p>
      <w:pPr>
        <w:pBdr>
          <w:top w:val="nil"/>
          <w:left w:val="nil"/>
          <w:bottom w:val="nil"/>
          <w:right w:val="nil"/>
          <w:between w:val="nil"/>
          <w:bar w:val="nil"/>
        </w:pBdr>
        <w:spacing w:before="0" w:after="240"/>
        <w:rPr>
          <w:noProof/>
        </w:rPr>
      </w:pPr>
      <w:r>
        <w:rPr>
          <w:noProof/>
        </w:rPr>
        <w:t>Visose Sąjungos politikos srityse turi būti gerbiamos pagrindinės teisės, įtvirtintos Europos Sąjungos pagrindinių teisių chartijoje (toliau – ES pagrindinių teisių chartija). Suteikus Agentūrai galimybę veiksmingiau teikti ES institucijoms ir įstaigoms ekspertines žinias ir pagalbą pagrindinių teisių srityje, siūlomais Agentūros steigimo reglamento pakeitimais bus pagerinta kitų Sąjungos politikos sričių kokybė.</w:t>
      </w:r>
    </w:p>
    <w:p>
      <w:pPr>
        <w:pStyle w:val="ManualHeading1"/>
        <w:rPr>
          <w:noProof/>
        </w:rPr>
      </w:pPr>
      <w:r>
        <w:t>2.</w:t>
      </w:r>
      <w:r>
        <w:tab/>
      </w:r>
      <w:r>
        <w:rPr>
          <w:noProof/>
        </w:rPr>
        <w:t>TEISINIS PAGRINDAS, SUBSIDIARUMO IR PROPORCINGUMO PRINCIPAI</w:t>
      </w:r>
    </w:p>
    <w:p>
      <w:pPr>
        <w:pStyle w:val="ManualHeading2"/>
        <w:rPr>
          <w:rFonts w:eastAsia="Arial Unicode MS"/>
          <w:noProof/>
          <w:u w:color="000000"/>
          <w:bdr w:val="nil"/>
        </w:rPr>
      </w:pPr>
      <w:r>
        <w:rPr>
          <w:noProof/>
          <w:u w:color="000000"/>
          <w:bdr w:val="nil"/>
        </w:rPr>
        <w:t>•</w:t>
      </w:r>
      <w:r>
        <w:rPr>
          <w:noProof/>
        </w:rPr>
        <w:tab/>
      </w:r>
      <w:r>
        <w:rPr>
          <w:noProof/>
          <w:u w:color="000000"/>
          <w:bdr w:val="nil"/>
        </w:rPr>
        <w:t>Teisinis pagrindas</w:t>
      </w:r>
    </w:p>
    <w:p>
      <w:pPr>
        <w:pBdr>
          <w:top w:val="nil"/>
          <w:left w:val="nil"/>
          <w:bottom w:val="nil"/>
          <w:right w:val="nil"/>
          <w:between w:val="nil"/>
          <w:bar w:val="nil"/>
        </w:pBdr>
        <w:spacing w:before="0" w:after="240"/>
        <w:rPr>
          <w:rFonts w:eastAsia="Arial Unicode MS"/>
          <w:noProof/>
        </w:rPr>
      </w:pPr>
      <w:r>
        <w:rPr>
          <w:noProof/>
        </w:rPr>
        <w:t>Teisinis siūlomo reglamento pagrindas yra Sutarties dėl Europos Sąjungos veikimo (SESV) 352 straipsnis. Bendras Europos Sąjungos tikslas – užtikrinti, kad jos veiksmais būtų visapusiškai gerbiamos ES pagrindinių teisių chartijoje įtvirtintos pagrindinės teisės. Atlikus siūlomus techninius pakeitimus padidės Agentūros veiksmingumas, aktualumas ir pagerės jos valdymas, – tai padės siekti šio tikslo, Sutartyje tuo tikslu nesant nustatyta konkrečių įgaliojimų.</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Subsidiarumo principas </w:t>
      </w:r>
    </w:p>
    <w:p>
      <w:pPr>
        <w:pBdr>
          <w:top w:val="nil"/>
          <w:left w:val="nil"/>
          <w:bottom w:val="nil"/>
          <w:right w:val="nil"/>
          <w:between w:val="nil"/>
          <w:bar w:val="nil"/>
        </w:pBdr>
        <w:spacing w:before="0" w:after="240"/>
        <w:rPr>
          <w:rFonts w:eastAsia="Arial Unicode MS"/>
          <w:noProof/>
        </w:rPr>
      </w:pPr>
      <w:r>
        <w:rPr>
          <w:noProof/>
        </w:rPr>
        <w:t xml:space="preserve">Šiame pasiūlyme nagrinėjami tam tikri aspektai, susiję su Agentūros vidaus veikimu ir jos veikimo būdu ES institucinėje struktūroje. Todėl šio pasiūlymo tikslų negalima pasiekti imantis veiksmų nacionaliniu lygmeniu. </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Proporcingumo principas</w:t>
      </w:r>
    </w:p>
    <w:p>
      <w:pPr>
        <w:pBdr>
          <w:top w:val="nil"/>
          <w:left w:val="nil"/>
          <w:bottom w:val="nil"/>
          <w:right w:val="nil"/>
          <w:between w:val="nil"/>
          <w:bar w:val="nil"/>
        </w:pBdr>
        <w:spacing w:before="0" w:after="240"/>
        <w:rPr>
          <w:noProof/>
        </w:rPr>
      </w:pPr>
      <w:r>
        <w:rPr>
          <w:noProof/>
        </w:rPr>
        <w:t xml:space="preserve">Proporcingumo principo visapusiškai laikomasi, nes siūlomi pakeitimai susiję tik su tomis Steigimo reglamento dalimis, kuriose reikalingas paaiškinimas ar pakeitimai, kad būtų padidintas Agentūros veiksmingumas, aktualumas ir pagerintas jos valdymas. </w:t>
      </w:r>
    </w:p>
    <w:p>
      <w:pPr>
        <w:pStyle w:val="ManualHeading2"/>
        <w:rPr>
          <w:rFonts w:eastAsia="Arial Unicode MS"/>
          <w:noProof/>
          <w:u w:color="000000"/>
          <w:bdr w:val="nil"/>
        </w:rPr>
      </w:pPr>
      <w:r>
        <w:rPr>
          <w:noProof/>
          <w:u w:color="000000"/>
          <w:bdr w:val="nil"/>
        </w:rPr>
        <w:t>•</w:t>
      </w:r>
      <w:r>
        <w:rPr>
          <w:noProof/>
        </w:rPr>
        <w:tab/>
      </w:r>
      <w:r>
        <w:rPr>
          <w:noProof/>
          <w:u w:color="000000"/>
          <w:bdr w:val="nil"/>
        </w:rPr>
        <w:t>Priemonės pasirinkimas</w:t>
      </w:r>
    </w:p>
    <w:p>
      <w:pPr>
        <w:pBdr>
          <w:top w:val="nil"/>
          <w:left w:val="nil"/>
          <w:bottom w:val="nil"/>
          <w:right w:val="nil"/>
          <w:between w:val="nil"/>
          <w:bar w:val="nil"/>
        </w:pBdr>
        <w:spacing w:before="0" w:after="240"/>
        <w:rPr>
          <w:noProof/>
        </w:rPr>
      </w:pPr>
      <w:r>
        <w:rPr>
          <w:noProof/>
        </w:rPr>
        <w:t xml:space="preserve">Tarybos reglamentas yra vienintelė tinkama priemonė iš dalies pakeisti galiojantį Tarybos reglamentą (EB) Nr. 168/2007. </w:t>
      </w:r>
    </w:p>
    <w:p>
      <w:pPr>
        <w:pStyle w:val="ManualHeading1"/>
        <w:rPr>
          <w:noProof/>
        </w:rPr>
      </w:pPr>
      <w:r>
        <w:lastRenderedPageBreak/>
        <w:t>3.</w:t>
      </w:r>
      <w:r>
        <w:tab/>
      </w:r>
      <w:r>
        <w:rPr>
          <w:i/>
          <w:iCs/>
          <w:noProof/>
        </w:rPr>
        <w:t>EX POST</w:t>
      </w:r>
      <w:r>
        <w:rPr>
          <w:noProof/>
        </w:rPr>
        <w:t xml:space="preserve"> VERTINIMO, KONSULTACIJŲ SU SUINTERESUOTOSIOMIS ŠALIMIS IR POVEIKIO VERTINIMO REZULTATAI</w:t>
      </w:r>
    </w:p>
    <w:p>
      <w:pPr>
        <w:pStyle w:val="ManualHeading2"/>
        <w:rPr>
          <w:rFonts w:eastAsia="Arial Unicode MS"/>
          <w:noProof/>
          <w:u w:color="000000"/>
          <w:bdr w:val="nil"/>
        </w:rPr>
      </w:pPr>
      <w:r>
        <w:rPr>
          <w:noProof/>
          <w:u w:color="000000"/>
          <w:bdr w:val="nil"/>
        </w:rPr>
        <w:t>•</w:t>
      </w:r>
      <w:r>
        <w:rPr>
          <w:noProof/>
        </w:rPr>
        <w:tab/>
      </w:r>
      <w:r>
        <w:rPr>
          <w:i/>
          <w:iCs/>
          <w:noProof/>
          <w:u w:color="000000"/>
          <w:bdr w:val="nil"/>
        </w:rPr>
        <w:t>Ex post</w:t>
      </w:r>
      <w:r>
        <w:rPr>
          <w:noProof/>
          <w:u w:color="000000"/>
          <w:bdr w:val="nil"/>
        </w:rPr>
        <w:t xml:space="preserve"> vertinimai</w:t>
      </w:r>
    </w:p>
    <w:p>
      <w:pPr>
        <w:pBdr>
          <w:top w:val="nil"/>
          <w:left w:val="nil"/>
          <w:bottom w:val="nil"/>
          <w:right w:val="nil"/>
          <w:between w:val="nil"/>
          <w:bar w:val="nil"/>
        </w:pBdr>
        <w:spacing w:before="0" w:after="240"/>
        <w:rPr>
          <w:rFonts w:eastAsia="Arial Unicode MS"/>
          <w:noProof/>
        </w:rPr>
      </w:pPr>
      <w:r>
        <w:rPr>
          <w:noProof/>
        </w:rPr>
        <w:t xml:space="preserve">Pirmiau minėtame antrajame Agentūros išoriniame įvertinime padaryta išvada, kad Agentūra turėtų tęsti savo darbą ir kad dabartiniai jos įgaliojimai yra aktualūs ir atitinka suinteresuotųjų subjektų poreikius. Išorės vertintojas pranešė, kad didžioji dauguma suinteresuotųjų subjektų pripažįsta Agentūros ES pridėtinę vertę ir mano, kad Agentūros veiklos rezultatų kokybė yra neginčijama ir jos veiksmingumas bei poveikis ES lygmeniu yra matomas. Tačiau išorės vertintojas padarė išvadą, kad, siekiant pagerinti Agentūros valdymą, veiksmingumą ir veiklos rezultatus, reikalingi kai kurie tiksliniai techniniai Steigimo reglamento pakeitimai: i) pirma, reikėtų aiškiai nurodyti, kad nuo Lisabonos sutarties įsigaliojimo 2009 m. gruodžio mėn. Agentūra veikia Sąjungos kompetencijos srityje; ii) antra, siekiant didesnio veiksmingumo ir geresnio valdymo, Agentūros steigimo reglamentas turėtų būti suderintas su bendru požiūriu į decentralizuotas agentūras. </w:t>
      </w:r>
    </w:p>
    <w:p>
      <w:pPr>
        <w:pStyle w:val="ManualHeading2"/>
        <w:rPr>
          <w:rFonts w:eastAsia="Arial Unicode MS"/>
          <w:noProof/>
          <w:u w:color="000000"/>
          <w:bdr w:val="nil"/>
        </w:rPr>
      </w:pPr>
      <w:r>
        <w:rPr>
          <w:noProof/>
          <w:u w:color="000000"/>
          <w:bdr w:val="nil"/>
        </w:rPr>
        <w:t>•</w:t>
      </w:r>
      <w:r>
        <w:rPr>
          <w:noProof/>
        </w:rPr>
        <w:tab/>
      </w:r>
      <w:r>
        <w:rPr>
          <w:noProof/>
          <w:u w:color="000000"/>
          <w:bdr w:val="nil"/>
        </w:rPr>
        <w:t>Konsultacijos su suinteresuotosiomis šalimis</w:t>
      </w:r>
    </w:p>
    <w:p>
      <w:pPr>
        <w:pBdr>
          <w:top w:val="nil"/>
          <w:left w:val="nil"/>
          <w:bottom w:val="nil"/>
          <w:right w:val="nil"/>
          <w:between w:val="nil"/>
          <w:bar w:val="nil"/>
        </w:pBdr>
        <w:spacing w:before="0" w:after="240"/>
        <w:rPr>
          <w:noProof/>
        </w:rPr>
      </w:pPr>
      <w:r>
        <w:rPr>
          <w:noProof/>
        </w:rPr>
        <w:t xml:space="preserve">Antrasis Agentūros išorinis įvertinimas buvo atliktas remiantis plataus masto konsultacijomis su suinteresuotaisiais subjektais, įskaitant valstybių narių valdžios institucijas, ES ir tarptautines institucijas, pilietinės visuomenės organizacijas, akademinę bendruomenę ir tarptautines organizacijas. </w:t>
      </w:r>
    </w:p>
    <w:p>
      <w:pPr>
        <w:pStyle w:val="ManualHeading2"/>
        <w:rPr>
          <w:rFonts w:eastAsia="Arial Unicode MS"/>
          <w:noProof/>
          <w:u w:color="000000"/>
          <w:bdr w:val="nil"/>
        </w:rPr>
      </w:pPr>
      <w:r>
        <w:rPr>
          <w:noProof/>
          <w:u w:color="000000"/>
          <w:bdr w:val="nil"/>
        </w:rPr>
        <w:t>•</w:t>
      </w:r>
      <w:r>
        <w:rPr>
          <w:noProof/>
        </w:rPr>
        <w:tab/>
      </w:r>
      <w:r>
        <w:rPr>
          <w:noProof/>
          <w:u w:color="000000"/>
          <w:bdr w:val="nil"/>
        </w:rPr>
        <w:t>Tiriamųjų duomenų rinkimas ir naudojimas</w:t>
      </w:r>
    </w:p>
    <w:p>
      <w:pPr>
        <w:pBdr>
          <w:top w:val="nil"/>
          <w:left w:val="nil"/>
          <w:bottom w:val="nil"/>
          <w:right w:val="nil"/>
          <w:between w:val="nil"/>
          <w:bar w:val="nil"/>
        </w:pBdr>
        <w:spacing w:before="0" w:after="240"/>
        <w:rPr>
          <w:rFonts w:eastAsia="Arial Unicode MS"/>
          <w:noProof/>
        </w:rPr>
      </w:pPr>
      <w:r>
        <w:rPr>
          <w:noProof/>
        </w:rPr>
        <w:t xml:space="preserve">Iniciatyva grindžiama 2017 m. atliktu Agentūros išoriniu įvertinimu ir Komisijos tarnybų darbiniu dokumentu, kuriame analizuojamos išorės vertintojo ir Agentūros valdančiosios tarybos Komisijai pateiktos rekomendacijos (SWD(2019)313). Tarnybų darbinis dokumentas taip pat buvo grindžiamas konsultacijomis su Agentūros suinteresuotaisiais subjektais ir Komisijos atstovų Agentūros valdančiojoje taryboje patirtimi. </w:t>
      </w:r>
    </w:p>
    <w:p>
      <w:pPr>
        <w:pStyle w:val="ManualHeading2"/>
        <w:rPr>
          <w:rFonts w:eastAsia="Arial Unicode MS"/>
          <w:noProof/>
          <w:u w:color="000000"/>
          <w:bdr w:val="nil"/>
        </w:rPr>
      </w:pPr>
      <w:r>
        <w:rPr>
          <w:noProof/>
          <w:u w:color="000000"/>
          <w:bdr w:val="nil"/>
        </w:rPr>
        <w:t>•</w:t>
      </w:r>
      <w:r>
        <w:rPr>
          <w:noProof/>
        </w:rPr>
        <w:tab/>
      </w:r>
      <w:r>
        <w:rPr>
          <w:noProof/>
          <w:u w:color="000000"/>
          <w:bdr w:val="nil"/>
        </w:rPr>
        <w:t>Poveikio vertinimas</w:t>
      </w:r>
    </w:p>
    <w:p>
      <w:pPr>
        <w:pBdr>
          <w:top w:val="nil"/>
          <w:left w:val="nil"/>
          <w:bottom w:val="nil"/>
          <w:right w:val="nil"/>
          <w:between w:val="nil"/>
          <w:bar w:val="nil"/>
        </w:pBdr>
        <w:spacing w:before="0" w:after="240"/>
        <w:rPr>
          <w:noProof/>
        </w:rPr>
      </w:pPr>
      <w:r>
        <w:rPr>
          <w:noProof/>
        </w:rPr>
        <w:t xml:space="preserve">Siūlomi Agentūros steigimo reglamento pakeitimai yra techninio pobūdžio. Jie neturės jokio poveikio piliečiams, įmonėms, valstybėms narėms ar valdžios institucijų biudžetams. Iniciatyva turės poveikį tik pačiai Agentūrai. Todėl poveikio vertinimo atlikti nereikėjo. </w:t>
      </w:r>
    </w:p>
    <w:p>
      <w:pPr>
        <w:pStyle w:val="ManualHeading2"/>
        <w:rPr>
          <w:rFonts w:eastAsia="Arial Unicode MS"/>
          <w:noProof/>
          <w:u w:color="000000"/>
          <w:bdr w:val="nil"/>
        </w:rPr>
      </w:pPr>
      <w:r>
        <w:rPr>
          <w:noProof/>
          <w:u w:color="000000"/>
          <w:bdr w:val="nil"/>
        </w:rPr>
        <w:t>•</w:t>
      </w:r>
      <w:r>
        <w:rPr>
          <w:noProof/>
        </w:rPr>
        <w:tab/>
      </w:r>
      <w:r>
        <w:rPr>
          <w:noProof/>
          <w:u w:color="000000"/>
          <w:bdr w:val="nil"/>
        </w:rPr>
        <w:t>Reglamentavimo tinkamumas ir supaprastinimas</w:t>
      </w:r>
    </w:p>
    <w:p>
      <w:pPr>
        <w:pBdr>
          <w:top w:val="nil"/>
          <w:left w:val="nil"/>
          <w:bottom w:val="nil"/>
          <w:right w:val="nil"/>
          <w:between w:val="nil"/>
          <w:bar w:val="nil"/>
        </w:pBdr>
        <w:spacing w:before="0" w:after="240"/>
        <w:rPr>
          <w:noProof/>
        </w:rPr>
      </w:pPr>
      <w:r>
        <w:rPr>
          <w:noProof/>
        </w:rPr>
        <w:t xml:space="preserve">Netaikoma. Pasiūlymas nesusijęs su programa REFIT. </w:t>
      </w:r>
    </w:p>
    <w:p>
      <w:pPr>
        <w:pStyle w:val="ManualHeading2"/>
        <w:rPr>
          <w:rFonts w:eastAsia="Arial Unicode MS"/>
          <w:noProof/>
          <w:u w:color="000000"/>
          <w:bdr w:val="nil"/>
        </w:rPr>
      </w:pPr>
      <w:r>
        <w:rPr>
          <w:noProof/>
          <w:u w:color="000000"/>
          <w:bdr w:val="nil"/>
        </w:rPr>
        <w:t>•</w:t>
      </w:r>
      <w:r>
        <w:rPr>
          <w:noProof/>
        </w:rPr>
        <w:tab/>
      </w:r>
      <w:r>
        <w:rPr>
          <w:noProof/>
          <w:u w:color="000000"/>
          <w:bdr w:val="nil"/>
        </w:rPr>
        <w:t>Pagrindinės teisės</w:t>
      </w:r>
    </w:p>
    <w:p>
      <w:pPr>
        <w:pBdr>
          <w:top w:val="nil"/>
          <w:left w:val="nil"/>
          <w:bottom w:val="nil"/>
          <w:right w:val="nil"/>
          <w:between w:val="nil"/>
          <w:bar w:val="nil"/>
        </w:pBdr>
        <w:spacing w:before="0" w:after="240"/>
        <w:rPr>
          <w:noProof/>
        </w:rPr>
      </w:pPr>
      <w:r>
        <w:rPr>
          <w:noProof/>
        </w:rPr>
        <w:t>Agentūra teikia duomenis ir ekspertines žinias apie pagrindinių teisių padėtį valstybėse narėse. Ji informuoja apie ES institucijų ir valstybių narių darbą pagrindinių teisių srityje. Pasiūlymu bus pagerintas Agentūros valdymas, veiksmingumas ir veiklos rezultatai, todėl ji galės geriau vykdyti teisės aktais nustatytus įgaliojimus.</w:t>
      </w:r>
    </w:p>
    <w:p>
      <w:pPr>
        <w:pStyle w:val="ManualHeading1"/>
        <w:rPr>
          <w:noProof/>
        </w:rPr>
      </w:pPr>
      <w:r>
        <w:t>4.</w:t>
      </w:r>
      <w:r>
        <w:tab/>
      </w:r>
      <w:r>
        <w:rPr>
          <w:noProof/>
        </w:rPr>
        <w:t>POVEIKIS BIUDŽETUI</w:t>
      </w:r>
    </w:p>
    <w:p>
      <w:pPr>
        <w:rPr>
          <w:noProof/>
        </w:rPr>
      </w:pPr>
      <w:r>
        <w:rPr>
          <w:noProof/>
        </w:rPr>
        <w:t>Pasiūlymas neturi poveikio biudžetui, nes Agentūrai nebus pavesta papildomų užduočių, o jos įgaliojimai išliks nepakitę.</w:t>
      </w:r>
    </w:p>
    <w:p>
      <w:pPr>
        <w:pStyle w:val="ManualHeading1"/>
        <w:rPr>
          <w:noProof/>
        </w:rPr>
      </w:pPr>
      <w:r>
        <w:lastRenderedPageBreak/>
        <w:t>5.</w:t>
      </w:r>
      <w:r>
        <w:tab/>
      </w:r>
      <w:r>
        <w:rPr>
          <w:noProof/>
        </w:rPr>
        <w:t>KITI ELEMENTAI</w:t>
      </w:r>
    </w:p>
    <w:p>
      <w:pPr>
        <w:pStyle w:val="ManualHeading2"/>
        <w:rPr>
          <w:rFonts w:eastAsia="Arial Unicode MS"/>
          <w:noProof/>
          <w:u w:color="000000"/>
          <w:bdr w:val="nil"/>
        </w:rPr>
      </w:pPr>
      <w:r>
        <w:rPr>
          <w:noProof/>
          <w:u w:color="000000"/>
          <w:bdr w:val="nil"/>
        </w:rPr>
        <w:t>•</w:t>
      </w:r>
      <w:r>
        <w:rPr>
          <w:noProof/>
        </w:rPr>
        <w:tab/>
      </w:r>
      <w:r>
        <w:rPr>
          <w:noProof/>
          <w:u w:color="000000"/>
          <w:bdr w:val="nil"/>
        </w:rPr>
        <w:t>Įgyvendinimo planai ir stebėsena, vertinimas ir ataskaitų teikimo tvarka</w:t>
      </w:r>
    </w:p>
    <w:p>
      <w:pPr>
        <w:pBdr>
          <w:top w:val="nil"/>
          <w:left w:val="nil"/>
          <w:bottom w:val="nil"/>
          <w:right w:val="nil"/>
          <w:between w:val="nil"/>
          <w:bar w:val="nil"/>
        </w:pBdr>
        <w:spacing w:before="0" w:after="240"/>
        <w:rPr>
          <w:noProof/>
        </w:rPr>
      </w:pPr>
      <w:r>
        <w:rPr>
          <w:noProof/>
        </w:rPr>
        <w:t xml:space="preserve">Vadovaujantis bendru požiūriu į decentralizuotas agentūras, į pasiūlymą įtraukta nuostata dėl Komisijos atliekamo Agentūros vertinimo. </w:t>
      </w:r>
    </w:p>
    <w:p>
      <w:pPr>
        <w:pStyle w:val="ManualHeading2"/>
        <w:rPr>
          <w:rFonts w:eastAsia="Arial Unicode MS"/>
          <w:noProof/>
          <w:u w:color="000000"/>
          <w:bdr w:val="nil"/>
        </w:rPr>
      </w:pPr>
      <w:r>
        <w:rPr>
          <w:noProof/>
          <w:u w:color="000000"/>
          <w:bdr w:val="nil"/>
        </w:rPr>
        <w:t>•</w:t>
      </w:r>
      <w:r>
        <w:rPr>
          <w:noProof/>
        </w:rPr>
        <w:tab/>
      </w:r>
      <w:r>
        <w:rPr>
          <w:noProof/>
          <w:u w:color="000000"/>
          <w:bdr w:val="nil"/>
        </w:rPr>
        <w:t>Aiškinamieji dokumentai (direktyvoms)</w:t>
      </w:r>
    </w:p>
    <w:p>
      <w:pPr>
        <w:pBdr>
          <w:top w:val="nil"/>
          <w:left w:val="nil"/>
          <w:bottom w:val="nil"/>
          <w:right w:val="nil"/>
          <w:between w:val="nil"/>
          <w:bar w:val="nil"/>
        </w:pBdr>
        <w:spacing w:before="0" w:after="240"/>
        <w:rPr>
          <w:rFonts w:eastAsia="Arial Unicode MS"/>
          <w:noProof/>
        </w:rPr>
      </w:pPr>
      <w:r>
        <w:rPr>
          <w:noProof/>
        </w:rPr>
        <w:t>Netaikoma.</w:t>
      </w:r>
    </w:p>
    <w:p>
      <w:pPr>
        <w:pStyle w:val="ManualHeading2"/>
        <w:rPr>
          <w:rFonts w:eastAsia="Arial Unicode MS"/>
          <w:noProof/>
          <w:u w:color="000000"/>
          <w:bdr w:val="nil"/>
        </w:rPr>
      </w:pPr>
      <w:r>
        <w:rPr>
          <w:noProof/>
          <w:u w:color="000000"/>
          <w:bdr w:val="nil"/>
        </w:rPr>
        <w:t>•</w:t>
      </w:r>
      <w:r>
        <w:rPr>
          <w:noProof/>
        </w:rPr>
        <w:tab/>
      </w:r>
      <w:r>
        <w:rPr>
          <w:noProof/>
          <w:u w:color="000000"/>
          <w:bdr w:val="nil"/>
        </w:rPr>
        <w:t>Išsamus konkrečių pasiūlymo nuostatų paaiškinimas</w:t>
      </w:r>
    </w:p>
    <w:p>
      <w:pPr>
        <w:pBdr>
          <w:top w:val="nil"/>
          <w:left w:val="nil"/>
          <w:bottom w:val="nil"/>
          <w:right w:val="nil"/>
          <w:between w:val="nil"/>
          <w:bar w:val="nil"/>
        </w:pBdr>
        <w:spacing w:before="0" w:after="240"/>
        <w:rPr>
          <w:noProof/>
        </w:rPr>
      </w:pPr>
      <w:r>
        <w:rPr>
          <w:noProof/>
        </w:rPr>
        <w:t>Pasiūlymą sudaro du straipsniai. Pirmajame straipsnyje nurodyti siūlomi Agentūros steigimo reglamento pakeitimai, o antrasis straipsnis susijęs su siūlomo iš dalies keičiančio reglamento įsigaliojimu.</w:t>
      </w:r>
    </w:p>
    <w:p>
      <w:pPr>
        <w:pBdr>
          <w:top w:val="nil"/>
          <w:left w:val="nil"/>
          <w:bottom w:val="nil"/>
          <w:right w:val="nil"/>
          <w:between w:val="nil"/>
          <w:bar w:val="nil"/>
        </w:pBdr>
        <w:spacing w:before="0" w:after="240"/>
        <w:rPr>
          <w:noProof/>
        </w:rPr>
      </w:pPr>
      <w:r>
        <w:rPr>
          <w:noProof/>
        </w:rPr>
        <w:t xml:space="preserve">3 straipsnio (Taikymo sritis) pakeitimas paprasčiausiai atspindi įsigaliojusios Lisabonos sutarties pasekmes Agentūros veiklos sričiai – dabar ji yra ne „Bendrijos teisė“, o „Sąjungos teisė“, todėl apima policijos bendradarbiavimo ir teisminio bendradarbiavimo baudžiamosiose bylose sritį (buvęs vadinamasis Europos Sąjungos trečiasis ramstis). </w:t>
      </w:r>
    </w:p>
    <w:p>
      <w:pPr>
        <w:pBdr>
          <w:top w:val="nil"/>
          <w:left w:val="nil"/>
          <w:bottom w:val="nil"/>
          <w:right w:val="nil"/>
          <w:between w:val="nil"/>
          <w:bar w:val="nil"/>
        </w:pBdr>
        <w:spacing w:before="0" w:after="240"/>
        <w:rPr>
          <w:noProof/>
        </w:rPr>
      </w:pPr>
      <w:r>
        <w:rPr>
          <w:noProof/>
        </w:rPr>
        <w:t>Visi kiti siūlomi pakeitimai yra susiję su Steigimo reglamento suderinimu su bendru požiūriu ir Finansiniu pagrindų reglamentu, siekiant padidinti Agentūros veiksmingumą, aktualumą ir pagerinti jos valdymą.</w:t>
      </w:r>
    </w:p>
    <w:p>
      <w:pPr>
        <w:pBdr>
          <w:top w:val="nil"/>
          <w:left w:val="nil"/>
          <w:bottom w:val="nil"/>
          <w:right w:val="nil"/>
          <w:between w:val="nil"/>
          <w:bar w:val="nil"/>
        </w:pBdr>
        <w:spacing w:before="0" w:after="240"/>
        <w:rPr>
          <w:noProof/>
        </w:rPr>
      </w:pPr>
      <w:r>
        <w:rPr>
          <w:noProof/>
        </w:rPr>
        <w:t>Todėl visi pakeitimai yra techninio pobūdžio ir nekeičia Agentūros įgaliojimų, taip pat nesuteikia jai jokių papildomų funkcijų.</w:t>
      </w:r>
    </w:p>
    <w:p>
      <w:pPr>
        <w:pBdr>
          <w:top w:val="nil"/>
          <w:left w:val="nil"/>
          <w:bottom w:val="nil"/>
          <w:right w:val="nil"/>
          <w:between w:val="nil"/>
          <w:bar w:val="nil"/>
        </w:pBdr>
        <w:spacing w:before="0" w:after="240"/>
        <w:rPr>
          <w:noProof/>
        </w:rPr>
      </w:pPr>
      <w:r>
        <w:rPr>
          <w:noProof/>
        </w:rPr>
        <w:t xml:space="preserve">Steigimo reglamento 4, 5, 8, 9, 10, 12 ir 15 straipsniuose nuoroda į „metinę darbo programą“ nebeatitinka tikrovės, todėl turėtų būti pakeista nuorodomis į „daugiamečio programavimo dokumentą“ (t. y. programavimo dokumentą, kurį sudaro metiniai ir daugiamečiai elementai), kurį Agentūra kasmet rengia pagal Finansinį pagrindų reglamentą. Kiti siūlomi Steigimo reglamento pakeitimai, išskyrus šį techninį pakeitimą, apžvelgiami toliau pateiktoje lentelėje.    </w:t>
      </w:r>
    </w:p>
    <w:tbl>
      <w:tblPr>
        <w:tblStyle w:val="TableGrid"/>
        <w:tblW w:w="0" w:type="auto"/>
        <w:tblLook w:val="04A0" w:firstRow="1" w:lastRow="0" w:firstColumn="1" w:lastColumn="0" w:noHBand="0" w:noVBand="1"/>
      </w:tblPr>
      <w:tblGrid>
        <w:gridCol w:w="1244"/>
        <w:gridCol w:w="3457"/>
        <w:gridCol w:w="4588"/>
      </w:tblGrid>
      <w:tr>
        <w:tc>
          <w:tcPr>
            <w:tcW w:w="923" w:type="dxa"/>
          </w:tcPr>
          <w:p>
            <w:pPr>
              <w:spacing w:before="0" w:after="240"/>
              <w:jc w:val="center"/>
              <w:rPr>
                <w:rFonts w:eastAsia="Arial Unicode MS"/>
                <w:b/>
                <w:noProof/>
              </w:rPr>
            </w:pPr>
            <w:r>
              <w:rPr>
                <w:b/>
                <w:noProof/>
              </w:rPr>
              <w:t>Straipsnis</w:t>
            </w:r>
          </w:p>
        </w:tc>
        <w:tc>
          <w:tcPr>
            <w:tcW w:w="3580" w:type="dxa"/>
          </w:tcPr>
          <w:p>
            <w:pPr>
              <w:spacing w:before="0" w:after="240"/>
              <w:jc w:val="center"/>
              <w:rPr>
                <w:rFonts w:eastAsia="Arial Unicode MS"/>
                <w:b/>
                <w:noProof/>
              </w:rPr>
            </w:pPr>
            <w:r>
              <w:rPr>
                <w:b/>
                <w:noProof/>
              </w:rPr>
              <w:t>Tema</w:t>
            </w:r>
          </w:p>
        </w:tc>
        <w:tc>
          <w:tcPr>
            <w:tcW w:w="4786" w:type="dxa"/>
          </w:tcPr>
          <w:p>
            <w:pPr>
              <w:spacing w:before="0" w:after="240"/>
              <w:jc w:val="center"/>
              <w:rPr>
                <w:rFonts w:eastAsia="Arial Unicode MS"/>
                <w:b/>
                <w:noProof/>
              </w:rPr>
            </w:pPr>
            <w:r>
              <w:rPr>
                <w:b/>
                <w:noProof/>
              </w:rPr>
              <w:t>Pakeitimai</w:t>
            </w:r>
          </w:p>
        </w:tc>
      </w:tr>
      <w:tr>
        <w:tc>
          <w:tcPr>
            <w:tcW w:w="923" w:type="dxa"/>
          </w:tcPr>
          <w:p>
            <w:pPr>
              <w:spacing w:before="0" w:after="0"/>
              <w:rPr>
                <w:rFonts w:eastAsia="Arial Unicode MS"/>
                <w:noProof/>
              </w:rPr>
            </w:pPr>
            <w:r>
              <w:rPr>
                <w:noProof/>
              </w:rPr>
              <w:t>1</w:t>
            </w:r>
          </w:p>
        </w:tc>
        <w:tc>
          <w:tcPr>
            <w:tcW w:w="3580" w:type="dxa"/>
          </w:tcPr>
          <w:p>
            <w:pPr>
              <w:spacing w:before="0" w:after="0"/>
              <w:jc w:val="left"/>
              <w:rPr>
                <w:rFonts w:eastAsia="Arial Unicode MS"/>
                <w:noProof/>
              </w:rPr>
            </w:pPr>
            <w:r>
              <w:rPr>
                <w:noProof/>
              </w:rPr>
              <w:t>Dalykas</w:t>
            </w:r>
          </w:p>
        </w:tc>
        <w:tc>
          <w:tcPr>
            <w:tcW w:w="4786" w:type="dxa"/>
          </w:tcPr>
          <w:p>
            <w:pPr>
              <w:spacing w:before="0" w:after="0"/>
              <w:rPr>
                <w:rFonts w:eastAsia="Arial Unicode MS"/>
                <w:noProof/>
              </w:rPr>
            </w:pPr>
            <w:r>
              <w:rPr>
                <w:noProof/>
              </w:rPr>
              <w:t>Pakeitimų nėra</w:t>
            </w:r>
          </w:p>
        </w:tc>
      </w:tr>
      <w:tr>
        <w:tc>
          <w:tcPr>
            <w:tcW w:w="923" w:type="dxa"/>
          </w:tcPr>
          <w:p>
            <w:pPr>
              <w:spacing w:before="0" w:after="0"/>
              <w:rPr>
                <w:rFonts w:eastAsia="Arial Unicode MS"/>
                <w:noProof/>
              </w:rPr>
            </w:pPr>
            <w:r>
              <w:rPr>
                <w:noProof/>
              </w:rPr>
              <w:t>2</w:t>
            </w:r>
          </w:p>
        </w:tc>
        <w:tc>
          <w:tcPr>
            <w:tcW w:w="3580" w:type="dxa"/>
          </w:tcPr>
          <w:p>
            <w:pPr>
              <w:spacing w:before="0" w:after="0"/>
              <w:jc w:val="left"/>
              <w:rPr>
                <w:rFonts w:eastAsia="Arial Unicode MS"/>
                <w:noProof/>
              </w:rPr>
            </w:pPr>
            <w:r>
              <w:rPr>
                <w:noProof/>
              </w:rPr>
              <w:t xml:space="preserve">Tikslas </w:t>
            </w:r>
          </w:p>
        </w:tc>
        <w:tc>
          <w:tcPr>
            <w:tcW w:w="4786" w:type="dxa"/>
          </w:tcPr>
          <w:p>
            <w:pPr>
              <w:spacing w:before="0" w:after="0"/>
              <w:rPr>
                <w:rFonts w:eastAsia="Arial Unicode MS"/>
                <w:noProof/>
              </w:rPr>
            </w:pPr>
            <w:r>
              <w:rPr>
                <w:noProof/>
              </w:rPr>
              <w:t>Pakeitimų nėra</w:t>
            </w:r>
          </w:p>
        </w:tc>
      </w:tr>
      <w:tr>
        <w:tc>
          <w:tcPr>
            <w:tcW w:w="923" w:type="dxa"/>
          </w:tcPr>
          <w:p>
            <w:pPr>
              <w:spacing w:before="0" w:after="0"/>
              <w:rPr>
                <w:rFonts w:eastAsia="Arial Unicode MS"/>
                <w:noProof/>
              </w:rPr>
            </w:pPr>
            <w:r>
              <w:rPr>
                <w:noProof/>
              </w:rPr>
              <w:t>3</w:t>
            </w:r>
          </w:p>
        </w:tc>
        <w:tc>
          <w:tcPr>
            <w:tcW w:w="3580" w:type="dxa"/>
          </w:tcPr>
          <w:p>
            <w:pPr>
              <w:spacing w:before="0" w:after="0"/>
              <w:jc w:val="left"/>
              <w:rPr>
                <w:rFonts w:eastAsia="Arial Unicode MS"/>
                <w:noProof/>
              </w:rPr>
            </w:pPr>
            <w:r>
              <w:rPr>
                <w:noProof/>
              </w:rPr>
              <w:t xml:space="preserve">Taikymo sritis </w:t>
            </w:r>
          </w:p>
        </w:tc>
        <w:tc>
          <w:tcPr>
            <w:tcW w:w="4786" w:type="dxa"/>
          </w:tcPr>
          <w:p>
            <w:pPr>
              <w:spacing w:before="0" w:after="0"/>
              <w:jc w:val="left"/>
              <w:rPr>
                <w:rFonts w:eastAsia="Arial Unicode MS"/>
                <w:noProof/>
              </w:rPr>
            </w:pPr>
            <w:r>
              <w:rPr>
                <w:noProof/>
              </w:rPr>
              <w:t>Žodis „Bendrijos“ pakeičiamas žodžiu „Sąjungos“.</w:t>
            </w:r>
          </w:p>
        </w:tc>
      </w:tr>
      <w:tr>
        <w:tc>
          <w:tcPr>
            <w:tcW w:w="923" w:type="dxa"/>
          </w:tcPr>
          <w:p>
            <w:pPr>
              <w:spacing w:before="0" w:after="0"/>
              <w:rPr>
                <w:rFonts w:eastAsia="Arial Unicode MS"/>
                <w:noProof/>
              </w:rPr>
            </w:pPr>
            <w:r>
              <w:rPr>
                <w:noProof/>
              </w:rPr>
              <w:t>4</w:t>
            </w:r>
          </w:p>
        </w:tc>
        <w:tc>
          <w:tcPr>
            <w:tcW w:w="3580" w:type="dxa"/>
          </w:tcPr>
          <w:p>
            <w:pPr>
              <w:spacing w:before="0" w:after="0"/>
              <w:jc w:val="left"/>
              <w:rPr>
                <w:rFonts w:eastAsia="Arial Unicode MS"/>
                <w:noProof/>
              </w:rPr>
            </w:pPr>
            <w:r>
              <w:rPr>
                <w:noProof/>
              </w:rPr>
              <w:t xml:space="preserve">Užduotys </w:t>
            </w:r>
          </w:p>
        </w:tc>
        <w:tc>
          <w:tcPr>
            <w:tcW w:w="4786" w:type="dxa"/>
          </w:tcPr>
          <w:p>
            <w:pPr>
              <w:spacing w:before="0" w:after="0"/>
              <w:rPr>
                <w:rFonts w:eastAsia="Arial Unicode MS"/>
                <w:noProof/>
              </w:rPr>
            </w:pPr>
            <w:r>
              <w:rPr>
                <w:noProof/>
              </w:rPr>
              <w:t xml:space="preserve">Pakeitimų nėra </w:t>
            </w:r>
          </w:p>
        </w:tc>
      </w:tr>
      <w:tr>
        <w:tc>
          <w:tcPr>
            <w:tcW w:w="923" w:type="dxa"/>
          </w:tcPr>
          <w:p>
            <w:pPr>
              <w:spacing w:before="0" w:after="0"/>
              <w:rPr>
                <w:rFonts w:eastAsia="Arial Unicode MS"/>
                <w:noProof/>
              </w:rPr>
            </w:pPr>
            <w:r>
              <w:rPr>
                <w:noProof/>
              </w:rPr>
              <w:t>5</w:t>
            </w:r>
          </w:p>
        </w:tc>
        <w:tc>
          <w:tcPr>
            <w:tcW w:w="3580" w:type="dxa"/>
          </w:tcPr>
          <w:p>
            <w:pPr>
              <w:spacing w:before="0" w:after="0"/>
              <w:jc w:val="left"/>
              <w:rPr>
                <w:rFonts w:eastAsia="Arial Unicode MS"/>
                <w:noProof/>
              </w:rPr>
            </w:pPr>
            <w:r>
              <w:rPr>
                <w:noProof/>
              </w:rPr>
              <w:t xml:space="preserve">Veiklos sritys </w:t>
            </w:r>
          </w:p>
        </w:tc>
        <w:tc>
          <w:tcPr>
            <w:tcW w:w="4786" w:type="dxa"/>
          </w:tcPr>
          <w:p>
            <w:pPr>
              <w:spacing w:before="0" w:after="0"/>
              <w:rPr>
                <w:rFonts w:eastAsia="Arial Unicode MS"/>
                <w:noProof/>
              </w:rPr>
            </w:pPr>
            <w:r>
              <w:rPr>
                <w:noProof/>
              </w:rPr>
              <w:t xml:space="preserve">Išbraukiamos straipsnio nuostatos, kuriose minima daugiametė programa </w:t>
            </w:r>
          </w:p>
        </w:tc>
      </w:tr>
      <w:tr>
        <w:tc>
          <w:tcPr>
            <w:tcW w:w="923" w:type="dxa"/>
          </w:tcPr>
          <w:p>
            <w:pPr>
              <w:spacing w:before="0" w:after="0"/>
              <w:rPr>
                <w:rFonts w:eastAsia="Arial Unicode MS"/>
                <w:noProof/>
              </w:rPr>
            </w:pPr>
            <w:r>
              <w:rPr>
                <w:noProof/>
              </w:rPr>
              <w:t xml:space="preserve">5a </w:t>
            </w:r>
          </w:p>
        </w:tc>
        <w:tc>
          <w:tcPr>
            <w:tcW w:w="3580" w:type="dxa"/>
          </w:tcPr>
          <w:p>
            <w:pPr>
              <w:spacing w:before="0" w:after="0"/>
              <w:jc w:val="left"/>
              <w:rPr>
                <w:rFonts w:eastAsia="Arial Unicode MS"/>
                <w:noProof/>
              </w:rPr>
            </w:pPr>
            <w:r>
              <w:rPr>
                <w:noProof/>
              </w:rPr>
              <w:t>Daugiametė darbo programa</w:t>
            </w:r>
          </w:p>
        </w:tc>
        <w:tc>
          <w:tcPr>
            <w:tcW w:w="4786" w:type="dxa"/>
          </w:tcPr>
          <w:p>
            <w:pPr>
              <w:spacing w:before="0" w:after="0"/>
              <w:rPr>
                <w:rFonts w:eastAsia="Arial Unicode MS"/>
                <w:noProof/>
              </w:rPr>
            </w:pPr>
            <w:r>
              <w:rPr>
                <w:noProof/>
              </w:rPr>
              <w:t xml:space="preserve">Šiame naujame straipsnyje vienoje vietoje išdėstomos nuostatos, kurios anksčiau buvo išdėstytos įvairiuose straipsniuose </w:t>
            </w:r>
          </w:p>
        </w:tc>
      </w:tr>
      <w:tr>
        <w:tc>
          <w:tcPr>
            <w:tcW w:w="923" w:type="dxa"/>
          </w:tcPr>
          <w:p>
            <w:pPr>
              <w:spacing w:before="0" w:after="0"/>
              <w:rPr>
                <w:rFonts w:eastAsia="Arial Unicode MS"/>
                <w:noProof/>
              </w:rPr>
            </w:pPr>
            <w:r>
              <w:rPr>
                <w:noProof/>
              </w:rPr>
              <w:t>6</w:t>
            </w:r>
          </w:p>
        </w:tc>
        <w:tc>
          <w:tcPr>
            <w:tcW w:w="3580" w:type="dxa"/>
          </w:tcPr>
          <w:p>
            <w:pPr>
              <w:spacing w:before="0" w:after="0"/>
              <w:jc w:val="left"/>
              <w:rPr>
                <w:rFonts w:eastAsia="Arial Unicode MS"/>
                <w:noProof/>
              </w:rPr>
            </w:pPr>
            <w:r>
              <w:rPr>
                <w:noProof/>
              </w:rPr>
              <w:t>Darbo metodai</w:t>
            </w:r>
          </w:p>
        </w:tc>
        <w:tc>
          <w:tcPr>
            <w:tcW w:w="4786" w:type="dxa"/>
          </w:tcPr>
          <w:p>
            <w:pPr>
              <w:spacing w:before="0" w:after="0"/>
              <w:rPr>
                <w:rFonts w:eastAsia="Arial Unicode MS"/>
                <w:noProof/>
              </w:rPr>
            </w:pPr>
            <w:r>
              <w:rPr>
                <w:noProof/>
              </w:rPr>
              <w:t>Pakeitimų nėra</w:t>
            </w:r>
          </w:p>
        </w:tc>
      </w:tr>
      <w:tr>
        <w:tc>
          <w:tcPr>
            <w:tcW w:w="923" w:type="dxa"/>
          </w:tcPr>
          <w:p>
            <w:pPr>
              <w:spacing w:before="0" w:after="0"/>
              <w:rPr>
                <w:rFonts w:eastAsia="Arial Unicode MS"/>
                <w:noProof/>
              </w:rPr>
            </w:pPr>
            <w:r>
              <w:rPr>
                <w:noProof/>
              </w:rPr>
              <w:t>7</w:t>
            </w:r>
          </w:p>
        </w:tc>
        <w:tc>
          <w:tcPr>
            <w:tcW w:w="3580" w:type="dxa"/>
          </w:tcPr>
          <w:p>
            <w:pPr>
              <w:spacing w:before="0" w:after="0"/>
              <w:jc w:val="left"/>
              <w:rPr>
                <w:rFonts w:eastAsia="Arial Unicode MS"/>
                <w:noProof/>
              </w:rPr>
            </w:pPr>
            <w:r>
              <w:rPr>
                <w:noProof/>
              </w:rPr>
              <w:t>Santykiai su atitinkamais Bendrijos organais, biurais ir agentūromis</w:t>
            </w:r>
          </w:p>
        </w:tc>
        <w:tc>
          <w:tcPr>
            <w:tcW w:w="4786" w:type="dxa"/>
          </w:tcPr>
          <w:p>
            <w:pPr>
              <w:spacing w:before="0" w:after="0"/>
              <w:rPr>
                <w:rFonts w:eastAsia="Arial Unicode MS"/>
                <w:noProof/>
              </w:rPr>
            </w:pPr>
            <w:r>
              <w:rPr>
                <w:noProof/>
              </w:rPr>
              <w:t>Pakeitimų nėra</w:t>
            </w:r>
          </w:p>
        </w:tc>
      </w:tr>
      <w:tr>
        <w:tc>
          <w:tcPr>
            <w:tcW w:w="923" w:type="dxa"/>
          </w:tcPr>
          <w:p>
            <w:pPr>
              <w:spacing w:before="0" w:after="0"/>
              <w:rPr>
                <w:rFonts w:eastAsia="Arial Unicode MS"/>
                <w:noProof/>
              </w:rPr>
            </w:pPr>
            <w:r>
              <w:rPr>
                <w:noProof/>
              </w:rPr>
              <w:t>8</w:t>
            </w:r>
          </w:p>
        </w:tc>
        <w:tc>
          <w:tcPr>
            <w:tcW w:w="3580" w:type="dxa"/>
          </w:tcPr>
          <w:p>
            <w:pPr>
              <w:spacing w:before="0" w:after="0"/>
              <w:jc w:val="left"/>
              <w:rPr>
                <w:rFonts w:eastAsia="Arial Unicode MS"/>
                <w:noProof/>
              </w:rPr>
            </w:pPr>
            <w:r>
              <w:rPr>
                <w:noProof/>
              </w:rPr>
              <w:t xml:space="preserve">Bendradarbiavimas su organizacijomis valstybių narių ir </w:t>
            </w:r>
            <w:r>
              <w:rPr>
                <w:noProof/>
              </w:rPr>
              <w:lastRenderedPageBreak/>
              <w:t>tarptautiniu lygiu</w:t>
            </w:r>
          </w:p>
        </w:tc>
        <w:tc>
          <w:tcPr>
            <w:tcW w:w="4786" w:type="dxa"/>
          </w:tcPr>
          <w:p>
            <w:pPr>
              <w:spacing w:before="0" w:after="0"/>
              <w:rPr>
                <w:rFonts w:eastAsia="Arial Unicode MS"/>
                <w:noProof/>
              </w:rPr>
            </w:pPr>
            <w:r>
              <w:rPr>
                <w:noProof/>
              </w:rPr>
              <w:lastRenderedPageBreak/>
              <w:t>Pakeitimų nėra</w:t>
            </w:r>
          </w:p>
        </w:tc>
      </w:tr>
      <w:tr>
        <w:tc>
          <w:tcPr>
            <w:tcW w:w="923" w:type="dxa"/>
          </w:tcPr>
          <w:p>
            <w:pPr>
              <w:spacing w:before="0" w:after="0"/>
              <w:rPr>
                <w:rFonts w:eastAsia="Arial Unicode MS"/>
                <w:noProof/>
              </w:rPr>
            </w:pPr>
            <w:r>
              <w:rPr>
                <w:noProof/>
              </w:rPr>
              <w:lastRenderedPageBreak/>
              <w:t>9</w:t>
            </w:r>
          </w:p>
        </w:tc>
        <w:tc>
          <w:tcPr>
            <w:tcW w:w="3580" w:type="dxa"/>
          </w:tcPr>
          <w:p>
            <w:pPr>
              <w:spacing w:before="0" w:after="0"/>
              <w:jc w:val="left"/>
              <w:rPr>
                <w:rFonts w:eastAsia="Arial Unicode MS"/>
                <w:noProof/>
              </w:rPr>
            </w:pPr>
            <w:r>
              <w:rPr>
                <w:noProof/>
              </w:rPr>
              <w:t>Bendradarbiavimas su Europos Taryba</w:t>
            </w:r>
          </w:p>
        </w:tc>
        <w:tc>
          <w:tcPr>
            <w:tcW w:w="4786" w:type="dxa"/>
          </w:tcPr>
          <w:p>
            <w:pPr>
              <w:spacing w:before="0" w:after="0"/>
              <w:rPr>
                <w:rFonts w:eastAsia="Arial Unicode MS"/>
                <w:noProof/>
              </w:rPr>
            </w:pPr>
            <w:r>
              <w:rPr>
                <w:noProof/>
              </w:rPr>
              <w:t>Pakeitimų nėra</w:t>
            </w:r>
          </w:p>
        </w:tc>
      </w:tr>
      <w:tr>
        <w:tc>
          <w:tcPr>
            <w:tcW w:w="923" w:type="dxa"/>
          </w:tcPr>
          <w:p>
            <w:pPr>
              <w:spacing w:before="0" w:after="0"/>
              <w:rPr>
                <w:rFonts w:eastAsia="Arial Unicode MS"/>
                <w:noProof/>
              </w:rPr>
            </w:pPr>
            <w:r>
              <w:rPr>
                <w:noProof/>
              </w:rPr>
              <w:t>10</w:t>
            </w:r>
          </w:p>
        </w:tc>
        <w:tc>
          <w:tcPr>
            <w:tcW w:w="3580" w:type="dxa"/>
          </w:tcPr>
          <w:p>
            <w:pPr>
              <w:spacing w:before="0" w:after="0"/>
              <w:jc w:val="left"/>
              <w:rPr>
                <w:rFonts w:eastAsia="Arial Unicode MS"/>
                <w:noProof/>
              </w:rPr>
            </w:pPr>
            <w:r>
              <w:rPr>
                <w:noProof/>
              </w:rPr>
              <w:t>Bendradarbiavimas su pilietine visuomene; Pagrindinių teisių platforma</w:t>
            </w:r>
          </w:p>
        </w:tc>
        <w:tc>
          <w:tcPr>
            <w:tcW w:w="4786" w:type="dxa"/>
          </w:tcPr>
          <w:p>
            <w:pPr>
              <w:spacing w:before="0" w:after="0"/>
              <w:rPr>
                <w:rFonts w:eastAsia="Arial Unicode MS"/>
                <w:noProof/>
              </w:rPr>
            </w:pPr>
            <w:r>
              <w:rPr>
                <w:noProof/>
              </w:rPr>
              <w:t>Pakeitimų nėra</w:t>
            </w:r>
          </w:p>
        </w:tc>
      </w:tr>
      <w:tr>
        <w:tc>
          <w:tcPr>
            <w:tcW w:w="923" w:type="dxa"/>
          </w:tcPr>
          <w:p>
            <w:pPr>
              <w:spacing w:before="0" w:after="0"/>
              <w:rPr>
                <w:rFonts w:eastAsia="Arial Unicode MS"/>
                <w:noProof/>
              </w:rPr>
            </w:pPr>
            <w:r>
              <w:rPr>
                <w:noProof/>
              </w:rPr>
              <w:t>11</w:t>
            </w:r>
          </w:p>
        </w:tc>
        <w:tc>
          <w:tcPr>
            <w:tcW w:w="3580" w:type="dxa"/>
          </w:tcPr>
          <w:p>
            <w:pPr>
              <w:spacing w:before="0" w:after="0"/>
              <w:jc w:val="left"/>
              <w:rPr>
                <w:rFonts w:eastAsia="Arial Unicode MS"/>
                <w:noProof/>
              </w:rPr>
            </w:pPr>
            <w:r>
              <w:rPr>
                <w:noProof/>
              </w:rPr>
              <w:t>Agentūros organai</w:t>
            </w:r>
          </w:p>
        </w:tc>
        <w:tc>
          <w:tcPr>
            <w:tcW w:w="4786" w:type="dxa"/>
          </w:tcPr>
          <w:p>
            <w:pPr>
              <w:spacing w:before="0" w:after="0"/>
              <w:rPr>
                <w:rFonts w:eastAsia="Arial Unicode MS"/>
                <w:noProof/>
              </w:rPr>
            </w:pPr>
            <w:r>
              <w:rPr>
                <w:noProof/>
              </w:rPr>
              <w:t>Pakeitimų nėra</w:t>
            </w:r>
          </w:p>
        </w:tc>
      </w:tr>
      <w:tr>
        <w:tc>
          <w:tcPr>
            <w:tcW w:w="923" w:type="dxa"/>
          </w:tcPr>
          <w:p>
            <w:pPr>
              <w:spacing w:before="0" w:after="0"/>
              <w:rPr>
                <w:rFonts w:eastAsia="Arial Unicode MS"/>
                <w:noProof/>
              </w:rPr>
            </w:pPr>
            <w:r>
              <w:rPr>
                <w:noProof/>
              </w:rPr>
              <w:t>12</w:t>
            </w:r>
          </w:p>
        </w:tc>
        <w:tc>
          <w:tcPr>
            <w:tcW w:w="3580" w:type="dxa"/>
          </w:tcPr>
          <w:p>
            <w:pPr>
              <w:spacing w:before="0" w:after="0"/>
              <w:jc w:val="left"/>
              <w:rPr>
                <w:rFonts w:eastAsia="Arial Unicode MS"/>
                <w:noProof/>
              </w:rPr>
            </w:pPr>
            <w:r>
              <w:rPr>
                <w:noProof/>
              </w:rPr>
              <w:t>Valdančioji taryba</w:t>
            </w:r>
          </w:p>
        </w:tc>
        <w:tc>
          <w:tcPr>
            <w:tcW w:w="4786" w:type="dxa"/>
          </w:tcPr>
          <w:p>
            <w:pPr>
              <w:spacing w:before="0" w:after="0"/>
              <w:rPr>
                <w:rFonts w:eastAsia="Arial Unicode MS"/>
                <w:noProof/>
              </w:rPr>
            </w:pPr>
            <w:r>
              <w:rPr>
                <w:noProof/>
              </w:rPr>
              <w:t xml:space="preserve">Siūlomais pakeitimais nustatoma:  </w:t>
            </w:r>
          </w:p>
          <w:p>
            <w:pPr>
              <w:pStyle w:val="ListParagraph"/>
              <w:numPr>
                <w:ilvl w:val="0"/>
                <w:numId w:val="5"/>
              </w:numPr>
              <w:spacing w:before="0" w:after="0"/>
              <w:ind w:left="466" w:hanging="106"/>
              <w:rPr>
                <w:rFonts w:eastAsia="Arial Unicode MS"/>
                <w:noProof/>
              </w:rPr>
            </w:pPr>
            <w:r>
              <w:rPr>
                <w:noProof/>
              </w:rPr>
              <w:t>jos nariams keliami reikalavimai turėti papildomų administracinių ir biudžetinių įgūdžių;</w:t>
            </w:r>
          </w:p>
          <w:p>
            <w:pPr>
              <w:pStyle w:val="ListParagraph"/>
              <w:numPr>
                <w:ilvl w:val="0"/>
                <w:numId w:val="5"/>
              </w:numPr>
              <w:spacing w:before="0" w:after="0"/>
              <w:ind w:left="466" w:hanging="106"/>
              <w:rPr>
                <w:rFonts w:eastAsia="Arial Unicode MS"/>
                <w:noProof/>
              </w:rPr>
            </w:pPr>
            <w:r>
              <w:rPr>
                <w:noProof/>
              </w:rPr>
              <w:t>galimybė pakartotinai paskirti buvusį narį arba pakaitinį narį ne iš eilės einančioms kadencijoms;</w:t>
            </w:r>
          </w:p>
          <w:p>
            <w:pPr>
              <w:pStyle w:val="ListParagraph"/>
              <w:numPr>
                <w:ilvl w:val="0"/>
                <w:numId w:val="5"/>
              </w:numPr>
              <w:spacing w:before="0" w:after="0"/>
              <w:ind w:left="466" w:hanging="106"/>
              <w:rPr>
                <w:rFonts w:eastAsia="Arial Unicode MS"/>
                <w:noProof/>
              </w:rPr>
            </w:pPr>
            <w:r>
              <w:rPr>
                <w:noProof/>
              </w:rPr>
              <w:t>jeigu narys pakeičiamas nepasibaigus jo kadencijai, kartu baigiama jo pirmtako 5 metų kadencija;</w:t>
            </w:r>
          </w:p>
          <w:p>
            <w:pPr>
              <w:pStyle w:val="ListParagraph"/>
              <w:numPr>
                <w:ilvl w:val="0"/>
                <w:numId w:val="5"/>
              </w:numPr>
              <w:spacing w:before="0" w:after="0"/>
              <w:ind w:left="466" w:hanging="106"/>
              <w:rPr>
                <w:rFonts w:eastAsia="Arial Unicode MS"/>
                <w:noProof/>
              </w:rPr>
            </w:pPr>
            <w:r>
              <w:rPr>
                <w:noProof/>
              </w:rPr>
              <w:t>patikslinimas, kad Valdančiosios tarybos pirmininkas ir pirmininko pavaduotojas išrenkami dviejų trečdalių balsų dauguma ir kad kiti du Vykdomosios valdybos nariai išrenkami Valdančiosios tarybos narių balsų dauguma (abiem atvejais Europos Tarybos paskirtas narys neturi teisės balsuoti);</w:t>
            </w:r>
          </w:p>
          <w:p>
            <w:pPr>
              <w:pStyle w:val="ListParagraph"/>
              <w:numPr>
                <w:ilvl w:val="0"/>
                <w:numId w:val="5"/>
              </w:numPr>
              <w:spacing w:before="0" w:after="0"/>
              <w:ind w:left="466" w:hanging="106"/>
              <w:rPr>
                <w:rFonts w:eastAsia="Arial Unicode MS"/>
                <w:noProof/>
              </w:rPr>
            </w:pPr>
            <w:r>
              <w:rPr>
                <w:noProof/>
              </w:rPr>
              <w:t>nuostata, kad Valdančioji taryba: vykdo jai suteiktus paskyrimų tarnybos įgaliojimus, kurie sprendimu deleguojami direktoriui, kuris savo ruožtu turi teisę perdeleguoti tuos įgaliojimus, ir kad Taryba gali sustabdyti tokių įgaliojimų delegavimą, jei to reikia dėl išimtinių aplinkybių, patvirtina saugumo strategiją (įskaitant ES įslaptintos informacijos tvarkymo taisykles), patvirtina interesų konfliktų valdymo ir prevencijos taisykles, patvirtina komunikacijos strategiją;</w:t>
            </w:r>
          </w:p>
          <w:p>
            <w:pPr>
              <w:pStyle w:val="ListParagraph"/>
              <w:numPr>
                <w:ilvl w:val="0"/>
                <w:numId w:val="5"/>
              </w:numPr>
              <w:spacing w:before="0" w:after="0"/>
              <w:ind w:left="466" w:hanging="106"/>
              <w:rPr>
                <w:rFonts w:eastAsia="Arial Unicode MS"/>
                <w:noProof/>
              </w:rPr>
            </w:pPr>
            <w:r>
              <w:rPr>
                <w:noProof/>
              </w:rPr>
              <w:t>nuostata, kad dauguma, kurios reikia priimant sprendimus įprastais klausimais, yra Valdančiosios tarybos narių dauguma;</w:t>
            </w:r>
          </w:p>
          <w:p>
            <w:pPr>
              <w:pStyle w:val="ListParagraph"/>
              <w:numPr>
                <w:ilvl w:val="0"/>
                <w:numId w:val="5"/>
              </w:numPr>
              <w:spacing w:before="0" w:after="0"/>
              <w:ind w:left="466" w:hanging="106"/>
              <w:rPr>
                <w:rFonts w:eastAsia="Arial Unicode MS"/>
                <w:noProof/>
              </w:rPr>
            </w:pPr>
            <w:r>
              <w:rPr>
                <w:noProof/>
              </w:rPr>
              <w:t xml:space="preserve">nuostata, kad neeilinis Valdančiosios tarybos posėdis gali būti sušauktas ir Komisijos prašymu. </w:t>
            </w:r>
          </w:p>
        </w:tc>
      </w:tr>
      <w:tr>
        <w:tc>
          <w:tcPr>
            <w:tcW w:w="923" w:type="dxa"/>
          </w:tcPr>
          <w:p>
            <w:pPr>
              <w:spacing w:before="0" w:after="0"/>
              <w:rPr>
                <w:rFonts w:eastAsia="Arial Unicode MS"/>
                <w:noProof/>
              </w:rPr>
            </w:pPr>
            <w:r>
              <w:rPr>
                <w:noProof/>
              </w:rPr>
              <w:t>13</w:t>
            </w:r>
          </w:p>
        </w:tc>
        <w:tc>
          <w:tcPr>
            <w:tcW w:w="3580" w:type="dxa"/>
          </w:tcPr>
          <w:p>
            <w:pPr>
              <w:spacing w:before="0" w:after="0"/>
              <w:jc w:val="left"/>
              <w:rPr>
                <w:rFonts w:eastAsia="Arial Unicode MS"/>
                <w:noProof/>
              </w:rPr>
            </w:pPr>
            <w:r>
              <w:rPr>
                <w:noProof/>
              </w:rPr>
              <w:t>Vykdomoji valdyba</w:t>
            </w:r>
          </w:p>
        </w:tc>
        <w:tc>
          <w:tcPr>
            <w:tcW w:w="4786" w:type="dxa"/>
          </w:tcPr>
          <w:p>
            <w:pPr>
              <w:spacing w:before="0" w:after="0"/>
              <w:rPr>
                <w:rFonts w:eastAsia="Arial Unicode MS"/>
                <w:noProof/>
              </w:rPr>
            </w:pPr>
            <w:r>
              <w:rPr>
                <w:noProof/>
              </w:rPr>
              <w:t xml:space="preserve">Pakeitimais siekiama:  </w:t>
            </w:r>
          </w:p>
          <w:p>
            <w:pPr>
              <w:pStyle w:val="ListParagraph"/>
              <w:numPr>
                <w:ilvl w:val="0"/>
                <w:numId w:val="5"/>
              </w:numPr>
              <w:spacing w:before="0" w:after="0"/>
              <w:rPr>
                <w:rFonts w:eastAsia="Arial Unicode MS"/>
                <w:noProof/>
              </w:rPr>
            </w:pPr>
            <w:r>
              <w:rPr>
                <w:noProof/>
              </w:rPr>
              <w:t xml:space="preserve">paaiškinti, kad Vykdomosios valdybos užduotis prižiūrėti parengiamąjį darbą, susijusį su sprendimais, kuriuos turi </w:t>
            </w:r>
            <w:r>
              <w:rPr>
                <w:noProof/>
              </w:rPr>
              <w:lastRenderedPageBreak/>
              <w:t xml:space="preserve">priimti Valdančioji taryba, apima darbo biudžeto ir žmogiškųjų išteklių srityse priežiūrą; </w:t>
            </w:r>
          </w:p>
          <w:p>
            <w:pPr>
              <w:pStyle w:val="ListParagraph"/>
              <w:numPr>
                <w:ilvl w:val="0"/>
                <w:numId w:val="5"/>
              </w:numPr>
              <w:spacing w:before="0" w:after="0"/>
              <w:rPr>
                <w:rFonts w:eastAsia="Arial Unicode MS"/>
                <w:noProof/>
              </w:rPr>
            </w:pPr>
            <w:r>
              <w:rPr>
                <w:noProof/>
              </w:rPr>
              <w:t xml:space="preserve">pavesti direktoriaus parengtos kovos su sukčiavimu strategijos priėmimo užduotis; užtikrinti tinkamus tolesnius veiksmus po Europos kovos su sukčiavimu tarnybos (OLAF) ir Europos prokuratūros audito ir tyrimų; padėti direktoriui įgyvendinti Valdančiosios tarybos sprendimus; </w:t>
            </w:r>
          </w:p>
          <w:p>
            <w:pPr>
              <w:pStyle w:val="ListParagraph"/>
              <w:numPr>
                <w:ilvl w:val="0"/>
                <w:numId w:val="5"/>
              </w:numPr>
              <w:spacing w:before="0" w:after="0"/>
              <w:rPr>
                <w:rFonts w:eastAsia="Arial Unicode MS"/>
                <w:noProof/>
              </w:rPr>
            </w:pPr>
            <w:r>
              <w:rPr>
                <w:noProof/>
              </w:rPr>
              <w:t>numatyti, kad prireikus skubos atveju Vykdomoji valdyba gali priimti laikinus sprendimus Valdančiosios tarybos vardu;</w:t>
            </w:r>
          </w:p>
          <w:p>
            <w:pPr>
              <w:pStyle w:val="ListParagraph"/>
              <w:numPr>
                <w:ilvl w:val="0"/>
                <w:numId w:val="5"/>
              </w:numPr>
              <w:spacing w:before="0" w:after="0"/>
              <w:rPr>
                <w:rFonts w:eastAsia="Arial Unicode MS"/>
                <w:noProof/>
              </w:rPr>
            </w:pPr>
            <w:r>
              <w:rPr>
                <w:noProof/>
              </w:rPr>
              <w:t>nurodyti, kad ji gali būti sušaukta vieno iš jos narių prašymu;</w:t>
            </w:r>
          </w:p>
          <w:p>
            <w:pPr>
              <w:pStyle w:val="ListParagraph"/>
              <w:numPr>
                <w:ilvl w:val="0"/>
                <w:numId w:val="5"/>
              </w:numPr>
              <w:spacing w:before="0" w:after="0"/>
              <w:rPr>
                <w:rFonts w:eastAsia="Arial Unicode MS"/>
                <w:noProof/>
              </w:rPr>
            </w:pPr>
            <w:r>
              <w:rPr>
                <w:noProof/>
              </w:rPr>
              <w:t xml:space="preserve">paaiškinti, kad sprendimai priimami dalyvaujančių narių balsų dauguma ir kad Europos Tarybos atstovas turi teisę balsuoti dėl klausimų, susijusių su sprendimais, dėl kurių jis turi teisę balsuoti Valdančiojoje taryboje pagal 12 straipsnio 8 dalį. </w:t>
            </w:r>
          </w:p>
        </w:tc>
      </w:tr>
      <w:tr>
        <w:tc>
          <w:tcPr>
            <w:tcW w:w="923" w:type="dxa"/>
          </w:tcPr>
          <w:p>
            <w:pPr>
              <w:spacing w:before="0" w:after="0"/>
              <w:rPr>
                <w:rFonts w:eastAsia="Arial Unicode MS"/>
                <w:noProof/>
              </w:rPr>
            </w:pPr>
            <w:r>
              <w:rPr>
                <w:noProof/>
              </w:rPr>
              <w:lastRenderedPageBreak/>
              <w:t>14</w:t>
            </w:r>
          </w:p>
        </w:tc>
        <w:tc>
          <w:tcPr>
            <w:tcW w:w="3580" w:type="dxa"/>
          </w:tcPr>
          <w:p>
            <w:pPr>
              <w:spacing w:before="0" w:after="0"/>
              <w:jc w:val="left"/>
              <w:rPr>
                <w:rFonts w:eastAsia="Arial Unicode MS"/>
                <w:noProof/>
              </w:rPr>
            </w:pPr>
            <w:r>
              <w:rPr>
                <w:noProof/>
              </w:rPr>
              <w:t>Mokslinis komitetas</w:t>
            </w:r>
          </w:p>
        </w:tc>
        <w:tc>
          <w:tcPr>
            <w:tcW w:w="4786" w:type="dxa"/>
          </w:tcPr>
          <w:p>
            <w:pPr>
              <w:spacing w:before="0" w:after="0"/>
              <w:rPr>
                <w:rFonts w:eastAsia="Arial Unicode MS"/>
                <w:noProof/>
              </w:rPr>
            </w:pPr>
            <w:r>
              <w:rPr>
                <w:noProof/>
              </w:rPr>
              <w:t>Šiuo pakeitimu Valdančiajai tarybai suteikiama galimybė parinkti narį iš rezervo sąrašo, jei kurį nors narį reikia pakeisti iki Mokslinio komiteto kadencijos pabaigos.</w:t>
            </w:r>
          </w:p>
        </w:tc>
      </w:tr>
      <w:tr>
        <w:tc>
          <w:tcPr>
            <w:tcW w:w="923" w:type="dxa"/>
          </w:tcPr>
          <w:p>
            <w:pPr>
              <w:spacing w:before="0" w:after="0"/>
              <w:rPr>
                <w:rFonts w:eastAsia="Arial Unicode MS"/>
                <w:noProof/>
              </w:rPr>
            </w:pPr>
            <w:r>
              <w:rPr>
                <w:noProof/>
              </w:rPr>
              <w:t>15</w:t>
            </w:r>
          </w:p>
        </w:tc>
        <w:tc>
          <w:tcPr>
            <w:tcW w:w="3580" w:type="dxa"/>
          </w:tcPr>
          <w:p>
            <w:pPr>
              <w:spacing w:before="0" w:after="0"/>
              <w:jc w:val="left"/>
              <w:rPr>
                <w:rFonts w:eastAsia="Arial Unicode MS"/>
                <w:noProof/>
              </w:rPr>
            </w:pPr>
            <w:r>
              <w:rPr>
                <w:noProof/>
              </w:rPr>
              <w:t>Direktorius</w:t>
            </w:r>
          </w:p>
        </w:tc>
        <w:tc>
          <w:tcPr>
            <w:tcW w:w="4786" w:type="dxa"/>
          </w:tcPr>
          <w:p>
            <w:pPr>
              <w:spacing w:before="0" w:after="0"/>
              <w:rPr>
                <w:rFonts w:eastAsia="Arial Unicode MS"/>
                <w:noProof/>
              </w:rPr>
            </w:pPr>
            <w:r>
              <w:rPr>
                <w:noProof/>
              </w:rPr>
              <w:t xml:space="preserve">Siūlomais pakeitimais nustatoma, kad: </w:t>
            </w:r>
          </w:p>
          <w:p>
            <w:pPr>
              <w:pStyle w:val="ListParagraph"/>
              <w:numPr>
                <w:ilvl w:val="0"/>
                <w:numId w:val="5"/>
              </w:numPr>
              <w:spacing w:before="0" w:after="0"/>
              <w:ind w:left="324" w:hanging="283"/>
              <w:rPr>
                <w:rFonts w:eastAsia="Arial Unicode MS"/>
                <w:noProof/>
              </w:rPr>
            </w:pPr>
            <w:r>
              <w:rPr>
                <w:noProof/>
              </w:rPr>
              <w:t>direktoriaus kadencija gali būti pratęsta penkeriems (vietoj trejų) metams ir procedūra turėtų būti pradėta per dvylika (vietoj devynių) mėnesių iki kadencijos pabaigos;</w:t>
            </w:r>
          </w:p>
          <w:p>
            <w:pPr>
              <w:pStyle w:val="ListParagraph"/>
              <w:numPr>
                <w:ilvl w:val="0"/>
                <w:numId w:val="5"/>
              </w:numPr>
              <w:spacing w:before="0" w:after="0"/>
              <w:ind w:left="324" w:hanging="283"/>
              <w:rPr>
                <w:rFonts w:eastAsia="Arial Unicode MS"/>
                <w:noProof/>
              </w:rPr>
            </w:pPr>
            <w:r>
              <w:rPr>
                <w:noProof/>
              </w:rPr>
              <w:t>direktorius yra atsakingas už: Valdančiosios tarybos priimtų sprendimų įgyvendinimą, veiksmų plano, kuriuo atsižvelgiama į retrospektyvinių vertinimų rezultatus, kovos su sukčiavimu strategijos ir veiksmų plano, kuriuo atsižvelgiama į audito ataskaitas ir OLAF tyrimus, parengimą;</w:t>
            </w:r>
          </w:p>
          <w:p>
            <w:pPr>
              <w:pStyle w:val="ListParagraph"/>
              <w:numPr>
                <w:ilvl w:val="0"/>
                <w:numId w:val="5"/>
              </w:numPr>
              <w:spacing w:before="0" w:after="0"/>
              <w:ind w:left="324" w:hanging="283"/>
              <w:rPr>
                <w:rFonts w:eastAsia="Arial Unicode MS"/>
                <w:noProof/>
              </w:rPr>
            </w:pPr>
            <w:r>
              <w:rPr>
                <w:noProof/>
              </w:rPr>
              <w:t>dauguma, kurios reikia, kad Agentūros direktorius būtų atleistas dėl nusižengimų, pasikartojančių nepatenkinamų veiklos rezultatų arba sunkių pažeidimų, yra dviejų trečdalių Valdančiosios tarybos narių balsų dauguma.</w:t>
            </w:r>
          </w:p>
        </w:tc>
      </w:tr>
      <w:tr>
        <w:tc>
          <w:tcPr>
            <w:tcW w:w="923" w:type="dxa"/>
          </w:tcPr>
          <w:p>
            <w:pPr>
              <w:spacing w:before="0" w:after="0"/>
              <w:rPr>
                <w:rFonts w:eastAsia="Arial Unicode MS"/>
                <w:noProof/>
              </w:rPr>
            </w:pPr>
            <w:r>
              <w:rPr>
                <w:noProof/>
              </w:rPr>
              <w:t>16</w:t>
            </w:r>
          </w:p>
        </w:tc>
        <w:tc>
          <w:tcPr>
            <w:tcW w:w="3580" w:type="dxa"/>
          </w:tcPr>
          <w:p>
            <w:pPr>
              <w:spacing w:before="0" w:after="0"/>
              <w:jc w:val="left"/>
              <w:rPr>
                <w:rFonts w:eastAsia="Arial Unicode MS"/>
                <w:noProof/>
              </w:rPr>
            </w:pPr>
            <w:r>
              <w:rPr>
                <w:noProof/>
              </w:rPr>
              <w:t xml:space="preserve">Nepriklausomumas ir </w:t>
            </w:r>
            <w:r>
              <w:rPr>
                <w:noProof/>
              </w:rPr>
              <w:lastRenderedPageBreak/>
              <w:t>visuomenės interesai</w:t>
            </w:r>
          </w:p>
        </w:tc>
        <w:tc>
          <w:tcPr>
            <w:tcW w:w="4786" w:type="dxa"/>
          </w:tcPr>
          <w:p>
            <w:pPr>
              <w:spacing w:before="0" w:after="0"/>
              <w:rPr>
                <w:rFonts w:eastAsia="Arial Unicode MS"/>
                <w:noProof/>
              </w:rPr>
            </w:pPr>
            <w:r>
              <w:rPr>
                <w:noProof/>
              </w:rPr>
              <w:lastRenderedPageBreak/>
              <w:t>Pakeitimų nėra</w:t>
            </w:r>
          </w:p>
        </w:tc>
      </w:tr>
      <w:tr>
        <w:tc>
          <w:tcPr>
            <w:tcW w:w="923" w:type="dxa"/>
          </w:tcPr>
          <w:p>
            <w:pPr>
              <w:spacing w:before="0" w:after="0"/>
              <w:rPr>
                <w:rFonts w:eastAsia="Arial Unicode MS"/>
                <w:noProof/>
              </w:rPr>
            </w:pPr>
            <w:r>
              <w:rPr>
                <w:noProof/>
              </w:rPr>
              <w:lastRenderedPageBreak/>
              <w:t>17</w:t>
            </w:r>
          </w:p>
        </w:tc>
        <w:tc>
          <w:tcPr>
            <w:tcW w:w="3580" w:type="dxa"/>
          </w:tcPr>
          <w:p>
            <w:pPr>
              <w:spacing w:before="0" w:after="0"/>
              <w:jc w:val="left"/>
              <w:rPr>
                <w:rFonts w:eastAsia="Arial Unicode MS"/>
                <w:noProof/>
              </w:rPr>
            </w:pPr>
            <w:r>
              <w:rPr>
                <w:noProof/>
              </w:rPr>
              <w:t>Skaidrumas ir galimybė susipažinti su dokumentais</w:t>
            </w:r>
          </w:p>
        </w:tc>
        <w:tc>
          <w:tcPr>
            <w:tcW w:w="4786" w:type="dxa"/>
          </w:tcPr>
          <w:p>
            <w:pPr>
              <w:spacing w:before="0" w:after="0"/>
              <w:rPr>
                <w:rFonts w:eastAsia="Arial Unicode MS"/>
                <w:noProof/>
              </w:rPr>
            </w:pPr>
            <w:r>
              <w:rPr>
                <w:noProof/>
              </w:rPr>
              <w:t>Pakeitimų nėra</w:t>
            </w:r>
          </w:p>
        </w:tc>
      </w:tr>
      <w:tr>
        <w:tc>
          <w:tcPr>
            <w:tcW w:w="923" w:type="dxa"/>
          </w:tcPr>
          <w:p>
            <w:pPr>
              <w:spacing w:before="0" w:after="0"/>
              <w:rPr>
                <w:rFonts w:eastAsia="Arial Unicode MS"/>
                <w:noProof/>
              </w:rPr>
            </w:pPr>
            <w:r>
              <w:rPr>
                <w:noProof/>
              </w:rPr>
              <w:t>18</w:t>
            </w:r>
          </w:p>
        </w:tc>
        <w:tc>
          <w:tcPr>
            <w:tcW w:w="3580" w:type="dxa"/>
          </w:tcPr>
          <w:p>
            <w:pPr>
              <w:spacing w:before="0" w:after="0"/>
              <w:jc w:val="left"/>
              <w:rPr>
                <w:rFonts w:eastAsia="Arial Unicode MS"/>
                <w:noProof/>
              </w:rPr>
            </w:pPr>
            <w:r>
              <w:rPr>
                <w:noProof/>
              </w:rPr>
              <w:t xml:space="preserve">Duomenų apsauga </w:t>
            </w:r>
          </w:p>
        </w:tc>
        <w:tc>
          <w:tcPr>
            <w:tcW w:w="4786" w:type="dxa"/>
          </w:tcPr>
          <w:p>
            <w:pPr>
              <w:spacing w:before="0" w:after="0"/>
              <w:rPr>
                <w:rFonts w:eastAsia="Arial Unicode MS"/>
                <w:noProof/>
              </w:rPr>
            </w:pPr>
            <w:r>
              <w:rPr>
                <w:noProof/>
              </w:rPr>
              <w:t>Pakeitimų nėra</w:t>
            </w:r>
          </w:p>
        </w:tc>
      </w:tr>
      <w:tr>
        <w:tc>
          <w:tcPr>
            <w:tcW w:w="923" w:type="dxa"/>
          </w:tcPr>
          <w:p>
            <w:pPr>
              <w:spacing w:before="0" w:after="0"/>
              <w:rPr>
                <w:rFonts w:eastAsia="Arial Unicode MS"/>
                <w:noProof/>
              </w:rPr>
            </w:pPr>
            <w:r>
              <w:rPr>
                <w:noProof/>
              </w:rPr>
              <w:t>19</w:t>
            </w:r>
          </w:p>
        </w:tc>
        <w:tc>
          <w:tcPr>
            <w:tcW w:w="3580" w:type="dxa"/>
          </w:tcPr>
          <w:p>
            <w:pPr>
              <w:spacing w:before="0" w:after="0"/>
              <w:jc w:val="left"/>
              <w:rPr>
                <w:rFonts w:eastAsia="Arial Unicode MS"/>
                <w:noProof/>
              </w:rPr>
            </w:pPr>
            <w:r>
              <w:rPr>
                <w:noProof/>
              </w:rPr>
              <w:t>Ombudsmeno atliekama peržiūra</w:t>
            </w:r>
          </w:p>
        </w:tc>
        <w:tc>
          <w:tcPr>
            <w:tcW w:w="4786" w:type="dxa"/>
          </w:tcPr>
          <w:p>
            <w:pPr>
              <w:spacing w:before="0" w:after="0"/>
              <w:rPr>
                <w:rFonts w:eastAsia="Arial Unicode MS"/>
                <w:noProof/>
              </w:rPr>
            </w:pPr>
            <w:r>
              <w:rPr>
                <w:noProof/>
              </w:rPr>
              <w:t>Pakeitimų nėra</w:t>
            </w:r>
          </w:p>
        </w:tc>
      </w:tr>
      <w:tr>
        <w:tc>
          <w:tcPr>
            <w:tcW w:w="923" w:type="dxa"/>
          </w:tcPr>
          <w:p>
            <w:pPr>
              <w:spacing w:before="0" w:after="0"/>
              <w:rPr>
                <w:rFonts w:eastAsia="Arial Unicode MS"/>
                <w:noProof/>
              </w:rPr>
            </w:pPr>
            <w:r>
              <w:rPr>
                <w:noProof/>
              </w:rPr>
              <w:t>20</w:t>
            </w:r>
          </w:p>
        </w:tc>
        <w:tc>
          <w:tcPr>
            <w:tcW w:w="3580" w:type="dxa"/>
          </w:tcPr>
          <w:p>
            <w:pPr>
              <w:spacing w:before="0" w:after="0"/>
              <w:jc w:val="left"/>
              <w:rPr>
                <w:rFonts w:eastAsia="Arial Unicode MS"/>
                <w:noProof/>
              </w:rPr>
            </w:pPr>
            <w:r>
              <w:rPr>
                <w:noProof/>
              </w:rPr>
              <w:t>Biudžeto sudarymas</w:t>
            </w:r>
          </w:p>
        </w:tc>
        <w:tc>
          <w:tcPr>
            <w:tcW w:w="4786" w:type="dxa"/>
          </w:tcPr>
          <w:p>
            <w:pPr>
              <w:spacing w:before="0" w:after="0"/>
              <w:rPr>
                <w:rFonts w:eastAsia="Arial Unicode MS"/>
                <w:noProof/>
              </w:rPr>
            </w:pPr>
            <w:r>
              <w:rPr>
                <w:noProof/>
              </w:rPr>
              <w:t>Pakeitimų nėra</w:t>
            </w:r>
          </w:p>
        </w:tc>
      </w:tr>
      <w:tr>
        <w:tc>
          <w:tcPr>
            <w:tcW w:w="923" w:type="dxa"/>
          </w:tcPr>
          <w:p>
            <w:pPr>
              <w:spacing w:before="0" w:after="0"/>
              <w:rPr>
                <w:rFonts w:eastAsia="Arial Unicode MS"/>
                <w:noProof/>
              </w:rPr>
            </w:pPr>
            <w:r>
              <w:rPr>
                <w:noProof/>
              </w:rPr>
              <w:t>21</w:t>
            </w:r>
          </w:p>
        </w:tc>
        <w:tc>
          <w:tcPr>
            <w:tcW w:w="3580" w:type="dxa"/>
          </w:tcPr>
          <w:p>
            <w:pPr>
              <w:spacing w:before="0" w:after="0"/>
              <w:jc w:val="left"/>
              <w:rPr>
                <w:rFonts w:eastAsia="Arial Unicode MS"/>
                <w:noProof/>
              </w:rPr>
            </w:pPr>
            <w:r>
              <w:rPr>
                <w:noProof/>
              </w:rPr>
              <w:t>Biudžeto vykdymas</w:t>
            </w:r>
          </w:p>
        </w:tc>
        <w:tc>
          <w:tcPr>
            <w:tcW w:w="4786" w:type="dxa"/>
          </w:tcPr>
          <w:p>
            <w:pPr>
              <w:spacing w:before="0" w:after="0"/>
              <w:rPr>
                <w:rFonts w:eastAsia="Arial Unicode MS"/>
                <w:noProof/>
              </w:rPr>
            </w:pPr>
            <w:r>
              <w:rPr>
                <w:noProof/>
              </w:rPr>
              <w:t>Pakeitimų nėra</w:t>
            </w:r>
          </w:p>
        </w:tc>
      </w:tr>
      <w:tr>
        <w:tc>
          <w:tcPr>
            <w:tcW w:w="923" w:type="dxa"/>
          </w:tcPr>
          <w:p>
            <w:pPr>
              <w:spacing w:before="0" w:after="0"/>
              <w:rPr>
                <w:rFonts w:eastAsia="Arial Unicode MS"/>
                <w:noProof/>
              </w:rPr>
            </w:pPr>
            <w:r>
              <w:rPr>
                <w:noProof/>
              </w:rPr>
              <w:t>22</w:t>
            </w:r>
          </w:p>
        </w:tc>
        <w:tc>
          <w:tcPr>
            <w:tcW w:w="3580" w:type="dxa"/>
          </w:tcPr>
          <w:p>
            <w:pPr>
              <w:spacing w:before="0" w:after="0"/>
              <w:jc w:val="left"/>
              <w:rPr>
                <w:rFonts w:eastAsia="Arial Unicode MS"/>
                <w:noProof/>
              </w:rPr>
            </w:pPr>
            <w:r>
              <w:rPr>
                <w:noProof/>
              </w:rPr>
              <w:t>Kova su sukčiavimu</w:t>
            </w:r>
          </w:p>
        </w:tc>
        <w:tc>
          <w:tcPr>
            <w:tcW w:w="4786" w:type="dxa"/>
          </w:tcPr>
          <w:p>
            <w:pPr>
              <w:spacing w:before="0" w:after="0"/>
              <w:rPr>
                <w:rFonts w:eastAsia="Arial Unicode MS"/>
                <w:noProof/>
              </w:rPr>
            </w:pPr>
            <w:r>
              <w:rPr>
                <w:noProof/>
              </w:rPr>
              <w:t>Pakeitimų nėra</w:t>
            </w:r>
          </w:p>
        </w:tc>
      </w:tr>
      <w:tr>
        <w:tc>
          <w:tcPr>
            <w:tcW w:w="923" w:type="dxa"/>
          </w:tcPr>
          <w:p>
            <w:pPr>
              <w:spacing w:before="0" w:after="0"/>
              <w:rPr>
                <w:rFonts w:eastAsia="Arial Unicode MS"/>
                <w:noProof/>
              </w:rPr>
            </w:pPr>
            <w:r>
              <w:rPr>
                <w:noProof/>
              </w:rPr>
              <w:t>23</w:t>
            </w:r>
          </w:p>
        </w:tc>
        <w:tc>
          <w:tcPr>
            <w:tcW w:w="3580" w:type="dxa"/>
          </w:tcPr>
          <w:p>
            <w:pPr>
              <w:spacing w:before="0" w:after="0"/>
              <w:jc w:val="left"/>
              <w:rPr>
                <w:rFonts w:eastAsia="Arial Unicode MS"/>
                <w:noProof/>
              </w:rPr>
            </w:pPr>
            <w:r>
              <w:rPr>
                <w:noProof/>
              </w:rPr>
              <w:t>Juridinis statusas ir buveinė</w:t>
            </w:r>
          </w:p>
        </w:tc>
        <w:tc>
          <w:tcPr>
            <w:tcW w:w="4786" w:type="dxa"/>
          </w:tcPr>
          <w:p>
            <w:pPr>
              <w:spacing w:before="0" w:after="0"/>
              <w:rPr>
                <w:rFonts w:eastAsia="Arial Unicode MS"/>
                <w:noProof/>
              </w:rPr>
            </w:pPr>
            <w:r>
              <w:rPr>
                <w:noProof/>
              </w:rPr>
              <w:t>Pakeitimų nėra</w:t>
            </w:r>
          </w:p>
        </w:tc>
      </w:tr>
      <w:tr>
        <w:tc>
          <w:tcPr>
            <w:tcW w:w="923" w:type="dxa"/>
          </w:tcPr>
          <w:p>
            <w:pPr>
              <w:spacing w:before="0" w:after="0"/>
              <w:rPr>
                <w:rFonts w:eastAsia="Arial Unicode MS"/>
                <w:noProof/>
              </w:rPr>
            </w:pPr>
            <w:r>
              <w:rPr>
                <w:noProof/>
              </w:rPr>
              <w:t>24</w:t>
            </w:r>
          </w:p>
        </w:tc>
        <w:tc>
          <w:tcPr>
            <w:tcW w:w="3580" w:type="dxa"/>
          </w:tcPr>
          <w:p>
            <w:pPr>
              <w:spacing w:before="0" w:after="0"/>
              <w:jc w:val="left"/>
              <w:rPr>
                <w:rFonts w:eastAsia="Arial Unicode MS"/>
                <w:noProof/>
              </w:rPr>
            </w:pPr>
            <w:r>
              <w:rPr>
                <w:noProof/>
              </w:rPr>
              <w:t>Personalas</w:t>
            </w:r>
          </w:p>
        </w:tc>
        <w:tc>
          <w:tcPr>
            <w:tcW w:w="4786" w:type="dxa"/>
          </w:tcPr>
          <w:p>
            <w:pPr>
              <w:spacing w:before="0" w:after="0"/>
              <w:rPr>
                <w:rFonts w:eastAsia="Arial Unicode MS"/>
                <w:noProof/>
              </w:rPr>
            </w:pPr>
            <w:r>
              <w:rPr>
                <w:noProof/>
              </w:rPr>
              <w:t>Išbraukiama dalis, kurioje numatyta, kad Agentūra naudojasi „paskyrimų tarnybai suteiktais įgaliojimais“ (ji pakeičiama nuostata, kad jais naudojasi Valdančioji taryba, kuri sprendimu juos deleguoja direktoriui).</w:t>
            </w:r>
          </w:p>
        </w:tc>
      </w:tr>
      <w:tr>
        <w:tc>
          <w:tcPr>
            <w:tcW w:w="923" w:type="dxa"/>
          </w:tcPr>
          <w:p>
            <w:pPr>
              <w:spacing w:before="0" w:after="0"/>
              <w:rPr>
                <w:rFonts w:eastAsia="Arial Unicode MS"/>
                <w:noProof/>
              </w:rPr>
            </w:pPr>
            <w:r>
              <w:rPr>
                <w:noProof/>
              </w:rPr>
              <w:t>25</w:t>
            </w:r>
          </w:p>
        </w:tc>
        <w:tc>
          <w:tcPr>
            <w:tcW w:w="3580" w:type="dxa"/>
          </w:tcPr>
          <w:p>
            <w:pPr>
              <w:tabs>
                <w:tab w:val="left" w:pos="1279"/>
              </w:tabs>
              <w:spacing w:before="0" w:after="0"/>
              <w:jc w:val="left"/>
              <w:rPr>
                <w:rFonts w:eastAsia="Arial Unicode MS"/>
                <w:noProof/>
              </w:rPr>
            </w:pPr>
            <w:r>
              <w:rPr>
                <w:noProof/>
              </w:rPr>
              <w:t>Kalbų vartojimo reglamentavimas</w:t>
            </w:r>
          </w:p>
        </w:tc>
        <w:tc>
          <w:tcPr>
            <w:tcW w:w="4786" w:type="dxa"/>
          </w:tcPr>
          <w:p>
            <w:pPr>
              <w:spacing w:before="0" w:after="0"/>
              <w:rPr>
                <w:rFonts w:eastAsia="Arial Unicode MS"/>
                <w:noProof/>
              </w:rPr>
            </w:pPr>
            <w:r>
              <w:rPr>
                <w:noProof/>
              </w:rPr>
              <w:t>Pakeitimų nėra</w:t>
            </w:r>
          </w:p>
        </w:tc>
      </w:tr>
      <w:tr>
        <w:tc>
          <w:tcPr>
            <w:tcW w:w="923" w:type="dxa"/>
          </w:tcPr>
          <w:p>
            <w:pPr>
              <w:spacing w:before="0" w:after="0"/>
              <w:rPr>
                <w:rFonts w:eastAsia="Arial Unicode MS"/>
                <w:noProof/>
              </w:rPr>
            </w:pPr>
            <w:r>
              <w:rPr>
                <w:noProof/>
              </w:rPr>
              <w:t>26</w:t>
            </w:r>
          </w:p>
        </w:tc>
        <w:tc>
          <w:tcPr>
            <w:tcW w:w="3580" w:type="dxa"/>
          </w:tcPr>
          <w:p>
            <w:pPr>
              <w:spacing w:before="0" w:after="0"/>
              <w:jc w:val="left"/>
              <w:rPr>
                <w:rFonts w:eastAsia="Arial Unicode MS"/>
                <w:noProof/>
              </w:rPr>
            </w:pPr>
            <w:r>
              <w:rPr>
                <w:noProof/>
              </w:rPr>
              <w:t>Privilegijos ir imunitetai</w:t>
            </w:r>
          </w:p>
        </w:tc>
        <w:tc>
          <w:tcPr>
            <w:tcW w:w="4786" w:type="dxa"/>
          </w:tcPr>
          <w:p>
            <w:pPr>
              <w:spacing w:before="0" w:after="0"/>
              <w:rPr>
                <w:rFonts w:eastAsia="Arial Unicode MS"/>
                <w:noProof/>
              </w:rPr>
            </w:pPr>
            <w:r>
              <w:rPr>
                <w:noProof/>
              </w:rPr>
              <w:t>Pakeitimų nėra</w:t>
            </w:r>
          </w:p>
        </w:tc>
      </w:tr>
      <w:tr>
        <w:tc>
          <w:tcPr>
            <w:tcW w:w="923" w:type="dxa"/>
          </w:tcPr>
          <w:p>
            <w:pPr>
              <w:spacing w:before="0" w:after="0"/>
              <w:rPr>
                <w:rFonts w:eastAsia="Arial Unicode MS"/>
                <w:noProof/>
              </w:rPr>
            </w:pPr>
            <w:r>
              <w:rPr>
                <w:noProof/>
              </w:rPr>
              <w:t>27</w:t>
            </w:r>
          </w:p>
        </w:tc>
        <w:tc>
          <w:tcPr>
            <w:tcW w:w="3580" w:type="dxa"/>
          </w:tcPr>
          <w:p>
            <w:pPr>
              <w:spacing w:before="0" w:after="0"/>
              <w:jc w:val="left"/>
              <w:rPr>
                <w:rFonts w:eastAsia="Arial Unicode MS"/>
                <w:noProof/>
              </w:rPr>
            </w:pPr>
            <w:r>
              <w:rPr>
                <w:noProof/>
              </w:rPr>
              <w:t>Teisingumo Teismo jurisdikcija</w:t>
            </w:r>
          </w:p>
        </w:tc>
        <w:tc>
          <w:tcPr>
            <w:tcW w:w="4786" w:type="dxa"/>
          </w:tcPr>
          <w:p>
            <w:pPr>
              <w:spacing w:before="0" w:after="0"/>
              <w:rPr>
                <w:rFonts w:eastAsia="Arial Unicode MS"/>
                <w:noProof/>
              </w:rPr>
            </w:pPr>
            <w:r>
              <w:rPr>
                <w:noProof/>
              </w:rPr>
              <w:t>Pakeitimų nėra</w:t>
            </w:r>
          </w:p>
        </w:tc>
      </w:tr>
      <w:tr>
        <w:tc>
          <w:tcPr>
            <w:tcW w:w="923" w:type="dxa"/>
          </w:tcPr>
          <w:p>
            <w:pPr>
              <w:spacing w:before="0" w:after="0"/>
              <w:rPr>
                <w:rFonts w:eastAsia="Arial Unicode MS"/>
                <w:noProof/>
              </w:rPr>
            </w:pPr>
            <w:r>
              <w:rPr>
                <w:noProof/>
              </w:rPr>
              <w:t>28</w:t>
            </w:r>
          </w:p>
        </w:tc>
        <w:tc>
          <w:tcPr>
            <w:tcW w:w="3580" w:type="dxa"/>
          </w:tcPr>
          <w:p>
            <w:pPr>
              <w:spacing w:before="0" w:after="0"/>
              <w:rPr>
                <w:rFonts w:eastAsia="Arial Unicode MS"/>
                <w:noProof/>
              </w:rPr>
            </w:pPr>
            <w:r>
              <w:rPr>
                <w:noProof/>
              </w:rPr>
              <w:t>Šalių kandidačių ir šalių, su kuriomis sudarytas stabilizacijos ir asociacijos susitarimas, dalyvavimas ir jo mastas</w:t>
            </w:r>
          </w:p>
        </w:tc>
        <w:tc>
          <w:tcPr>
            <w:tcW w:w="4786" w:type="dxa"/>
          </w:tcPr>
          <w:p>
            <w:pPr>
              <w:spacing w:before="0" w:after="0"/>
              <w:rPr>
                <w:rFonts w:eastAsia="Arial Unicode MS"/>
                <w:noProof/>
              </w:rPr>
            </w:pPr>
            <w:r>
              <w:rPr>
                <w:noProof/>
              </w:rPr>
              <w:t>Pakeitimų nėra</w:t>
            </w:r>
          </w:p>
        </w:tc>
      </w:tr>
      <w:tr>
        <w:tc>
          <w:tcPr>
            <w:tcW w:w="923" w:type="dxa"/>
          </w:tcPr>
          <w:p>
            <w:pPr>
              <w:spacing w:before="0" w:after="0"/>
              <w:rPr>
                <w:rFonts w:eastAsia="Arial Unicode MS"/>
                <w:noProof/>
              </w:rPr>
            </w:pPr>
            <w:r>
              <w:rPr>
                <w:noProof/>
              </w:rPr>
              <w:t>29</w:t>
            </w:r>
          </w:p>
        </w:tc>
        <w:tc>
          <w:tcPr>
            <w:tcW w:w="3580" w:type="dxa"/>
          </w:tcPr>
          <w:p>
            <w:pPr>
              <w:tabs>
                <w:tab w:val="left" w:pos="2595"/>
              </w:tabs>
              <w:spacing w:before="0" w:after="0"/>
              <w:jc w:val="left"/>
              <w:rPr>
                <w:rFonts w:eastAsia="Arial Unicode MS"/>
                <w:noProof/>
              </w:rPr>
            </w:pPr>
            <w:r>
              <w:rPr>
                <w:noProof/>
              </w:rPr>
              <w:t>Pereinamojo laikotarpio priemonės</w:t>
            </w:r>
          </w:p>
        </w:tc>
        <w:tc>
          <w:tcPr>
            <w:tcW w:w="4786" w:type="dxa"/>
          </w:tcPr>
          <w:p>
            <w:pPr>
              <w:spacing w:before="0" w:after="0"/>
              <w:rPr>
                <w:rFonts w:eastAsia="Arial Unicode MS"/>
                <w:noProof/>
              </w:rPr>
            </w:pPr>
            <w:r>
              <w:rPr>
                <w:noProof/>
              </w:rPr>
              <w:t>Pakeitimų nėra</w:t>
            </w:r>
          </w:p>
        </w:tc>
      </w:tr>
      <w:tr>
        <w:tc>
          <w:tcPr>
            <w:tcW w:w="923" w:type="dxa"/>
          </w:tcPr>
          <w:p>
            <w:pPr>
              <w:spacing w:before="0" w:after="0"/>
              <w:rPr>
                <w:rFonts w:eastAsia="Arial Unicode MS"/>
                <w:noProof/>
              </w:rPr>
            </w:pPr>
            <w:r>
              <w:rPr>
                <w:noProof/>
              </w:rPr>
              <w:t>30</w:t>
            </w:r>
          </w:p>
        </w:tc>
        <w:tc>
          <w:tcPr>
            <w:tcW w:w="3580" w:type="dxa"/>
          </w:tcPr>
          <w:p>
            <w:pPr>
              <w:spacing w:before="0" w:after="0"/>
              <w:jc w:val="left"/>
              <w:rPr>
                <w:rFonts w:eastAsia="Arial Unicode MS"/>
                <w:noProof/>
              </w:rPr>
            </w:pPr>
            <w:r>
              <w:rPr>
                <w:noProof/>
              </w:rPr>
              <w:t xml:space="preserve">Vertinimai </w:t>
            </w:r>
          </w:p>
        </w:tc>
        <w:tc>
          <w:tcPr>
            <w:tcW w:w="4786" w:type="dxa"/>
          </w:tcPr>
          <w:p>
            <w:pPr>
              <w:spacing w:before="0" w:after="0"/>
              <w:rPr>
                <w:rFonts w:eastAsia="Arial Unicode MS"/>
                <w:noProof/>
              </w:rPr>
            </w:pPr>
            <w:r>
              <w:rPr>
                <w:noProof/>
              </w:rPr>
              <w:t>Pakeitimai, kuriais patikslinama, kad kas penkerius metus nuo šio iš dalies keičiančio reglamento įsigaliojimo dienos Komisija užsakys atlikti Agentūros vertinimą ir kad kas antrą kartą Agentūros pasiekti rezultatai bus vertinami atsižvelgiant į jos tikslus, įgaliojimus ir užduotis, taip pat bus vertinama, ar, atsižvelgiant į tuos tikslus, įgaliojimus ir užduotis, tebėra pagrįsta tęsti Agentūros veiklą.</w:t>
            </w:r>
          </w:p>
        </w:tc>
      </w:tr>
      <w:tr>
        <w:tc>
          <w:tcPr>
            <w:tcW w:w="923" w:type="dxa"/>
          </w:tcPr>
          <w:p>
            <w:pPr>
              <w:spacing w:before="0" w:after="0"/>
              <w:rPr>
                <w:rFonts w:eastAsia="Arial Unicode MS"/>
                <w:noProof/>
              </w:rPr>
            </w:pPr>
            <w:r>
              <w:rPr>
                <w:noProof/>
              </w:rPr>
              <w:t>31</w:t>
            </w:r>
          </w:p>
        </w:tc>
        <w:tc>
          <w:tcPr>
            <w:tcW w:w="3580" w:type="dxa"/>
          </w:tcPr>
          <w:p>
            <w:pPr>
              <w:spacing w:before="0" w:after="0"/>
              <w:jc w:val="left"/>
              <w:rPr>
                <w:rFonts w:eastAsia="Arial Unicode MS"/>
                <w:noProof/>
              </w:rPr>
            </w:pPr>
            <w:r>
              <w:rPr>
                <w:noProof/>
              </w:rPr>
              <w:t>Peržiūra</w:t>
            </w:r>
          </w:p>
        </w:tc>
        <w:tc>
          <w:tcPr>
            <w:tcW w:w="4786" w:type="dxa"/>
          </w:tcPr>
          <w:p>
            <w:pPr>
              <w:spacing w:before="0" w:after="0"/>
              <w:rPr>
                <w:rFonts w:eastAsia="Arial Unicode MS"/>
                <w:noProof/>
              </w:rPr>
            </w:pPr>
            <w:r>
              <w:rPr>
                <w:noProof/>
              </w:rPr>
              <w:t>Išbraukta (atsižvelgiant į 30 straipsnio pakeitimus).</w:t>
            </w:r>
          </w:p>
        </w:tc>
      </w:tr>
      <w:tr>
        <w:tc>
          <w:tcPr>
            <w:tcW w:w="923" w:type="dxa"/>
          </w:tcPr>
          <w:p>
            <w:pPr>
              <w:spacing w:before="0" w:after="0"/>
              <w:rPr>
                <w:rFonts w:eastAsia="Arial Unicode MS"/>
                <w:noProof/>
              </w:rPr>
            </w:pPr>
            <w:r>
              <w:rPr>
                <w:noProof/>
              </w:rPr>
              <w:t>32</w:t>
            </w:r>
          </w:p>
        </w:tc>
        <w:tc>
          <w:tcPr>
            <w:tcW w:w="3580" w:type="dxa"/>
          </w:tcPr>
          <w:p>
            <w:pPr>
              <w:spacing w:before="0" w:after="0"/>
              <w:jc w:val="left"/>
              <w:rPr>
                <w:rFonts w:eastAsia="Arial Unicode MS"/>
                <w:noProof/>
              </w:rPr>
            </w:pPr>
            <w:r>
              <w:rPr>
                <w:noProof/>
              </w:rPr>
              <w:t>Agentūros veiklos pradžia</w:t>
            </w:r>
          </w:p>
        </w:tc>
        <w:tc>
          <w:tcPr>
            <w:tcW w:w="4786" w:type="dxa"/>
          </w:tcPr>
          <w:p>
            <w:pPr>
              <w:spacing w:before="0" w:after="0"/>
              <w:rPr>
                <w:rFonts w:eastAsia="Arial Unicode MS"/>
                <w:noProof/>
              </w:rPr>
            </w:pPr>
            <w:r>
              <w:rPr>
                <w:noProof/>
              </w:rPr>
              <w:t>Pakeitimų nėra</w:t>
            </w:r>
          </w:p>
        </w:tc>
      </w:tr>
      <w:tr>
        <w:tc>
          <w:tcPr>
            <w:tcW w:w="923" w:type="dxa"/>
          </w:tcPr>
          <w:p>
            <w:pPr>
              <w:spacing w:before="0" w:after="0"/>
              <w:rPr>
                <w:rFonts w:eastAsia="Arial Unicode MS"/>
                <w:noProof/>
              </w:rPr>
            </w:pPr>
            <w:r>
              <w:rPr>
                <w:noProof/>
              </w:rPr>
              <w:t>33</w:t>
            </w:r>
          </w:p>
        </w:tc>
        <w:tc>
          <w:tcPr>
            <w:tcW w:w="3580" w:type="dxa"/>
          </w:tcPr>
          <w:p>
            <w:pPr>
              <w:spacing w:before="0" w:after="0"/>
              <w:jc w:val="left"/>
              <w:rPr>
                <w:rFonts w:eastAsia="Arial Unicode MS"/>
                <w:noProof/>
              </w:rPr>
            </w:pPr>
            <w:r>
              <w:rPr>
                <w:noProof/>
              </w:rPr>
              <w:t>Panaikinimas</w:t>
            </w:r>
          </w:p>
        </w:tc>
        <w:tc>
          <w:tcPr>
            <w:tcW w:w="4786" w:type="dxa"/>
          </w:tcPr>
          <w:p>
            <w:pPr>
              <w:spacing w:before="0" w:after="0"/>
              <w:rPr>
                <w:rFonts w:eastAsia="Arial Unicode MS"/>
                <w:noProof/>
              </w:rPr>
            </w:pPr>
            <w:r>
              <w:rPr>
                <w:noProof/>
              </w:rPr>
              <w:t>Pakeitimų nėra</w:t>
            </w:r>
          </w:p>
        </w:tc>
      </w:tr>
      <w:tr>
        <w:tc>
          <w:tcPr>
            <w:tcW w:w="923" w:type="dxa"/>
          </w:tcPr>
          <w:p>
            <w:pPr>
              <w:spacing w:before="0" w:after="0"/>
              <w:rPr>
                <w:rFonts w:eastAsia="Arial Unicode MS"/>
                <w:noProof/>
              </w:rPr>
            </w:pPr>
            <w:r>
              <w:rPr>
                <w:noProof/>
              </w:rPr>
              <w:t>34</w:t>
            </w:r>
          </w:p>
        </w:tc>
        <w:tc>
          <w:tcPr>
            <w:tcW w:w="3580" w:type="dxa"/>
          </w:tcPr>
          <w:p>
            <w:pPr>
              <w:spacing w:before="0" w:after="0"/>
              <w:jc w:val="left"/>
              <w:rPr>
                <w:rFonts w:eastAsia="Arial Unicode MS"/>
                <w:noProof/>
              </w:rPr>
            </w:pPr>
            <w:r>
              <w:rPr>
                <w:noProof/>
              </w:rPr>
              <w:t>Įsigaliojimas ir taikymas</w:t>
            </w:r>
          </w:p>
        </w:tc>
        <w:tc>
          <w:tcPr>
            <w:tcW w:w="4786" w:type="dxa"/>
          </w:tcPr>
          <w:p>
            <w:pPr>
              <w:spacing w:before="0" w:after="0"/>
              <w:rPr>
                <w:rFonts w:eastAsia="Arial Unicode MS"/>
                <w:noProof/>
              </w:rPr>
            </w:pPr>
            <w:r>
              <w:rPr>
                <w:noProof/>
              </w:rPr>
              <w:t>Pakeitimų nėra</w:t>
            </w:r>
          </w:p>
        </w:tc>
      </w:tr>
    </w:tbl>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2020/0112 (APP)</w:t>
      </w:r>
    </w:p>
    <w:p>
      <w:pPr>
        <w:pStyle w:val="Statut"/>
        <w:rPr>
          <w:noProof/>
        </w:rPr>
      </w:pPr>
      <w:r>
        <w:rPr>
          <w:noProof/>
        </w:rPr>
        <w:t>Pasiūlymas</w:t>
      </w:r>
    </w:p>
    <w:p>
      <w:pPr>
        <w:pStyle w:val="Typedudocument"/>
        <w:rPr>
          <w:noProof/>
        </w:rPr>
      </w:pPr>
      <w:r>
        <w:rPr>
          <w:noProof/>
        </w:rPr>
        <w:t>TARYBOS REGLAMENTAS</w:t>
      </w:r>
    </w:p>
    <w:p>
      <w:pPr>
        <w:pStyle w:val="Titreobjet"/>
        <w:rPr>
          <w:noProof/>
        </w:rPr>
      </w:pPr>
      <w:r>
        <w:rPr>
          <w:noProof/>
        </w:rPr>
        <w:t>kuriuo iš dalies keičiamas Reglamentas (EB) Nr. 168/2007, įsteigiantis Europos Sąjungos pagrindinių teisių agentūrą</w:t>
      </w:r>
    </w:p>
    <w:p>
      <w:pPr>
        <w:pStyle w:val="Institutionquiagit"/>
        <w:rPr>
          <w:noProof/>
        </w:rPr>
      </w:pPr>
      <w:r>
        <w:rPr>
          <w:noProof/>
        </w:rPr>
        <w:t>EUROPOS SĄJUNGOS TARYBA,</w:t>
      </w:r>
    </w:p>
    <w:p>
      <w:pPr>
        <w:rPr>
          <w:noProof/>
        </w:rPr>
      </w:pPr>
      <w:r>
        <w:rPr>
          <w:noProof/>
        </w:rPr>
        <w:t>atsižvelgdama į Sutartį dėl Europos Sąjungos veikimo, ypač į jos 352 straipsnį,</w:t>
      </w:r>
    </w:p>
    <w:p>
      <w:pPr>
        <w:rPr>
          <w:noProof/>
        </w:rPr>
      </w:pPr>
      <w:r>
        <w:rPr>
          <w:noProof/>
        </w:rPr>
        <w:t>atsižvelgdama į Europos Komisijos pasiūlymą,</w:t>
      </w:r>
    </w:p>
    <w:p>
      <w:pPr>
        <w:rPr>
          <w:noProof/>
        </w:rPr>
      </w:pPr>
      <w:r>
        <w:rPr>
          <w:noProof/>
        </w:rPr>
        <w:t>teisėkūros procedūra priimamo akto projektą perdavus nacionaliniams parlamentams,</w:t>
      </w:r>
    </w:p>
    <w:p>
      <w:pPr>
        <w:rPr>
          <w:noProof/>
        </w:rPr>
      </w:pPr>
      <w:r>
        <w:rPr>
          <w:noProof/>
        </w:rPr>
        <w:t>atsižvelgdama į Europos Parlamento pritarimą</w:t>
      </w:r>
      <w:r>
        <w:rPr>
          <w:rStyle w:val="FootnoteReference"/>
          <w:noProof/>
        </w:rPr>
        <w:footnoteReference w:id="6"/>
      </w:r>
      <w:r>
        <w:rPr>
          <w:noProof/>
        </w:rPr>
        <w:t xml:space="preserve">, </w:t>
      </w:r>
    </w:p>
    <w:p>
      <w:pPr>
        <w:rPr>
          <w:noProof/>
        </w:rPr>
      </w:pPr>
      <w:r>
        <w:rPr>
          <w:noProof/>
        </w:rPr>
        <w:t>laikydamasi specialios teisėkūros procedūros,</w:t>
      </w:r>
    </w:p>
    <w:p>
      <w:pPr>
        <w:rPr>
          <w:noProof/>
        </w:rPr>
      </w:pPr>
      <w:r>
        <w:rPr>
          <w:noProof/>
        </w:rPr>
        <w:t>kadangi:</w:t>
      </w:r>
    </w:p>
    <w:p>
      <w:pPr>
        <w:pStyle w:val="ManualConsidrant"/>
        <w:rPr>
          <w:noProof/>
        </w:rPr>
      </w:pPr>
      <w:r>
        <w:t>(1)</w:t>
      </w:r>
      <w:r>
        <w:tab/>
      </w:r>
      <w:r>
        <w:rPr>
          <w:noProof/>
        </w:rPr>
        <w:t>Europos Sąjungos pagrindinių teisių agentūra (toliau – Agentūra) buvo įsteigta Tarybos reglamentu (EB) Nr. 168/2007</w:t>
      </w:r>
      <w:r>
        <w:rPr>
          <w:rStyle w:val="FootnoteReference"/>
          <w:noProof/>
        </w:rPr>
        <w:footnoteReference w:id="7"/>
      </w:r>
      <w:r>
        <w:rPr>
          <w:noProof/>
        </w:rPr>
        <w:t xml:space="preserve">, siekiant padėti Sąjungos institucijoms, įstaigoms, organams ir agentūroms bei valstybėms narėms užtikrinti pagrindines teises ir teikti joms su tomis teisėmis susijusias ekspertines žinias; </w:t>
      </w:r>
    </w:p>
    <w:p>
      <w:pPr>
        <w:pStyle w:val="ManualConsidrant"/>
        <w:rPr>
          <w:noProof/>
        </w:rPr>
      </w:pPr>
      <w:r>
        <w:t>(2)</w:t>
      </w:r>
      <w:r>
        <w:tab/>
      </w:r>
      <w:r>
        <w:rPr>
          <w:noProof/>
        </w:rPr>
        <w:t>siekiant aiškiau apibrėžti Agentūros veiklos sritį ir pagerinti jos veiklos valdymą bei efektyvumą, būtina patikslinti ir atnaujinti tam tikras Reglamento (EB) Nr. 168/2007 nuostatas, nekeičiant Agentūros tikslo ir užduočių;</w:t>
      </w:r>
    </w:p>
    <w:p>
      <w:pPr>
        <w:pStyle w:val="ManualConsidrant"/>
        <w:rPr>
          <w:noProof/>
        </w:rPr>
      </w:pPr>
      <w:r>
        <w:t>(3)</w:t>
      </w:r>
      <w:r>
        <w:tab/>
      </w:r>
      <w:r>
        <w:rPr>
          <w:noProof/>
        </w:rPr>
        <w:t>visų pirma, siekiant visapusiškai atspindėti Agentūros svarbą padedant Sąjungos institucijoms, įstaigoms, organams ir agentūroms bei valstybėms narėms pagrindinių teisių klausimais, reglamente turėtų būti patikslinta, kad įsigaliojus Lisabonos sutarčiai Agentūros veiklos sritis apima Sąjungos kompetenciją, įskaitant policijos bendradarbiavimą ir teisminį bendradarbiavimą baudžiamosiose bylose;</w:t>
      </w:r>
    </w:p>
    <w:p>
      <w:pPr>
        <w:pStyle w:val="ManualConsidrant"/>
        <w:rPr>
          <w:noProof/>
        </w:rPr>
      </w:pPr>
      <w:r>
        <w:t>(4)</w:t>
      </w:r>
      <w:r>
        <w:tab/>
      </w:r>
      <w:r>
        <w:rPr>
          <w:noProof/>
        </w:rPr>
        <w:t>be to, reikalingi kai kurie tiksliniai techniniai Reglamento (EB) Nr. 168/2007 pakeitimai, kad Agentūra būtų valdoma ir veiktų pagal bendro požiūrio, pridėto prie 2012 m. liepos 19 d. Europos Parlamento, Europos Sąjungos Tarybos ir Europos Komisijos bendro pareiškimo dėl decentralizuotų agentūrų (toliau – bendras požiūris)</w:t>
      </w:r>
      <w:r>
        <w:rPr>
          <w:rStyle w:val="FootnoteReference"/>
          <w:noProof/>
        </w:rPr>
        <w:footnoteReference w:id="8"/>
      </w:r>
      <w:r>
        <w:rPr>
          <w:noProof/>
        </w:rPr>
        <w:t xml:space="preserve">, principus. Reglamentas (EB) Nr. 168/2007 buvo suderintas su bendrame požiūryje nustatytais principais, pritaikant jį prie konkretaus Agentūros darbo ir pobūdžio, taip siekiant užtikrinti, kad Agentūros veikla taptų paprastesnė, geriau valdoma ir veiksmingesnė;  </w:t>
      </w:r>
    </w:p>
    <w:p>
      <w:pPr>
        <w:pStyle w:val="ManualConsidrant"/>
        <w:rPr>
          <w:noProof/>
        </w:rPr>
      </w:pPr>
      <w:r>
        <w:t>(5)</w:t>
      </w:r>
      <w:r>
        <w:tab/>
      </w:r>
      <w:r>
        <w:rPr>
          <w:noProof/>
        </w:rPr>
        <w:t xml:space="preserve">pirma, Agentūros veiklos sritys turėtų būti apibrėžiamos remiantis tik Agentūros daugiamečio programavimo dokumentu. Dabartinis metodas, pagal kurį kas penkerius </w:t>
      </w:r>
      <w:r>
        <w:rPr>
          <w:noProof/>
        </w:rPr>
        <w:lastRenderedPageBreak/>
        <w:t>metus kartu nustatoma plati teminė daugiametė programa, tapo nebereikalingas ir nebeturėtų būti taikomas, nes nuo 2017 m. Agentūra, laikydamasi Komisijos deleguotojo reglamento (ES) Nr. 1271/2013</w:t>
      </w:r>
      <w:r>
        <w:rPr>
          <w:rStyle w:val="FootnoteReference"/>
          <w:noProof/>
        </w:rPr>
        <w:footnoteReference w:id="9"/>
      </w:r>
      <w:r>
        <w:rPr>
          <w:noProof/>
        </w:rPr>
        <w:t xml:space="preserve"> (kuris pakeistas Komisijos deleguotuoju reglamentu (ES) 2019/715</w:t>
      </w:r>
      <w:r>
        <w:rPr>
          <w:rStyle w:val="FootnoteReference"/>
          <w:noProof/>
        </w:rPr>
        <w:footnoteReference w:id="10"/>
      </w:r>
      <w:r>
        <w:rPr>
          <w:noProof/>
        </w:rPr>
        <w:t xml:space="preserve">), kasmet priima daugiametį programavimo dokumentą. Remiantis Sąjungos politikos darbotvarke ir suinteresuotųjų subjektų poreikiais, daugiamečiame programavimo dokumente aiškiai nustatytos sritys ir konkretūs projektai, kuriuos Agentūra vykdys trejus metus. Taip Agentūrai turėtų būti sudarytos sąlygos nuolat planuoti savo veiklą ir teminius prioritetus ir kasmet pritaikyti juos prie naujų prioritetų; </w:t>
      </w:r>
    </w:p>
    <w:p>
      <w:pPr>
        <w:pStyle w:val="ManualConsidrant"/>
        <w:rPr>
          <w:noProof/>
        </w:rPr>
      </w:pPr>
      <w:r>
        <w:t>(6)</w:t>
      </w:r>
      <w:r>
        <w:tab/>
      </w:r>
      <w:r>
        <w:rPr>
          <w:noProof/>
        </w:rPr>
        <w:t xml:space="preserve">antra, siekiant užtikrinti geresnį Agentūros valdančiosios tarybos valdymą ir veikimą, reikėtų iš dalies pakeisti kai kurias Reglamento (EB) Nr. 168/2007 nuostatas; </w:t>
      </w:r>
    </w:p>
    <w:p>
      <w:pPr>
        <w:pStyle w:val="ManualConsidrant"/>
        <w:rPr>
          <w:noProof/>
        </w:rPr>
      </w:pPr>
      <w:r>
        <w:t>(7)</w:t>
      </w:r>
      <w:r>
        <w:tab/>
      </w:r>
      <w:r>
        <w:rPr>
          <w:noProof/>
        </w:rPr>
        <w:t xml:space="preserve">atsižvelgiant į svarbų Valdančiosios tarybos stebėsenos vaidmenį, turėtų būti ne tik reikalaujama, kad jos nariai būtų nepriklausomi, turėtų žinių pagrindinių teisių srityje ir vadovavimo patirties, bet ir turėtų tinkamų administracinių ir biudžeto valdymo įgūdžių; </w:t>
      </w:r>
    </w:p>
    <w:p>
      <w:pPr>
        <w:pStyle w:val="ManualConsidrant"/>
        <w:rPr>
          <w:noProof/>
        </w:rPr>
      </w:pPr>
      <w:r>
        <w:t>(8)</w:t>
      </w:r>
      <w:r>
        <w:tab/>
      </w:r>
      <w:r>
        <w:rPr>
          <w:noProof/>
        </w:rPr>
        <w:t xml:space="preserve">taip pat turėtų būti paaiškinta, kad, nors Valdančiosios tarybos narių ir pakaitinių narių kadencija negali būti pratęsta kelis kartus iš eilės, buvusį narį arba pakaitinį narį turėtų būti galima pakartotinai paskirti vienai ar kelioms ne iš eilės einančioms kadencijoms. Viena vertus, draudimas kelis kartus iš eilės pratęsti narių kadenciją yra pagrįstas siekiant užtikrinti jų nepriklausomumą, tačiau kita vertus, leidus narius skirti pakartotinai ne iš eilės einančioms kadencijoms, valstybėms narėms būtų lengviau skirti tinkamus narius, atitinkančius visus būtinus reikalavimus; </w:t>
      </w:r>
    </w:p>
    <w:p>
      <w:pPr>
        <w:pStyle w:val="ManualConsidrant"/>
        <w:rPr>
          <w:noProof/>
        </w:rPr>
      </w:pPr>
      <w:r>
        <w:t>(9)</w:t>
      </w:r>
      <w:r>
        <w:tab/>
      </w:r>
      <w:r>
        <w:rPr>
          <w:noProof/>
        </w:rPr>
        <w:t xml:space="preserve">dėl Valdančiosios tarybos narių pakeitimo turėtų būti paaiškinta, kad visais atvejais, kai kadencija nutraukiama nepasibaigus 5 metų laikotarpiui (ne tik kai prarandamas nepriklausomumas, bet ir kitais atvejais, pavyzdžiui, atsistatydinimo ar mirties atveju), naujojo nario kadencija baigsis suėjus jo pirmtako penkerių metų kadencijai, išskyrus atvejus, kai likusi kadencija yra trumpesnė nei dveji metai; tokiu atveju gali būti skaičiuojama nauja penkerių metų kadencija; </w:t>
      </w:r>
    </w:p>
    <w:p>
      <w:pPr>
        <w:pStyle w:val="ManualConsidrant"/>
        <w:rPr>
          <w:noProof/>
        </w:rPr>
      </w:pPr>
      <w:r>
        <w:t>(10)</w:t>
      </w:r>
      <w:r>
        <w:tab/>
      </w:r>
      <w:r>
        <w:rPr>
          <w:noProof/>
        </w:rPr>
        <w:t>kad reikalavimai derėtų su padėtimi institucijose, Agentūros valdančiajai tarybai turėtų būti suteikti paskyrimų tarnybos įgaliojimai. Šie įgaliojimai, išskyrus direktoriaus skyrimo įgaliojimus, turėtų būti deleguoti direktoriui. Valdančioji taryba paskyrimų tarnybos įgaliojimais, susijusiais su Agentūros personalu, turėtų naudotis tik išimtinėmis aplinkybėmis;</w:t>
      </w:r>
    </w:p>
    <w:p>
      <w:pPr>
        <w:pStyle w:val="ManualConsidrant"/>
        <w:rPr>
          <w:noProof/>
        </w:rPr>
      </w:pPr>
      <w:r>
        <w:t>(11)</w:t>
      </w:r>
      <w:r>
        <w:tab/>
      </w:r>
      <w:r>
        <w:rPr>
          <w:noProof/>
        </w:rPr>
        <w:t xml:space="preserve">siekiant išvengti aklaviečių ir supaprastinti Vykdomosios valdybos narių rinkimo balsavimo procedūras, turėtų būti numatyta, kad Valdančioji taryba juos išrenka balso teisę turinčių Valdančiosios tarybos narių balsų dauguma; </w:t>
      </w:r>
    </w:p>
    <w:p>
      <w:pPr>
        <w:pStyle w:val="ManualConsidrant"/>
        <w:rPr>
          <w:noProof/>
        </w:rPr>
      </w:pPr>
      <w:r>
        <w:t>(12)</w:t>
      </w:r>
      <w:r>
        <w:tab/>
      </w:r>
      <w:r>
        <w:rPr>
          <w:noProof/>
        </w:rPr>
        <w:t xml:space="preserve">galiausiai, siekiant Reglamentą (EB) Nr. 168/2007 dar labiau suderinti su bendru požiūriu ir sustiprinti Valdančiosios tarybos gebėjimą prižiūrėti Agentūros administracinį, veiklos ir biudžeto valdymą, būtina Valdančiajai tarybai pavesti papildomas užduotis ir patikslinti Vykdomajai valdybai pavestas užduotis. </w:t>
      </w:r>
      <w:r>
        <w:rPr>
          <w:noProof/>
        </w:rPr>
        <w:lastRenderedPageBreak/>
        <w:t>Valdančiosios tarybos papildomos užduotys turėtų būti saugumo strategijos, įskaitant ES įslaptintos informacijos tvarkymo taisykles, komunikacijos strategijos ir jos narių bei Mokslinio komiteto interesų konfliktų valdymo ir prevencijos taisyklių priėmimas. Reikėtų paaiškinti, kad Vykdomosios valdybos užduotis prižiūrėti parengiamąjį darbą, susijusį su sprendimais, kuriuos turi priimti Valdančioji taryba, apima darbo biudžeto ir žmogiškųjų išteklių srityse priežiūrą. Be to, Vykdomajai valdybai turėtų būti pavesta patvirtinti direktoriaus parengtą kovos su sukčiavimu strategiją ir užtikrinti tinkamus tolesnius veiksmus, kuriais atsižvelgiama į audito ir Europos kovos su sukčiavimu tarnybos (OLAF) bei Europos prokuratūros tyrimų išvadas. Taip pat reikėtų numatyti, kad prireikus skubos atveju Vykdomoji valdyba gali priimti laikinus sprendimus Valdančiosios tarybos vardu;</w:t>
      </w:r>
    </w:p>
    <w:p>
      <w:pPr>
        <w:pStyle w:val="ManualConsidrant"/>
        <w:rPr>
          <w:noProof/>
        </w:rPr>
      </w:pPr>
      <w:r>
        <w:t>(13)</w:t>
      </w:r>
      <w:r>
        <w:tab/>
      </w:r>
      <w:r>
        <w:rPr>
          <w:noProof/>
        </w:rPr>
        <w:t xml:space="preserve">siekiant supaprastinti dabartinę Mokslinio komiteto narių pakeitimo tvarką, tais atvejais, kai narį reikia pakeisti prieš pasibaigiant jo kadencijai, Valdančiajai tarybai turėtų būti leista likusiam kadencijos laikui paskirti kitą rezervo sąraše iš eilės nurodytą asmenį; </w:t>
      </w:r>
    </w:p>
    <w:p>
      <w:pPr>
        <w:pStyle w:val="ManualConsidrant"/>
        <w:rPr>
          <w:noProof/>
        </w:rPr>
      </w:pPr>
      <w:r>
        <w:t>(14)</w:t>
      </w:r>
      <w:r>
        <w:tab/>
      </w:r>
      <w:r>
        <w:rPr>
          <w:noProof/>
        </w:rPr>
        <w:t xml:space="preserve">atsižvelgiant į tai, kad skyrimo procedūra yra labai selektyvi, ir į tai, kad kandidatų, kurie atitinka atrankos kriterijus, skaičius dažnai yra nedidelis, Agentūros direktoriaus kadenciją turėtų būti galima pratęsti iki penkerių metų. Be to, atsižvelgiant į pareigų svarbą ir išsamią procedūrą, kurioje dalyvauja Europos Parlamentas, Taryba ir Komisija, tokia procedūra turėtų būti pradėta likus dvylikai mėnesių iki kadencijos pabaigos; </w:t>
      </w:r>
    </w:p>
    <w:p>
      <w:pPr>
        <w:pStyle w:val="ManualConsidrant"/>
        <w:rPr>
          <w:noProof/>
        </w:rPr>
      </w:pPr>
      <w:r>
        <w:t>(15)</w:t>
      </w:r>
      <w:r>
        <w:tab/>
      </w:r>
      <w:r>
        <w:rPr>
          <w:noProof/>
        </w:rPr>
        <w:t>siekiant padidinti direktoriaus įgaliojimų, o kartu ir Agentūros veiklos stabilumą, balsų dauguma, kurios reikia norint pasiūlyti jį atleisti, taip pat turėtų būti padidinta nuo dabar taikomos trečdalio iki dviejų trečdalių Valdančiosios tarybos narių balsų daugumos. Galiausiai, siekiant apibrėžti bendrą direktoriaus atsakomybę už Agentūros administracinį valdymą, turėtų būti aiškiai nustatyta, kad direktorius yra atsakingas už Valdančiosios tarybos priimtų sprendimų įgyvendinimą, Agentūros kovos su sukčiavimu strategijos parengimą ir veiksmų plano, kuriuo atsižvelgiama į vidaus ar išorės audito ataskaitas ir OLAF arba Europos prokuratūros tyrimus, parengimą;</w:t>
      </w:r>
    </w:p>
    <w:p>
      <w:pPr>
        <w:pStyle w:val="ManualConsidrant"/>
        <w:rPr>
          <w:noProof/>
        </w:rPr>
      </w:pPr>
      <w:r>
        <w:t>(16)</w:t>
      </w:r>
      <w:r>
        <w:tab/>
      </w:r>
      <w:r>
        <w:rPr>
          <w:noProof/>
        </w:rPr>
        <w:t xml:space="preserve">siekiant Reglamentą (EB) Nr. 168/2007 suderinti su bendru požiūriu, būtina numatyti, kad Komisija turėtų kas penkerius metus atlikti Agentūros vertinimą; </w:t>
      </w:r>
    </w:p>
    <w:p>
      <w:pPr>
        <w:pStyle w:val="ManualConsidrant"/>
        <w:rPr>
          <w:noProof/>
        </w:rPr>
      </w:pPr>
      <w:r>
        <w:t>(17)</w:t>
      </w:r>
      <w:r>
        <w:tab/>
      </w:r>
      <w:r>
        <w:rPr>
          <w:noProof/>
        </w:rPr>
        <w:t>todėl Reglamentas (EB) Nr. 168/2007 turėtų būti atitinkamai iš dalies pakeistas,</w:t>
      </w:r>
    </w:p>
    <w:p>
      <w:pPr>
        <w:pStyle w:val="Formuledadoption"/>
        <w:rPr>
          <w:noProof/>
        </w:rPr>
      </w:pPr>
      <w:r>
        <w:rPr>
          <w:noProof/>
        </w:rPr>
        <w:t>PRIĖMĖ ŠĮ REGLAMENTĄ:</w:t>
      </w:r>
    </w:p>
    <w:p>
      <w:pPr>
        <w:pStyle w:val="Titrearticle"/>
        <w:rPr>
          <w:noProof/>
        </w:rPr>
      </w:pPr>
      <w:r>
        <w:rPr>
          <w:noProof/>
        </w:rPr>
        <w:t>1 straipsnis</w:t>
      </w:r>
    </w:p>
    <w:p>
      <w:pPr>
        <w:pStyle w:val="Titrearticle"/>
        <w:rPr>
          <w:noProof/>
        </w:rPr>
      </w:pPr>
      <w:r>
        <w:rPr>
          <w:noProof/>
        </w:rPr>
        <w:t>Reglamento (EB) Nr. 168/2007 pakeitimai</w:t>
      </w:r>
    </w:p>
    <w:p>
      <w:pPr>
        <w:jc w:val="center"/>
        <w:rPr>
          <w:noProof/>
        </w:rPr>
      </w:pPr>
    </w:p>
    <w:p>
      <w:pPr>
        <w:rPr>
          <w:noProof/>
        </w:rPr>
      </w:pPr>
      <w:r>
        <w:rPr>
          <w:noProof/>
        </w:rPr>
        <w:t>Reglamentas (EB) Nr. 168/2007 iš dalies keičiamas taip:</w:t>
      </w:r>
    </w:p>
    <w:p>
      <w:pPr>
        <w:rPr>
          <w:noProof/>
        </w:rPr>
      </w:pPr>
    </w:p>
    <w:p>
      <w:pPr>
        <w:pStyle w:val="Point0"/>
        <w:rPr>
          <w:noProof/>
        </w:rPr>
      </w:pPr>
      <w:r>
        <w:t>(1)</w:t>
      </w:r>
      <w:r>
        <w:tab/>
      </w:r>
      <w:r>
        <w:rPr>
          <w:noProof/>
        </w:rPr>
        <w:t>3 straipsnis pakeičiamas taip:</w:t>
      </w:r>
    </w:p>
    <w:p>
      <w:pPr>
        <w:rPr>
          <w:noProof/>
        </w:rPr>
      </w:pPr>
    </w:p>
    <w:p>
      <w:pPr>
        <w:pStyle w:val="Text1"/>
        <w:jc w:val="center"/>
        <w:rPr>
          <w:noProof/>
        </w:rPr>
      </w:pPr>
      <w:r>
        <w:rPr>
          <w:noProof/>
        </w:rPr>
        <w:t xml:space="preserve">„3 </w:t>
      </w:r>
      <w:r>
        <w:rPr>
          <w:i/>
          <w:noProof/>
        </w:rPr>
        <w:t>straipsnis</w:t>
      </w:r>
    </w:p>
    <w:p>
      <w:pPr>
        <w:pStyle w:val="Text1"/>
        <w:jc w:val="center"/>
        <w:rPr>
          <w:noProof/>
        </w:rPr>
      </w:pPr>
      <w:r>
        <w:rPr>
          <w:noProof/>
        </w:rPr>
        <w:lastRenderedPageBreak/>
        <w:t xml:space="preserve"> </w:t>
      </w:r>
      <w:r>
        <w:rPr>
          <w:noProof/>
        </w:rPr>
        <w:br/>
        <w:t>Taikymo sritis</w:t>
      </w:r>
    </w:p>
    <w:p>
      <w:pPr>
        <w:tabs>
          <w:tab w:val="left" w:pos="993"/>
        </w:tabs>
        <w:rPr>
          <w:noProof/>
        </w:rPr>
      </w:pPr>
    </w:p>
    <w:p>
      <w:pPr>
        <w:pStyle w:val="Point1"/>
        <w:rPr>
          <w:noProof/>
        </w:rPr>
      </w:pPr>
      <w:r>
        <w:rPr>
          <w:noProof/>
        </w:rPr>
        <w:t>1.</w:t>
      </w:r>
      <w:r>
        <w:rPr>
          <w:noProof/>
        </w:rPr>
        <w:tab/>
        <w:t>Siekdama šio reglamento 2 straipsnyje nustatytų tikslų, Agentūra savo užduotis vykdo neperžengdama Sąjungos kompetencijos ribų.</w:t>
      </w:r>
    </w:p>
    <w:p>
      <w:pPr>
        <w:pStyle w:val="Point1"/>
        <w:rPr>
          <w:noProof/>
        </w:rPr>
      </w:pPr>
      <w:r>
        <w:rPr>
          <w:noProof/>
        </w:rPr>
        <w:t>2.</w:t>
      </w:r>
      <w:r>
        <w:rPr>
          <w:noProof/>
        </w:rPr>
        <w:tab/>
        <w:t xml:space="preserve">Vykdydama savo užduotis, Agentūra remiasi pagrindinėmis teisėmis, nurodytomis Europos Sąjungos sutarties 6 straipsnyje. </w:t>
      </w:r>
    </w:p>
    <w:p>
      <w:pPr>
        <w:pStyle w:val="Point1"/>
        <w:rPr>
          <w:noProof/>
        </w:rPr>
      </w:pPr>
      <w:r>
        <w:rPr>
          <w:noProof/>
        </w:rPr>
        <w:t>3.</w:t>
      </w:r>
      <w:r>
        <w:rPr>
          <w:noProof/>
        </w:rPr>
        <w:tab/>
        <w:t>Agentūra sprendžia pagrindinių teisių klausimus įgyvendinant Sąjungos teisę Europos Sąjungoje ir jos valstybėse narėse.“;</w:t>
      </w:r>
    </w:p>
    <w:p>
      <w:pPr>
        <w:rPr>
          <w:noProof/>
        </w:rPr>
      </w:pPr>
    </w:p>
    <w:p>
      <w:pPr>
        <w:pStyle w:val="Point0"/>
        <w:rPr>
          <w:noProof/>
        </w:rPr>
      </w:pPr>
      <w:r>
        <w:t>(2)</w:t>
      </w:r>
      <w:r>
        <w:tab/>
      </w:r>
      <w:r>
        <w:rPr>
          <w:noProof/>
        </w:rPr>
        <w:t>4 straipsnis iš dalies keičiamas taip:</w:t>
      </w:r>
    </w:p>
    <w:p>
      <w:pPr>
        <w:pStyle w:val="Point0"/>
        <w:rPr>
          <w:noProof/>
        </w:rPr>
      </w:pPr>
      <w:r>
        <w:t>(a)</w:t>
      </w:r>
      <w:r>
        <w:tab/>
      </w:r>
      <w:r>
        <w:rPr>
          <w:noProof/>
        </w:rPr>
        <w:t>1 dalies c punktas pakeičiamas taip:</w:t>
      </w:r>
    </w:p>
    <w:p>
      <w:pPr>
        <w:pStyle w:val="Text1"/>
        <w:rPr>
          <w:noProof/>
        </w:rPr>
      </w:pPr>
      <w:r>
        <w:rPr>
          <w:noProof/>
        </w:rPr>
        <w:t>„c)</w:t>
      </w:r>
      <w:r>
        <w:rPr>
          <w:noProof/>
        </w:rPr>
        <w:tab/>
        <w:t>Europos Parlamento, Tarybos arba Komisijos prašymu, kai tikslinga ir suderinama su jos prioritetais bei daugiamete darbo programa, vykdo, bendradarbiauja vykdant arba skatina mokslinius bei nuomonių tyrimus, parengiamuosius tyrimus ir galimybių studijas;“;</w:t>
      </w:r>
    </w:p>
    <w:p>
      <w:pPr>
        <w:pStyle w:val="Point0"/>
        <w:rPr>
          <w:noProof/>
        </w:rPr>
      </w:pPr>
      <w:r>
        <w:t>(b)</w:t>
      </w:r>
      <w:r>
        <w:tab/>
      </w:r>
      <w:r>
        <w:rPr>
          <w:noProof/>
        </w:rPr>
        <w:t>straipsnis papildomas 3 ir 4 dalimis:</w:t>
      </w:r>
    </w:p>
    <w:p>
      <w:pPr>
        <w:pStyle w:val="Text1"/>
        <w:rPr>
          <w:noProof/>
        </w:rPr>
      </w:pPr>
      <w:r>
        <w:rPr>
          <w:noProof/>
        </w:rPr>
        <w:t>„3.</w:t>
      </w:r>
      <w:r>
        <w:rPr>
          <w:noProof/>
        </w:rPr>
        <w:tab/>
        <w:t xml:space="preserve">Prieš patvirtinant 1 dalies e punkte nurodytą ataskaitą, konsultuojamasi su Moksliniu komitetu. </w:t>
      </w:r>
    </w:p>
    <w:p>
      <w:pPr>
        <w:pStyle w:val="Text1"/>
        <w:rPr>
          <w:noProof/>
        </w:rPr>
      </w:pPr>
      <w:r>
        <w:rPr>
          <w:noProof/>
        </w:rPr>
        <w:t xml:space="preserve">4. Agentūra 1 dalies e ir g punktuose nurodytas ataskaitas ne vėliau kaip iki birželio 15 d. išsiunčia Europos Parlamentui, Tarybai, Komisijai, Audito Rūmams, Europos ekonomikos ir socialinių reikalų komitetui ir Regionų komitetui.“; </w:t>
      </w:r>
    </w:p>
    <w:p>
      <w:pPr>
        <w:rPr>
          <w:noProof/>
        </w:rPr>
      </w:pPr>
    </w:p>
    <w:p>
      <w:pPr>
        <w:pStyle w:val="Point0"/>
        <w:rPr>
          <w:noProof/>
        </w:rPr>
      </w:pPr>
      <w:r>
        <w:t>(3)</w:t>
      </w:r>
      <w:r>
        <w:tab/>
      </w:r>
      <w:r>
        <w:rPr>
          <w:noProof/>
        </w:rPr>
        <w:t>5 straipsnis pakeičiamas taip:</w:t>
      </w:r>
    </w:p>
    <w:p>
      <w:pPr>
        <w:rPr>
          <w:noProof/>
        </w:rPr>
      </w:pPr>
    </w:p>
    <w:p>
      <w:pPr>
        <w:pStyle w:val="Text1"/>
        <w:jc w:val="center"/>
        <w:rPr>
          <w:noProof/>
        </w:rPr>
      </w:pPr>
      <w:r>
        <w:rPr>
          <w:noProof/>
        </w:rPr>
        <w:t>„</w:t>
      </w:r>
      <w:r>
        <w:rPr>
          <w:i/>
          <w:noProof/>
        </w:rPr>
        <w:t>5 straipsnis</w:t>
      </w:r>
    </w:p>
    <w:p>
      <w:pPr>
        <w:pStyle w:val="Text1"/>
        <w:jc w:val="center"/>
        <w:rPr>
          <w:noProof/>
        </w:rPr>
      </w:pPr>
      <w:r>
        <w:rPr>
          <w:noProof/>
        </w:rPr>
        <w:t>Veiklos sritys</w:t>
      </w:r>
    </w:p>
    <w:p>
      <w:pPr>
        <w:rPr>
          <w:noProof/>
        </w:rPr>
      </w:pPr>
    </w:p>
    <w:p>
      <w:pPr>
        <w:pStyle w:val="Text1"/>
        <w:rPr>
          <w:noProof/>
        </w:rPr>
      </w:pPr>
      <w:r>
        <w:rPr>
          <w:noProof/>
        </w:rPr>
        <w:t>Agentūra vykdo savo užduotis remdamasi savo daugiamete darbo programa ir deramai atsižvelgdama į turimus finansinius ir žmogiškuosius išteklius.“;</w:t>
      </w:r>
    </w:p>
    <w:p>
      <w:pPr>
        <w:rPr>
          <w:noProof/>
        </w:rPr>
      </w:pPr>
    </w:p>
    <w:p>
      <w:pPr>
        <w:pStyle w:val="Point0"/>
        <w:rPr>
          <w:noProof/>
        </w:rPr>
      </w:pPr>
      <w:r>
        <w:t>(4)</w:t>
      </w:r>
      <w:r>
        <w:tab/>
      </w:r>
      <w:r>
        <w:rPr>
          <w:noProof/>
        </w:rPr>
        <w:t>įterpiamas šis 5a straipsnis:</w:t>
      </w:r>
    </w:p>
    <w:p>
      <w:pPr>
        <w:pStyle w:val="Titrearticle"/>
        <w:rPr>
          <w:noProof/>
        </w:rPr>
      </w:pPr>
      <w:r>
        <w:rPr>
          <w:noProof/>
        </w:rPr>
        <w:t xml:space="preserve">„5a straipsnis </w:t>
      </w:r>
      <w:r>
        <w:rPr>
          <w:noProof/>
        </w:rPr>
        <w:br/>
      </w:r>
      <w:r>
        <w:rPr>
          <w:i w:val="0"/>
          <w:noProof/>
        </w:rPr>
        <w:t>Daugiametė darbo programa</w:t>
      </w:r>
    </w:p>
    <w:p>
      <w:pPr>
        <w:pStyle w:val="ManualNumPar1"/>
        <w:rPr>
          <w:noProof/>
        </w:rPr>
      </w:pPr>
      <w:r>
        <w:t>1.</w:t>
      </w:r>
      <w:r>
        <w:tab/>
      </w:r>
      <w:r>
        <w:rPr>
          <w:noProof/>
        </w:rPr>
        <w:t xml:space="preserve">Daugiametė darbo programa atitinka turimus finansinius ir žmogiškuosius išteklius ir joje atsižvelgiama į Sąjungos tiriamąjį ir statistinį darbą. </w:t>
      </w:r>
    </w:p>
    <w:p>
      <w:pPr>
        <w:pStyle w:val="ManualNumPar1"/>
        <w:rPr>
          <w:noProof/>
        </w:rPr>
      </w:pPr>
      <w:r>
        <w:t>2.</w:t>
      </w:r>
      <w:r>
        <w:tab/>
      </w:r>
      <w:r>
        <w:rPr>
          <w:noProof/>
        </w:rPr>
        <w:t xml:space="preserve">Direktorius pateikia daugiametės darbo programos projektą Komisijai ir Moksliniam komitetui, kad jie pareikštų savo nuomonę. Direktorius tą projektą taip pat nusiunčia valstybių narių nacionaliniams ryšių palaikymo pareigūnams. </w:t>
      </w:r>
    </w:p>
    <w:p>
      <w:pPr>
        <w:pStyle w:val="ManualNumPar1"/>
        <w:rPr>
          <w:noProof/>
        </w:rPr>
      </w:pPr>
      <w:r>
        <w:lastRenderedPageBreak/>
        <w:t>3.</w:t>
      </w:r>
      <w:r>
        <w:tab/>
      </w:r>
      <w:r>
        <w:rPr>
          <w:noProof/>
        </w:rPr>
        <w:t>Komisijai ir Moksliniam komitetui pateikus savo nuomonę, Direktorius daugiametės darbo programos projektą pateikia patvirtinti Valdančiajai tarybai.</w:t>
      </w:r>
    </w:p>
    <w:p>
      <w:pPr>
        <w:pStyle w:val="ManualNumPar1"/>
        <w:rPr>
          <w:noProof/>
        </w:rPr>
      </w:pPr>
      <w:r>
        <w:t>4.</w:t>
      </w:r>
      <w:r>
        <w:tab/>
      </w:r>
      <w:r>
        <w:rPr>
          <w:noProof/>
        </w:rPr>
        <w:t>Direktorius daugiametę vertinimo programą išsiunčia Europos Parlamentui, Tarybai ir Komisijai.“;</w:t>
      </w:r>
      <w:r>
        <w:rPr>
          <w:i/>
          <w:noProof/>
          <w:highlight w:val="yellow"/>
        </w:rPr>
        <w:t xml:space="preserve"> </w:t>
      </w:r>
    </w:p>
    <w:p>
      <w:pPr>
        <w:pStyle w:val="Text1"/>
        <w:rPr>
          <w:noProof/>
        </w:rPr>
      </w:pPr>
    </w:p>
    <w:p>
      <w:pPr>
        <w:pStyle w:val="Point0"/>
        <w:rPr>
          <w:noProof/>
        </w:rPr>
      </w:pPr>
      <w:r>
        <w:t>(5)</w:t>
      </w:r>
      <w:r>
        <w:tab/>
      </w:r>
      <w:r>
        <w:rPr>
          <w:noProof/>
        </w:rPr>
        <w:t>8 straipsnio 1 dalis pakeičiama taip:</w:t>
      </w:r>
    </w:p>
    <w:p>
      <w:pPr>
        <w:rPr>
          <w:noProof/>
        </w:rPr>
      </w:pPr>
    </w:p>
    <w:p>
      <w:pPr>
        <w:pStyle w:val="Text1"/>
        <w:rPr>
          <w:noProof/>
        </w:rPr>
      </w:pPr>
      <w:r>
        <w:rPr>
          <w:noProof/>
        </w:rPr>
        <w:t>„1.</w:t>
      </w:r>
      <w:r>
        <w:rPr>
          <w:noProof/>
        </w:rPr>
        <w:tab/>
        <w:t xml:space="preserve">Kiekviena valstybė narė paskiria vyriausybės pareigūną nacionaliniu ryšių palaikymo pareigūnu. </w:t>
      </w:r>
    </w:p>
    <w:p>
      <w:pPr>
        <w:pStyle w:val="Text1"/>
        <w:rPr>
          <w:noProof/>
        </w:rPr>
      </w:pPr>
      <w:r>
        <w:rPr>
          <w:noProof/>
        </w:rPr>
        <w:t xml:space="preserve">Nacionalinis ryšių palaikymo pareigūnas yra pagrindinis Agentūros kontaktinis asmuo valstybėje narėje. </w:t>
      </w:r>
    </w:p>
    <w:p>
      <w:pPr>
        <w:pStyle w:val="Text1"/>
        <w:rPr>
          <w:noProof/>
        </w:rPr>
      </w:pPr>
      <w:r>
        <w:rPr>
          <w:noProof/>
        </w:rPr>
        <w:t>Nacionaliniai ryšių palaikymo pareigūnai gali, be kita ko, teikti direktoriui savo valstybių narių nuomones dėl daugiametės programos projekto prieš jį pateikiant Valdančiajai tarybai. Agentūra nacionaliniams ryšių palaikymo pareigūnams praneša apie visus dokumentus, parengtus pagal 4 straipsnio 1 dalį.““;</w:t>
      </w:r>
    </w:p>
    <w:p>
      <w:pPr>
        <w:rPr>
          <w:noProof/>
        </w:rPr>
      </w:pPr>
    </w:p>
    <w:p>
      <w:pPr>
        <w:pStyle w:val="Point0"/>
        <w:rPr>
          <w:noProof/>
        </w:rPr>
      </w:pPr>
      <w:r>
        <w:t>(6)</w:t>
      </w:r>
      <w:r>
        <w:tab/>
      </w:r>
      <w:r>
        <w:rPr>
          <w:noProof/>
        </w:rPr>
        <w:t>9 straipsnis pakeičiamas taip:</w:t>
      </w:r>
    </w:p>
    <w:p>
      <w:pPr>
        <w:rPr>
          <w:noProof/>
        </w:rPr>
      </w:pPr>
    </w:p>
    <w:p>
      <w:pPr>
        <w:pStyle w:val="Titrearticle"/>
        <w:rPr>
          <w:noProof/>
        </w:rPr>
      </w:pPr>
      <w:r>
        <w:rPr>
          <w:noProof/>
        </w:rPr>
        <w:t>„9 straipsnis</w:t>
      </w:r>
    </w:p>
    <w:p>
      <w:pPr>
        <w:pStyle w:val="Titrearticle"/>
        <w:rPr>
          <w:noProof/>
        </w:rPr>
      </w:pPr>
      <w:r>
        <w:rPr>
          <w:noProof/>
        </w:rPr>
        <w:t>Bendradarbiavimas su Europos Taryba</w:t>
      </w:r>
    </w:p>
    <w:p>
      <w:pPr>
        <w:rPr>
          <w:noProof/>
        </w:rPr>
      </w:pPr>
    </w:p>
    <w:p>
      <w:pPr>
        <w:pStyle w:val="Text1"/>
        <w:rPr>
          <w:noProof/>
        </w:rPr>
      </w:pPr>
      <w:r>
        <w:rPr>
          <w:noProof/>
        </w:rPr>
        <w:t xml:space="preserve">Kad išvengtų veiklos dubliavimosi ir užtikrintų papildomumą bei pridėtinę vertę, Agentūra derina savo veiklą su Europos Tarybos veikla, visų pirma dėl savo daugiametės darbo programos ir dėl bendradarbiavimo su pilietine visuomene pagal 10 straipsnį. </w:t>
      </w:r>
    </w:p>
    <w:p>
      <w:pPr>
        <w:pStyle w:val="Text1"/>
        <w:rPr>
          <w:noProof/>
        </w:rPr>
      </w:pPr>
      <w:r>
        <w:rPr>
          <w:noProof/>
        </w:rPr>
        <w:t>Todėl, laikydamasi Sutarties 218 straipsnyje numatytos tvarkos, Sąjunga sudaro susitarimą su Europos Taryba, kad būtų užmegztas glaudus Europos Tarybos ir Agentūros bendradarbiavimas. Tame susitarime numatoma, kad Europos Taryba paskirs nepriklausomą asmenį Agentūros valdančiosios tarybos nariu ir Vykdomosios valdybos nariu pagal 12 ir 13 straipsnius.“;</w:t>
      </w:r>
    </w:p>
    <w:p>
      <w:pPr>
        <w:rPr>
          <w:noProof/>
        </w:rPr>
      </w:pPr>
    </w:p>
    <w:p>
      <w:pPr>
        <w:pStyle w:val="Point0"/>
        <w:rPr>
          <w:noProof/>
        </w:rPr>
      </w:pPr>
      <w:r>
        <w:t>(7)</w:t>
      </w:r>
      <w:r>
        <w:tab/>
      </w:r>
      <w:r>
        <w:rPr>
          <w:noProof/>
        </w:rPr>
        <w:t>10 straipsnio 4 dalies a punktas pakeičiamas taip:</w:t>
      </w:r>
    </w:p>
    <w:p>
      <w:pPr>
        <w:rPr>
          <w:noProof/>
        </w:rPr>
      </w:pPr>
    </w:p>
    <w:p>
      <w:pPr>
        <w:pStyle w:val="Text1"/>
        <w:rPr>
          <w:noProof/>
        </w:rPr>
      </w:pPr>
      <w:r>
        <w:rPr>
          <w:noProof/>
        </w:rPr>
        <w:t>„a)</w:t>
      </w:r>
      <w:r>
        <w:rPr>
          <w:noProof/>
        </w:rPr>
        <w:tab/>
        <w:t>pateiktų pasiūlymus Valdančiajai tarybai dėl daugiametės darbo programos, kuri turi būti patvirtinta pagal 5a straipsnį;“;</w:t>
      </w:r>
    </w:p>
    <w:p>
      <w:pPr>
        <w:rPr>
          <w:noProof/>
        </w:rPr>
      </w:pPr>
    </w:p>
    <w:p>
      <w:pPr>
        <w:pStyle w:val="Point0"/>
        <w:rPr>
          <w:noProof/>
        </w:rPr>
      </w:pPr>
      <w:r>
        <w:t>(8)</w:t>
      </w:r>
      <w:r>
        <w:tab/>
      </w:r>
      <w:r>
        <w:rPr>
          <w:noProof/>
        </w:rPr>
        <w:t>12 straipsnis iš dalies keičiamas taip:</w:t>
      </w:r>
    </w:p>
    <w:p>
      <w:pPr>
        <w:rPr>
          <w:noProof/>
        </w:rPr>
      </w:pPr>
    </w:p>
    <w:p>
      <w:pPr>
        <w:pStyle w:val="Point1"/>
        <w:rPr>
          <w:noProof/>
        </w:rPr>
      </w:pPr>
      <w:r>
        <w:t>(a)</w:t>
      </w:r>
      <w:r>
        <w:tab/>
      </w:r>
      <w:r>
        <w:rPr>
          <w:noProof/>
        </w:rPr>
        <w:t>1 dalies įžanginė frazė pakeičiama taip:</w:t>
      </w:r>
    </w:p>
    <w:p>
      <w:pPr>
        <w:rPr>
          <w:noProof/>
        </w:rPr>
      </w:pPr>
      <w:r>
        <w:rPr>
          <w:noProof/>
        </w:rPr>
        <w:lastRenderedPageBreak/>
        <w:t xml:space="preserve"> </w:t>
      </w:r>
    </w:p>
    <w:p>
      <w:pPr>
        <w:pStyle w:val="Text2"/>
        <w:rPr>
          <w:noProof/>
        </w:rPr>
      </w:pPr>
      <w:r>
        <w:rPr>
          <w:noProof/>
        </w:rPr>
        <w:t>„1.</w:t>
      </w:r>
      <w:r>
        <w:rPr>
          <w:noProof/>
        </w:rPr>
        <w:tab/>
        <w:t>Valdančiąją tarybą sudaro atitinkamą patirtį viešojo ar privačiojo sektoriaus organizacijų valdymo srityje, tinkamų administracinių ir biudžeto valdymo įgūdžių bei žinių pagrindinių teisių srityje turintys asmenys:“;</w:t>
      </w:r>
    </w:p>
    <w:p>
      <w:pPr>
        <w:rPr>
          <w:noProof/>
        </w:rPr>
      </w:pPr>
    </w:p>
    <w:p>
      <w:pPr>
        <w:pStyle w:val="Point1"/>
        <w:rPr>
          <w:noProof/>
        </w:rPr>
      </w:pPr>
      <w:r>
        <w:t>(b)</w:t>
      </w:r>
      <w:r>
        <w:tab/>
      </w:r>
      <w:r>
        <w:rPr>
          <w:noProof/>
        </w:rPr>
        <w:t>3, 4 ir 5 dalys pakeičiamos taip:</w:t>
      </w:r>
    </w:p>
    <w:p>
      <w:pPr>
        <w:rPr>
          <w:noProof/>
        </w:rPr>
      </w:pPr>
    </w:p>
    <w:p>
      <w:pPr>
        <w:pStyle w:val="Text2"/>
        <w:rPr>
          <w:noProof/>
        </w:rPr>
      </w:pPr>
      <w:r>
        <w:rPr>
          <w:noProof/>
        </w:rPr>
        <w:t>„3.</w:t>
      </w:r>
      <w:r>
        <w:rPr>
          <w:noProof/>
        </w:rPr>
        <w:tab/>
        <w:t>Valdančiosios tarybos narių ir pakaitinių narių kadencija yra penkeri metai. Buvęs narys arba pakaitinis narys gali būti paskirtas dar vienai arba kelioms ne iš eilės einančioms kadencijoms.</w:t>
      </w:r>
    </w:p>
    <w:p>
      <w:pPr>
        <w:rPr>
          <w:noProof/>
        </w:rPr>
      </w:pPr>
    </w:p>
    <w:p>
      <w:pPr>
        <w:pStyle w:val="Text2"/>
        <w:rPr>
          <w:noProof/>
        </w:rPr>
      </w:pPr>
      <w:r>
        <w:rPr>
          <w:noProof/>
        </w:rPr>
        <w:t>4.</w:t>
      </w:r>
      <w:r>
        <w:rPr>
          <w:noProof/>
        </w:rPr>
        <w:tab/>
        <w:t xml:space="preserve">Išskyrus įprasto pakeitimo ar mirties atvejus, nario arba pakaitinio nario kadencija baigiasi tik jam atsistatydinus. Tačiau kai narys ar pakaitinis narys nebeatitinka nepriklausomumo kriterijų, jis nedelsdamas atsistatydina ir apie tai informuoja Komisiją ir Agentūros direktorių. Tokiais neįprasto pakeitimo atvejais suinteresuota šalis likusiam kadencijos laikui paskiria naują narį ar pakaitinį narį. Suinteresuota šalis likusiam kadencijos laikui paskiria naują narį ar naują pakaitinį narį ir tuo atveju, jei Valdančioji taryba, remdamasi trečdalio savo narių pasiūlymu arba Komisijos pasiūlymu, nustato, kad atitinkamas narys ar pakaitinis narys nebeatitinka nepriklausomumo kriterijų. Jei likęs kadencijos laikas yra trumpesnis nei dveji metai, naujojo nario ar pakaitinio nario įgaliojimai gali būti pratęsti iki viso penkerių metų trukmės kadencijos laiko. </w:t>
      </w:r>
    </w:p>
    <w:p>
      <w:pPr>
        <w:rPr>
          <w:noProof/>
        </w:rPr>
      </w:pPr>
    </w:p>
    <w:p>
      <w:pPr>
        <w:pStyle w:val="Text2"/>
        <w:rPr>
          <w:noProof/>
        </w:rPr>
      </w:pPr>
      <w:r>
        <w:rPr>
          <w:noProof/>
        </w:rPr>
        <w:t>5.</w:t>
      </w:r>
      <w:r>
        <w:rPr>
          <w:noProof/>
        </w:rPr>
        <w:tab/>
        <w:t>Valdančioji taryba savo pirmininką, pirmininko pavaduotoją ir kitus du 13 straipsnio 1 dalyje nurodytus Vykdomosios valdybos narius renka iš pagal 1 dalies a punktą paskirtų savo narių dviejų su puse metų kadencijai, kuri gali būti pratęsta vieną kartą.</w:t>
      </w:r>
    </w:p>
    <w:p>
      <w:pPr>
        <w:pStyle w:val="Text2"/>
        <w:rPr>
          <w:noProof/>
        </w:rPr>
      </w:pPr>
      <w:r>
        <w:rPr>
          <w:noProof/>
        </w:rPr>
        <w:t>Valdančiosios tarybos pirmininkas ir pirmininko pavaduotojas renkami dviejų trečdalių Valdančiosios tarybos narių, nurodytų 1 dalies a ir c punktuose, balsų dauguma. Kiti du 13 straipsnio 1 dalyje nurodyti Vykdomosios valdybos nariai renkami 1 dalies a ir c punktuose nurodytų Valdančiosios tarybos narių balsų dauguma.“;</w:t>
      </w:r>
      <w:r>
        <w:rPr>
          <w:noProof/>
          <w:highlight w:val="yellow"/>
        </w:rPr>
        <w:t xml:space="preserve"> </w:t>
      </w:r>
    </w:p>
    <w:p>
      <w:pPr>
        <w:rPr>
          <w:noProof/>
        </w:rPr>
      </w:pPr>
    </w:p>
    <w:p>
      <w:pPr>
        <w:pStyle w:val="Point1"/>
        <w:rPr>
          <w:noProof/>
        </w:rPr>
      </w:pPr>
      <w:r>
        <w:t>(c)</w:t>
      </w:r>
      <w:r>
        <w:tab/>
      </w:r>
      <w:r>
        <w:rPr>
          <w:noProof/>
        </w:rPr>
        <w:t>6 dalis iš dalies pakeičiama taip:</w:t>
      </w:r>
    </w:p>
    <w:p>
      <w:pPr>
        <w:pStyle w:val="Point3"/>
        <w:rPr>
          <w:noProof/>
        </w:rPr>
      </w:pPr>
      <w:r>
        <w:t>(a)</w:t>
      </w:r>
      <w:r>
        <w:tab/>
      </w:r>
      <w:r>
        <w:rPr>
          <w:noProof/>
        </w:rPr>
        <w:t>a ir b punktai pakeičiami taip:</w:t>
      </w:r>
    </w:p>
    <w:p>
      <w:pPr>
        <w:rPr>
          <w:noProof/>
        </w:rPr>
      </w:pPr>
    </w:p>
    <w:p>
      <w:pPr>
        <w:pStyle w:val="ListParagraph"/>
        <w:tabs>
          <w:tab w:val="left" w:pos="1701"/>
        </w:tabs>
        <w:ind w:left="1701" w:hanging="567"/>
        <w:rPr>
          <w:noProof/>
        </w:rPr>
      </w:pPr>
      <w:r>
        <w:rPr>
          <w:noProof/>
        </w:rPr>
        <w:t>„a)</w:t>
      </w:r>
      <w:r>
        <w:rPr>
          <w:noProof/>
        </w:rPr>
        <w:tab/>
        <w:t xml:space="preserve">patvirtina Agentūros daugiametę darbo programą; </w:t>
      </w:r>
    </w:p>
    <w:p>
      <w:pPr>
        <w:rPr>
          <w:noProof/>
        </w:rPr>
      </w:pPr>
    </w:p>
    <w:p>
      <w:pPr>
        <w:pStyle w:val="ListParagraph"/>
        <w:tabs>
          <w:tab w:val="left" w:pos="1701"/>
        </w:tabs>
        <w:ind w:left="1701" w:hanging="567"/>
        <w:rPr>
          <w:noProof/>
        </w:rPr>
      </w:pPr>
      <w:r>
        <w:rPr>
          <w:noProof/>
        </w:rPr>
        <w:t>b)</w:t>
      </w:r>
      <w:r>
        <w:rPr>
          <w:noProof/>
        </w:rPr>
        <w:tab/>
        <w:t>patvirtina 4 straipsnio 1 dalies e ir g punktuose nurodytas metines ataskaitas, pastarojoje visų pirma palygindama rezultatus su daugiametės darbo programos tikslais; „;</w:t>
      </w:r>
    </w:p>
    <w:p>
      <w:pPr>
        <w:pStyle w:val="ListParagraph"/>
        <w:tabs>
          <w:tab w:val="left" w:pos="1701"/>
        </w:tabs>
        <w:ind w:left="1701" w:hanging="567"/>
        <w:rPr>
          <w:noProof/>
        </w:rPr>
      </w:pPr>
    </w:p>
    <w:p>
      <w:pPr>
        <w:pStyle w:val="Point3"/>
        <w:rPr>
          <w:noProof/>
        </w:rPr>
      </w:pPr>
      <w:r>
        <w:lastRenderedPageBreak/>
        <w:t>(b)</w:t>
      </w:r>
      <w:r>
        <w:tab/>
      </w:r>
      <w:r>
        <w:rPr>
          <w:noProof/>
        </w:rPr>
        <w:t>e punktas pakeičiamas taip:</w:t>
      </w:r>
    </w:p>
    <w:p>
      <w:pPr>
        <w:pStyle w:val="ListParagraph"/>
        <w:tabs>
          <w:tab w:val="left" w:pos="1701"/>
        </w:tabs>
        <w:ind w:left="1701" w:hanging="567"/>
        <w:rPr>
          <w:noProof/>
        </w:rPr>
      </w:pPr>
      <w:r>
        <w:rPr>
          <w:noProof/>
        </w:rPr>
        <w:t xml:space="preserve"> „e)</w:t>
      </w:r>
      <w:r>
        <w:rPr>
          <w:noProof/>
        </w:rPr>
        <w:tab/>
        <w:t>pagal šio straipsnio 7a ir 7b dalis Agentūros darbuotojų atžvilgiu naudojasi įgaliojimais, kurie paskyrimų tarnybai suteikti Tarybos reglamentu (EEB, Euratomas, EAPB) Nr. 259/68 (toliau – Tarnybos nuostatai)</w:t>
      </w:r>
      <w:r>
        <w:rPr>
          <w:rStyle w:val="FootnoteReference"/>
          <w:noProof/>
        </w:rPr>
        <w:footnoteReference w:id="11"/>
      </w:r>
      <w:r>
        <w:rPr>
          <w:noProof/>
        </w:rPr>
        <w:t>, o tarnybai, įgaliotai sudaryti darbo sutartis, – Kitų tarnautojų įdarbinimo sąlygomis (toliau – paskyrimų tarnybos įgaliojimai);“;</w:t>
      </w:r>
    </w:p>
    <w:p>
      <w:pPr>
        <w:pStyle w:val="ListParagraph"/>
        <w:tabs>
          <w:tab w:val="left" w:pos="1701"/>
        </w:tabs>
        <w:ind w:left="1701" w:hanging="567"/>
        <w:rPr>
          <w:noProof/>
        </w:rPr>
      </w:pPr>
    </w:p>
    <w:p>
      <w:pPr>
        <w:pStyle w:val="Point3"/>
        <w:rPr>
          <w:noProof/>
        </w:rPr>
      </w:pPr>
      <w:r>
        <w:t>(c)</w:t>
      </w:r>
      <w:r>
        <w:tab/>
      </w:r>
      <w:r>
        <w:rPr>
          <w:noProof/>
        </w:rPr>
        <w:t>įterpiami šie m–o punktai:</w:t>
      </w:r>
    </w:p>
    <w:p>
      <w:pPr>
        <w:rPr>
          <w:noProof/>
        </w:rPr>
      </w:pPr>
    </w:p>
    <w:p>
      <w:pPr>
        <w:pStyle w:val="ListParagraph"/>
        <w:tabs>
          <w:tab w:val="left" w:pos="1701"/>
        </w:tabs>
        <w:ind w:left="1701" w:hanging="567"/>
        <w:rPr>
          <w:noProof/>
        </w:rPr>
      </w:pPr>
      <w:r>
        <w:rPr>
          <w:noProof/>
        </w:rPr>
        <w:t>„m)</w:t>
      </w:r>
      <w:r>
        <w:rPr>
          <w:noProof/>
        </w:rPr>
        <w:tab/>
        <w:t>patvirtina saugumo strategiją (įskaitant ES įslaptintos informacijos tvarkymo taisykles);</w:t>
      </w:r>
    </w:p>
    <w:p>
      <w:pPr>
        <w:rPr>
          <w:noProof/>
        </w:rPr>
      </w:pPr>
    </w:p>
    <w:p>
      <w:pPr>
        <w:pStyle w:val="ListParagraph"/>
        <w:tabs>
          <w:tab w:val="left" w:pos="1701"/>
        </w:tabs>
        <w:ind w:left="1701" w:hanging="567"/>
        <w:rPr>
          <w:noProof/>
        </w:rPr>
      </w:pPr>
      <w:r>
        <w:rPr>
          <w:noProof/>
        </w:rPr>
        <w:t xml:space="preserve">n) </w:t>
      </w:r>
      <w:r>
        <w:rPr>
          <w:noProof/>
        </w:rPr>
        <w:tab/>
        <w:t xml:space="preserve">savo narių ir Mokslinio komiteto narių interesų konfliktų prevencijos ir valdymo taisykles; </w:t>
      </w:r>
    </w:p>
    <w:p>
      <w:pPr>
        <w:rPr>
          <w:noProof/>
        </w:rPr>
      </w:pPr>
    </w:p>
    <w:p>
      <w:pPr>
        <w:pStyle w:val="ListParagraph"/>
        <w:tabs>
          <w:tab w:val="left" w:pos="1701"/>
        </w:tabs>
        <w:ind w:left="1701" w:hanging="567"/>
        <w:rPr>
          <w:noProof/>
        </w:rPr>
      </w:pPr>
      <w:r>
        <w:rPr>
          <w:noProof/>
        </w:rPr>
        <w:t xml:space="preserve"> o)</w:t>
      </w:r>
      <w:r>
        <w:rPr>
          <w:noProof/>
        </w:rPr>
        <w:tab/>
        <w:t>patvirtina ir reguliariai atnaujina 4 straipsnio 1 dalies h punkte nurodytą komunikacijos strategiją.“;</w:t>
      </w:r>
    </w:p>
    <w:p>
      <w:pPr>
        <w:rPr>
          <w:noProof/>
        </w:rPr>
      </w:pPr>
    </w:p>
    <w:p>
      <w:pPr>
        <w:pStyle w:val="Point1"/>
        <w:rPr>
          <w:noProof/>
        </w:rPr>
      </w:pPr>
      <w:r>
        <w:t>(d)</w:t>
      </w:r>
      <w:r>
        <w:tab/>
      </w:r>
      <w:r>
        <w:rPr>
          <w:noProof/>
        </w:rPr>
        <w:t>įterpiamos šios 7a ir 7b dalys:</w:t>
      </w:r>
    </w:p>
    <w:p>
      <w:pPr>
        <w:pStyle w:val="Text2"/>
        <w:rPr>
          <w:noProof/>
        </w:rPr>
      </w:pPr>
      <w:r>
        <w:rPr>
          <w:noProof/>
        </w:rPr>
        <w:t xml:space="preserve">„7a. </w:t>
      </w:r>
      <w:r>
        <w:rPr>
          <w:noProof/>
        </w:rPr>
        <w:tab/>
        <w:t>Vadovaudamasi Tarnybos nuostatų 110 straipsnio 2 dalimi, Valdančioji taryba priima Tarnybos nuostatų 2 straipsnio 1 dalimi ir kitų tarnautojų įdarbinimo sąlygų 6 straipsniu grindžiamą sprendimą, kuriuo atitinkami paskyrimų tarnybos įgaliojimai perduodami direktoriui ir nustatomos tų įgaliojimų perdavimo sustabdymo sąlygos. Direktoriui leidžiama tuos įgaliojimus perdeleguoti.</w:t>
      </w:r>
    </w:p>
    <w:p>
      <w:pPr>
        <w:pStyle w:val="Text2"/>
        <w:rPr>
          <w:noProof/>
        </w:rPr>
      </w:pPr>
      <w:r>
        <w:rPr>
          <w:noProof/>
        </w:rPr>
        <w:t>7b.</w:t>
      </w:r>
      <w:r>
        <w:rPr>
          <w:noProof/>
        </w:rPr>
        <w:tab/>
        <w:t xml:space="preserve">Jei reikia dėl išskirtinių aplinkybių, Valdančioji taryba gali priimti sprendimą laikinai sustabdyti paskyrimų tarnybos įgaliojimų perdavimą direktoriui ir asmenims, kuriems jis šiuos įgaliojimus perdavė, ir jais naudotis pati arba juos perduoti vienam iš savo narių arba kitam darbuotojui nei direktorius.“; </w:t>
      </w:r>
    </w:p>
    <w:p>
      <w:pPr>
        <w:pStyle w:val="Point1"/>
        <w:rPr>
          <w:noProof/>
        </w:rPr>
      </w:pPr>
      <w:r>
        <w:t>(e)</w:t>
      </w:r>
      <w:r>
        <w:tab/>
      </w:r>
      <w:r>
        <w:rPr>
          <w:noProof/>
        </w:rPr>
        <w:t>8 ir 9 dalys pakeičiamos taip:</w:t>
      </w:r>
    </w:p>
    <w:p>
      <w:pPr>
        <w:rPr>
          <w:noProof/>
        </w:rPr>
      </w:pPr>
    </w:p>
    <w:p>
      <w:pPr>
        <w:pStyle w:val="Text2"/>
        <w:rPr>
          <w:noProof/>
        </w:rPr>
      </w:pPr>
      <w:r>
        <w:rPr>
          <w:noProof/>
        </w:rPr>
        <w:t xml:space="preserve">„8. </w:t>
      </w:r>
      <w:r>
        <w:rPr>
          <w:noProof/>
        </w:rPr>
        <w:tab/>
        <w:t xml:space="preserve">Valdančioji taryba sprendimus paprastai priima visų narių balsų dauguma, </w:t>
      </w:r>
    </w:p>
    <w:p>
      <w:pPr>
        <w:pStyle w:val="Text2"/>
        <w:rPr>
          <w:noProof/>
        </w:rPr>
      </w:pPr>
      <w:r>
        <w:rPr>
          <w:noProof/>
        </w:rPr>
        <w:t>tačiau 6 dalies a–e, g, k ir l punktuose nurodyti sprendimai priimami dviejų trečdalių visų narių balsų dauguma.</w:t>
      </w:r>
    </w:p>
    <w:p>
      <w:pPr>
        <w:pStyle w:val="Text2"/>
        <w:rPr>
          <w:noProof/>
        </w:rPr>
      </w:pPr>
      <w:r>
        <w:rPr>
          <w:noProof/>
        </w:rPr>
        <w:t xml:space="preserve">25 straipsnio 2 dalyje nurodyti sprendimai priimami vieningai. </w:t>
      </w:r>
    </w:p>
    <w:p>
      <w:pPr>
        <w:pStyle w:val="Text2"/>
        <w:rPr>
          <w:noProof/>
        </w:rPr>
      </w:pPr>
      <w:r>
        <w:rPr>
          <w:noProof/>
        </w:rPr>
        <w:lastRenderedPageBreak/>
        <w:t xml:space="preserve">Kiekvienas Valdančiosios tarybos narys arba, kai jo nėra, jo pakaitinis narys turi vieną balsą. Pirmininko balsas yra lemiamas. </w:t>
      </w:r>
    </w:p>
    <w:p>
      <w:pPr>
        <w:pStyle w:val="Text2"/>
        <w:rPr>
          <w:noProof/>
        </w:rPr>
      </w:pPr>
      <w:r>
        <w:rPr>
          <w:noProof/>
        </w:rPr>
        <w:t>Europos Tarybos paskirtas asmuo gali balsuoti priimant tik 6 dalies a, b ir k punktuose nurodytus sprendimus.</w:t>
      </w:r>
    </w:p>
    <w:p>
      <w:pPr>
        <w:rPr>
          <w:noProof/>
        </w:rPr>
      </w:pPr>
    </w:p>
    <w:p>
      <w:pPr>
        <w:pStyle w:val="Text2"/>
        <w:rPr>
          <w:noProof/>
        </w:rPr>
      </w:pPr>
      <w:r>
        <w:rPr>
          <w:noProof/>
        </w:rPr>
        <w:t>9.</w:t>
      </w:r>
      <w:r>
        <w:rPr>
          <w:noProof/>
        </w:rPr>
        <w:tab/>
        <w:t>Pirmininkas du kartus per metus sušaukia Valdančiosios tarybos posėdį, neapribodamas galimybės sušaukti neeilinius posėdžius. Neeilinius posėdžius pirmininkas sušaukia savo iniciatyva, Komisijos prašymu arba ne mažiau kaip trečdalio Valdančiosios tarybos narių prašymu.“;</w:t>
      </w:r>
    </w:p>
    <w:p>
      <w:pPr>
        <w:rPr>
          <w:noProof/>
        </w:rPr>
      </w:pPr>
    </w:p>
    <w:p>
      <w:pPr>
        <w:pStyle w:val="Point0"/>
        <w:rPr>
          <w:noProof/>
        </w:rPr>
      </w:pPr>
      <w:r>
        <w:t>(9)</w:t>
      </w:r>
      <w:r>
        <w:tab/>
      </w:r>
      <w:r>
        <w:rPr>
          <w:noProof/>
        </w:rPr>
        <w:t xml:space="preserve">13 straipsnis pakeičiamas taip: </w:t>
      </w:r>
    </w:p>
    <w:p>
      <w:pPr>
        <w:pStyle w:val="Titrearticle"/>
        <w:rPr>
          <w:noProof/>
        </w:rPr>
      </w:pPr>
      <w:r>
        <w:rPr>
          <w:noProof/>
        </w:rPr>
        <w:t>„13 straipsnis</w:t>
      </w:r>
    </w:p>
    <w:p>
      <w:pPr>
        <w:pStyle w:val="Titrearticle"/>
        <w:rPr>
          <w:b/>
          <w:bCs/>
          <w:noProof/>
        </w:rPr>
      </w:pPr>
      <w:r>
        <w:rPr>
          <w:b/>
          <w:bCs/>
          <w:noProof/>
        </w:rPr>
        <w:t>Vykdomoji valdyba</w:t>
      </w:r>
    </w:p>
    <w:p>
      <w:pPr>
        <w:rPr>
          <w:noProof/>
        </w:rPr>
      </w:pPr>
    </w:p>
    <w:p>
      <w:pPr>
        <w:pStyle w:val="Text1"/>
        <w:rPr>
          <w:noProof/>
        </w:rPr>
      </w:pPr>
      <w:r>
        <w:rPr>
          <w:noProof/>
        </w:rPr>
        <w:t>1.</w:t>
      </w:r>
      <w:r>
        <w:rPr>
          <w:noProof/>
        </w:rPr>
        <w:tab/>
        <w:t>Valdančiajai tarybai padeda Vykdomoji valdyba. Vykdomoji valdyba prižiūri būtiną parengiamąjį darbą, susijusį su sprendimais, kuriuos turi priimti Valdančioji taryba. Visų pirma ji prižiūri darbą biudžeto ir žmogiškųjų išteklių srityse.</w:t>
      </w:r>
    </w:p>
    <w:p>
      <w:pPr>
        <w:rPr>
          <w:noProof/>
        </w:rPr>
      </w:pPr>
    </w:p>
    <w:p>
      <w:pPr>
        <w:pStyle w:val="Text1"/>
        <w:rPr>
          <w:noProof/>
        </w:rPr>
      </w:pPr>
      <w:r>
        <w:rPr>
          <w:noProof/>
        </w:rPr>
        <w:t>2.</w:t>
      </w:r>
      <w:r>
        <w:rPr>
          <w:noProof/>
        </w:rPr>
        <w:tab/>
        <w:t xml:space="preserve">Vykdomoji valdyba taip pat: </w:t>
      </w:r>
    </w:p>
    <w:p>
      <w:pPr>
        <w:pStyle w:val="Point1"/>
        <w:rPr>
          <w:noProof/>
        </w:rPr>
      </w:pPr>
      <w:r>
        <w:t>(a)</w:t>
      </w:r>
      <w:r>
        <w:tab/>
      </w:r>
      <w:r>
        <w:rPr>
          <w:noProof/>
        </w:rPr>
        <w:t xml:space="preserve">remdamasi direktoriaus parengtu projektu, peržiūri 5a straipsnyje nurodytą Agentūros daugiametę darbo programą ir perduoda ją Valdančiajai tarybai patvirtinti; </w:t>
      </w:r>
    </w:p>
    <w:p>
      <w:pPr>
        <w:pStyle w:val="Point1"/>
        <w:rPr>
          <w:noProof/>
        </w:rPr>
      </w:pPr>
      <w:r>
        <w:t>(b)</w:t>
      </w:r>
      <w:r>
        <w:tab/>
      </w:r>
      <w:r>
        <w:rPr>
          <w:noProof/>
        </w:rPr>
        <w:t>peržiūri Agentūros metinio biudžeto projektą ir perduoda jį Valdančiajai tarybai patvirtinti;</w:t>
      </w:r>
    </w:p>
    <w:p>
      <w:pPr>
        <w:pStyle w:val="Point1"/>
        <w:rPr>
          <w:noProof/>
        </w:rPr>
      </w:pPr>
      <w:r>
        <w:t>(c)</w:t>
      </w:r>
      <w:r>
        <w:tab/>
      </w:r>
      <w:r>
        <w:rPr>
          <w:noProof/>
        </w:rPr>
        <w:t>peržiūri Agentūros veiklos metinės ataskaitos projektą ir pateikia jį Valdančiajai tarybai patvirtinti;</w:t>
      </w:r>
    </w:p>
    <w:p>
      <w:pPr>
        <w:pStyle w:val="Point1"/>
        <w:rPr>
          <w:noProof/>
        </w:rPr>
      </w:pPr>
      <w:r>
        <w:t>(d)</w:t>
      </w:r>
      <w:r>
        <w:tab/>
      </w:r>
      <w:r>
        <w:rPr>
          <w:noProof/>
        </w:rPr>
        <w:t>atsižvelgdama į įgyvendintinų priemonių sąnaudų ir naudos santykį ir remdamasi direktoriaus parengtu projektu, patvirtina Agentūrai skirtą sukčiavimo rizikai proporcingą kovos su sukčiavimu strategiją;</w:t>
      </w:r>
    </w:p>
    <w:p>
      <w:pPr>
        <w:pStyle w:val="Point1"/>
        <w:rPr>
          <w:noProof/>
        </w:rPr>
      </w:pPr>
      <w:r>
        <w:t>(e)</w:t>
      </w:r>
      <w:r>
        <w:tab/>
      </w:r>
      <w:r>
        <w:rPr>
          <w:noProof/>
        </w:rPr>
        <w:t>gavusi vidaus ar išorės audito ataskaitų ir įvertinimų, taip pat Europos kovos su sukčiavimu tarnybos (OLAF) ir Europos prokuratūros tyrimų išvadas ir rekomendacijas, užtikrina, kad būtų imamasi tinkamų tolesnių veiksmų;</w:t>
      </w:r>
    </w:p>
    <w:p>
      <w:pPr>
        <w:pStyle w:val="Point1"/>
        <w:rPr>
          <w:noProof/>
        </w:rPr>
      </w:pPr>
      <w:r>
        <w:t>(f)</w:t>
      </w:r>
      <w:r>
        <w:tab/>
      </w:r>
      <w:r>
        <w:rPr>
          <w:noProof/>
        </w:rPr>
        <w:t>siekdama sustiprinti administracinio ir biudžeto valdymo priežiūrą ir nepažeisdama direktoriaus atsakomybės, kaip nustatyta 15 straipsnio 4 dalyje, padeda jam įgyvendinti valdybos sprendimus ir tuo tikslu jį konsultuoja.</w:t>
      </w:r>
    </w:p>
    <w:p>
      <w:pPr>
        <w:rPr>
          <w:noProof/>
        </w:rPr>
      </w:pPr>
    </w:p>
    <w:p>
      <w:pPr>
        <w:pStyle w:val="Text1"/>
        <w:rPr>
          <w:noProof/>
        </w:rPr>
      </w:pPr>
      <w:r>
        <w:rPr>
          <w:noProof/>
        </w:rPr>
        <w:t>3.</w:t>
      </w:r>
      <w:r>
        <w:rPr>
          <w:noProof/>
        </w:rPr>
        <w:tab/>
        <w:t xml:space="preserve">Jei būtina dėl skubos priežasčių, Vykdomoji valdyba, laikydamasi 12 straipsnio 7a ir 7b dalyse nurodytų sąlygų, gali Valdančiosios tarybos vardu priimti laikinus sprendimus, įskaitant sprendimą sustabdyti deleguotus paskyrimų tarnybos įgaliojimus ir sprendimus dėl biudžeto klausimų.  </w:t>
      </w:r>
    </w:p>
    <w:p>
      <w:pPr>
        <w:rPr>
          <w:noProof/>
        </w:rPr>
      </w:pPr>
    </w:p>
    <w:p>
      <w:pPr>
        <w:pStyle w:val="Text1"/>
        <w:rPr>
          <w:noProof/>
        </w:rPr>
      </w:pPr>
      <w:r>
        <w:rPr>
          <w:noProof/>
        </w:rPr>
        <w:t>4.</w:t>
      </w:r>
      <w:r>
        <w:rPr>
          <w:noProof/>
        </w:rPr>
        <w:tab/>
        <w:t xml:space="preserve">Vykdomąją valdybą sudaro Valdančiosios tarybos pirmininkas ir pirmininko pavaduotojas, du kiti Valdančiosios tarybos nariai, išrinkti Valdančiosios tarybos pagal 12 straipsnio 5 dalį, ir vienas iš Komisijos atstovų Valdančiojoje taryboje. </w:t>
      </w:r>
    </w:p>
    <w:p>
      <w:pPr>
        <w:pStyle w:val="Text1"/>
        <w:rPr>
          <w:noProof/>
        </w:rPr>
      </w:pPr>
      <w:r>
        <w:rPr>
          <w:noProof/>
        </w:rPr>
        <w:t>Europos Tarybos į Valdančiąją tarybą paskirtas asmuo gali dalyvauti Vykdomosios valdybos posėdžiuose.</w:t>
      </w:r>
    </w:p>
    <w:p>
      <w:pPr>
        <w:rPr>
          <w:noProof/>
        </w:rPr>
      </w:pPr>
    </w:p>
    <w:p>
      <w:pPr>
        <w:pStyle w:val="Text1"/>
        <w:rPr>
          <w:noProof/>
        </w:rPr>
      </w:pPr>
      <w:r>
        <w:rPr>
          <w:noProof/>
        </w:rPr>
        <w:t>5.</w:t>
      </w:r>
      <w:r>
        <w:rPr>
          <w:noProof/>
        </w:rPr>
        <w:tab/>
        <w:t>Vykdomąją valdybą sušaukia pirmininkas. Ji gali būti sušaukta vieno iš jos narių prašymu. Sprendimai priimami dalyvaujančių narių balsų dauguma. Europos Tarybos paskirtas asmuo turi teisę balsuoti dėl klausimų, susijusių su sprendimais, dėl kurių jis turi teisę balsuoti Valdančiojoje taryboje pagal 12 straipsnio 8 dalį.</w:t>
      </w:r>
    </w:p>
    <w:p>
      <w:pPr>
        <w:rPr>
          <w:noProof/>
        </w:rPr>
      </w:pPr>
    </w:p>
    <w:p>
      <w:pPr>
        <w:pStyle w:val="Text1"/>
        <w:rPr>
          <w:noProof/>
        </w:rPr>
      </w:pPr>
      <w:r>
        <w:rPr>
          <w:noProof/>
        </w:rPr>
        <w:t>6. Direktorius dalyvauja Vykdomosios valdybos posėdžiuose be teisės balsuoti.“;</w:t>
      </w:r>
    </w:p>
    <w:p>
      <w:pPr>
        <w:rPr>
          <w:noProof/>
        </w:rPr>
      </w:pPr>
    </w:p>
    <w:p>
      <w:pPr>
        <w:pStyle w:val="Point0"/>
        <w:rPr>
          <w:noProof/>
        </w:rPr>
      </w:pPr>
      <w:r>
        <w:t>(10)</w:t>
      </w:r>
      <w:r>
        <w:tab/>
      </w:r>
      <w:r>
        <w:rPr>
          <w:noProof/>
        </w:rPr>
        <w:t>14 straipsnis iš dalies keičiamas taip:</w:t>
      </w:r>
    </w:p>
    <w:p>
      <w:pPr>
        <w:rPr>
          <w:noProof/>
        </w:rPr>
      </w:pPr>
    </w:p>
    <w:p>
      <w:pPr>
        <w:pStyle w:val="Point1"/>
        <w:rPr>
          <w:noProof/>
        </w:rPr>
      </w:pPr>
      <w:r>
        <w:t>(a)</w:t>
      </w:r>
      <w:r>
        <w:tab/>
      </w:r>
      <w:r>
        <w:rPr>
          <w:noProof/>
        </w:rPr>
        <w:t>1 dalis pakeičiama taip:</w:t>
      </w:r>
    </w:p>
    <w:p>
      <w:pPr>
        <w:rPr>
          <w:noProof/>
        </w:rPr>
      </w:pPr>
      <w:r>
        <w:rPr>
          <w:noProof/>
        </w:rPr>
        <w:t xml:space="preserve"> </w:t>
      </w:r>
    </w:p>
    <w:p>
      <w:pPr>
        <w:pStyle w:val="Text2"/>
        <w:rPr>
          <w:noProof/>
        </w:rPr>
      </w:pPr>
      <w:r>
        <w:rPr>
          <w:noProof/>
        </w:rPr>
        <w:t>„1.</w:t>
      </w:r>
      <w:r>
        <w:rPr>
          <w:noProof/>
        </w:rPr>
        <w:tab/>
        <w:t>Mokslinį komitetą sudaro vienuolika nepriklausomų asmenų, turinčių aukštą kvalifikaciją pagrindinių teisių srityje. Valdančioji taryba, taikydama skaidrią konkurso ir kandidatų atrankos tvarką, pasikonsultavusi su Europos Parlamento kompetentingu komitetu, skiria vienuolika narių ir patvirtina eilės tvarka pagal balų skaičių sudarytą rezervo sąrašą. Valdančioji taryba užtikrina tolygų geografinį atstovavimą. Valdančiosios tarybos nariai negali būti Mokslinio komiteto nariais. 12 straipsnio 6 dalies g punkte nurodytose Darbo tvarkos taisyklėse nustatomos išsamios Mokslinio komiteto narių skyrimo sąlygos.“</w:t>
      </w:r>
    </w:p>
    <w:p>
      <w:pPr>
        <w:rPr>
          <w:noProof/>
        </w:rPr>
      </w:pPr>
    </w:p>
    <w:p>
      <w:pPr>
        <w:pStyle w:val="Point1"/>
        <w:rPr>
          <w:noProof/>
        </w:rPr>
      </w:pPr>
      <w:r>
        <w:t>(b)</w:t>
      </w:r>
      <w:r>
        <w:tab/>
      </w:r>
      <w:r>
        <w:rPr>
          <w:noProof/>
        </w:rPr>
        <w:t>3 dalis pakeičiama taip:</w:t>
      </w:r>
    </w:p>
    <w:p>
      <w:pPr>
        <w:rPr>
          <w:noProof/>
        </w:rPr>
      </w:pPr>
    </w:p>
    <w:p>
      <w:pPr>
        <w:pStyle w:val="Text2"/>
        <w:rPr>
          <w:noProof/>
        </w:rPr>
      </w:pPr>
      <w:r>
        <w:rPr>
          <w:noProof/>
        </w:rPr>
        <w:t xml:space="preserve">„3. </w:t>
      </w:r>
      <w:r>
        <w:rPr>
          <w:noProof/>
        </w:rPr>
        <w:tab/>
        <w:t>Mokslinio komiteto nariai yra nepriklausomi. Jie gali būti pakeisti tik jų prašymu arba kai jie ilgą laiką negali atlikti savo pareigų. Tačiau kai narys nebeatitinka nepriklausomumo kriterijų, jis nedelsdamas atsistatydina ir apie tai informuoja Komisiją ir Agentūros direktorių. Kitu atveju Valdančioji taryba trečdalio savo narių arba Komisijos pasiūlymu gali paskelbti nepriklausomumo stoką ir atitinkamą asmenį atšaukti. Valdančioji taryba likusiam kadencijos laikotarpiui paskiria pirmąjį rezervo sąraše esantį asmenį. Jei likęs kadencijos laikas yra trumpesnis nei dveji metai, naujojo nario įgaliojimai gali būti pratęsti iki viso penkerių metų trukmės kadencijos laiko. Mokslinio komiteto narių sąrašą Agentūra skelbia ir atnaujina savo interneto svetainėje.“;</w:t>
      </w:r>
    </w:p>
    <w:p>
      <w:pPr>
        <w:rPr>
          <w:noProof/>
        </w:rPr>
      </w:pPr>
    </w:p>
    <w:p>
      <w:pPr>
        <w:pStyle w:val="Point0"/>
        <w:rPr>
          <w:noProof/>
        </w:rPr>
      </w:pPr>
      <w:r>
        <w:t>(11)</w:t>
      </w:r>
      <w:r>
        <w:tab/>
      </w:r>
      <w:r>
        <w:rPr>
          <w:noProof/>
        </w:rPr>
        <w:t xml:space="preserve">15 straipsnis iš dalies keičiamas taip: </w:t>
      </w:r>
    </w:p>
    <w:p>
      <w:pPr>
        <w:rPr>
          <w:noProof/>
        </w:rPr>
      </w:pPr>
    </w:p>
    <w:p>
      <w:pPr>
        <w:pStyle w:val="Point1"/>
        <w:rPr>
          <w:noProof/>
        </w:rPr>
      </w:pPr>
      <w:r>
        <w:t>(a)</w:t>
      </w:r>
      <w:r>
        <w:tab/>
      </w:r>
      <w:r>
        <w:rPr>
          <w:noProof/>
        </w:rPr>
        <w:t>3 ir 4 dalys pakeičiamos taip:</w:t>
      </w:r>
    </w:p>
    <w:p>
      <w:pPr>
        <w:rPr>
          <w:noProof/>
        </w:rPr>
      </w:pPr>
    </w:p>
    <w:p>
      <w:pPr>
        <w:pStyle w:val="Text2"/>
        <w:rPr>
          <w:noProof/>
        </w:rPr>
      </w:pPr>
      <w:r>
        <w:rPr>
          <w:noProof/>
        </w:rPr>
        <w:t xml:space="preserve">„3. </w:t>
      </w:r>
      <w:r>
        <w:rPr>
          <w:noProof/>
        </w:rPr>
        <w:tab/>
        <w:t xml:space="preserve">Direktoriaus kadencija yra penkeri metai. </w:t>
      </w:r>
    </w:p>
    <w:p>
      <w:pPr>
        <w:pStyle w:val="Text2"/>
        <w:rPr>
          <w:noProof/>
        </w:rPr>
      </w:pPr>
      <w:r>
        <w:rPr>
          <w:noProof/>
        </w:rPr>
        <w:t>Per dvylika mėnesių, likusių iki šio laikotarpio pabaigos, Komisija atlieka įvertinimą. Konkrečiai Komisija įvertina:</w:t>
      </w:r>
    </w:p>
    <w:p>
      <w:pPr>
        <w:pStyle w:val="Text2"/>
        <w:rPr>
          <w:noProof/>
        </w:rPr>
      </w:pPr>
      <w:r>
        <w:rPr>
          <w:noProof/>
        </w:rPr>
        <w:t xml:space="preserve">a) direktoriaus veiklą ir </w:t>
      </w:r>
    </w:p>
    <w:p>
      <w:pPr>
        <w:pStyle w:val="Text2"/>
        <w:rPr>
          <w:noProof/>
        </w:rPr>
      </w:pPr>
      <w:r>
        <w:rPr>
          <w:noProof/>
        </w:rPr>
        <w:t>b) ateinančių metų Agentūros uždavinius ir poreikius.</w:t>
      </w:r>
    </w:p>
    <w:p>
      <w:pPr>
        <w:rPr>
          <w:noProof/>
        </w:rPr>
      </w:pPr>
    </w:p>
    <w:p>
      <w:pPr>
        <w:pStyle w:val="Text2"/>
        <w:rPr>
          <w:noProof/>
        </w:rPr>
      </w:pPr>
      <w:r>
        <w:rPr>
          <w:noProof/>
        </w:rPr>
        <w:t>Valdančioji Taryba, remdamasi Komisijos pasiūlymu ir atsižvelgdama į įvertinimo ataskaitą, gali pratęsti direktoriaus kadenciją vieną kartą, ne ilgiau kaip penkeriems metams.</w:t>
      </w:r>
    </w:p>
    <w:p>
      <w:pPr>
        <w:pStyle w:val="Text2"/>
        <w:rPr>
          <w:noProof/>
        </w:rPr>
      </w:pPr>
      <w:r>
        <w:rPr>
          <w:noProof/>
        </w:rPr>
        <w:t>Valdančioji taryba apie savo ketinimą pratęsti direktoriaus įgaliojimų laikotarpį praneša Europos Parlamentui ir Tarybai. Likus mėnesiui iki to laiko, kai Valdančioji taryba oficialiai priima sprendimą pratęsti šių įgaliojimų laikotarpį, direktoriaus gali būti paprašyta padaryti pareiškimą Europos Parlamento kompetentingame komitete ir atsakyti į jo narių klausimus.</w:t>
      </w:r>
    </w:p>
    <w:p>
      <w:pPr>
        <w:pStyle w:val="Text2"/>
        <w:rPr>
          <w:noProof/>
        </w:rPr>
      </w:pPr>
      <w:r>
        <w:rPr>
          <w:noProof/>
        </w:rPr>
        <w:t>Kadencijos nepratęsus, direktorius toliau eina pareigas iki tol, kol paskiriamas naujas direktorius.</w:t>
      </w:r>
    </w:p>
    <w:p>
      <w:pPr>
        <w:rPr>
          <w:noProof/>
        </w:rPr>
      </w:pPr>
    </w:p>
    <w:p>
      <w:pPr>
        <w:pStyle w:val="Text2"/>
        <w:rPr>
          <w:noProof/>
        </w:rPr>
      </w:pPr>
      <w:r>
        <w:rPr>
          <w:noProof/>
        </w:rPr>
        <w:t xml:space="preserve">4. </w:t>
      </w:r>
      <w:r>
        <w:rPr>
          <w:noProof/>
        </w:rPr>
        <w:tab/>
        <w:t>Direktorius yra atsakingas už:</w:t>
      </w:r>
    </w:p>
    <w:p>
      <w:pPr>
        <w:rPr>
          <w:noProof/>
        </w:rPr>
      </w:pPr>
    </w:p>
    <w:p>
      <w:pPr>
        <w:pStyle w:val="Point2"/>
        <w:rPr>
          <w:noProof/>
        </w:rPr>
      </w:pPr>
      <w:r>
        <w:t>(a)</w:t>
      </w:r>
      <w:r>
        <w:tab/>
      </w:r>
      <w:r>
        <w:rPr>
          <w:noProof/>
        </w:rPr>
        <w:t>4 straipsnyje nurodytų užduočių vykdymą; visų pirma pagal 4 straipsnio 1 dalies a–h punktus sudaromų dokumentų rengimą ir skelbimą bendradarbiaujant su Moksliniu komitetu;</w:t>
      </w:r>
    </w:p>
    <w:p>
      <w:pPr>
        <w:pStyle w:val="Point2"/>
        <w:rPr>
          <w:noProof/>
        </w:rPr>
      </w:pPr>
      <w:r>
        <w:t>(b)</w:t>
      </w:r>
      <w:r>
        <w:tab/>
      </w:r>
      <w:r>
        <w:rPr>
          <w:noProof/>
        </w:rPr>
        <w:t>Agentūros daugiametės darbo programos rengimą ir įgyvendinimą;</w:t>
      </w:r>
    </w:p>
    <w:p>
      <w:pPr>
        <w:pStyle w:val="Point2"/>
        <w:rPr>
          <w:noProof/>
        </w:rPr>
      </w:pPr>
      <w:r>
        <w:t>(c)</w:t>
      </w:r>
      <w:r>
        <w:tab/>
      </w:r>
      <w:r>
        <w:rPr>
          <w:noProof/>
        </w:rPr>
        <w:t>einamųjų reikalų administravimo klausimus;</w:t>
      </w:r>
    </w:p>
    <w:p>
      <w:pPr>
        <w:pStyle w:val="Point2"/>
        <w:rPr>
          <w:noProof/>
        </w:rPr>
      </w:pPr>
      <w:r>
        <w:t>(d)</w:t>
      </w:r>
      <w:r>
        <w:tab/>
      </w:r>
      <w:r>
        <w:rPr>
          <w:noProof/>
        </w:rPr>
        <w:t>Valdančiosios tarybos priimtų sprendimų įgyvendinimą;</w:t>
      </w:r>
    </w:p>
    <w:p>
      <w:pPr>
        <w:pStyle w:val="Point2"/>
        <w:rPr>
          <w:noProof/>
        </w:rPr>
      </w:pPr>
      <w:r>
        <w:t>(e)</w:t>
      </w:r>
      <w:r>
        <w:tab/>
      </w:r>
      <w:r>
        <w:rPr>
          <w:noProof/>
        </w:rPr>
        <w:t>Agentūros biudžeto įgyvendinimą pagal 21 straipsnį;</w:t>
      </w:r>
    </w:p>
    <w:p>
      <w:pPr>
        <w:pStyle w:val="Point2"/>
        <w:rPr>
          <w:noProof/>
        </w:rPr>
      </w:pPr>
      <w:r>
        <w:t>(f)</w:t>
      </w:r>
      <w:r>
        <w:tab/>
      </w:r>
      <w:r>
        <w:rPr>
          <w:noProof/>
        </w:rPr>
        <w:t>su Agentūros tikslų vykdymu susijusių veiksmingų stebėsenos ir vertinimo procedūrų įgyvendinimą taikant pripažintus profesinius standartus ir veiklos rezultatų rodiklius;</w:t>
      </w:r>
    </w:p>
    <w:p>
      <w:pPr>
        <w:pStyle w:val="Point2"/>
        <w:rPr>
          <w:noProof/>
        </w:rPr>
      </w:pPr>
      <w:r>
        <w:t>(g)</w:t>
      </w:r>
      <w:r>
        <w:tab/>
      </w:r>
      <w:r>
        <w:rPr>
          <w:noProof/>
        </w:rPr>
        <w:t xml:space="preserve">veiksmų plano, kuriuo atsižvelgiama į programų ir veiklos, susijusių su didelėmis išlaidomis, retrospektyvinių vertinimų rezultatus, pagal Deleguotojo reglamento (ES) 2019/715 29 straipsnį parengimą; </w:t>
      </w:r>
    </w:p>
    <w:p>
      <w:pPr>
        <w:pStyle w:val="Point2"/>
        <w:rPr>
          <w:noProof/>
        </w:rPr>
      </w:pPr>
      <w:r>
        <w:t>(h)</w:t>
      </w:r>
      <w:r>
        <w:tab/>
      </w:r>
      <w:r>
        <w:rPr>
          <w:noProof/>
        </w:rPr>
        <w:t xml:space="preserve">kasmetinių stebėsenos ir vertinimo sistemos rezultatų ataskaitų teikimą Valdančiajai tarybai; </w:t>
      </w:r>
    </w:p>
    <w:p>
      <w:pPr>
        <w:pStyle w:val="Point2"/>
        <w:rPr>
          <w:noProof/>
        </w:rPr>
      </w:pPr>
      <w:r>
        <w:t>(i)</w:t>
      </w:r>
      <w:r>
        <w:tab/>
      </w:r>
      <w:r>
        <w:rPr>
          <w:noProof/>
        </w:rPr>
        <w:t>Agentūros kovos su sukčiavimu strategijos rengimą ir jos pateikimą Vykdomajai valdybai patvirtinti;</w:t>
      </w:r>
    </w:p>
    <w:p>
      <w:pPr>
        <w:pStyle w:val="Point2"/>
        <w:rPr>
          <w:noProof/>
        </w:rPr>
      </w:pPr>
      <w:r>
        <w:t>(j)</w:t>
      </w:r>
      <w:r>
        <w:tab/>
      </w:r>
      <w:r>
        <w:rPr>
          <w:noProof/>
        </w:rPr>
        <w:t xml:space="preserve">veiksmų plano, kuriuo atsižvelgiama į vidaus ar išorės audito ataskaitų ir vertinimų bei Europos kovos su sukčiavimu tarnybos (OLAF) atliktų </w:t>
      </w:r>
      <w:r>
        <w:rPr>
          <w:noProof/>
        </w:rPr>
        <w:lastRenderedPageBreak/>
        <w:t>tyrimų išvadas, rengimą ir padarytos pažangos ataskaitų teikimą Komisijai ir Valdančiajai tarybai;</w:t>
      </w:r>
    </w:p>
    <w:p>
      <w:pPr>
        <w:pStyle w:val="Point2"/>
        <w:rPr>
          <w:noProof/>
        </w:rPr>
      </w:pPr>
      <w:r>
        <w:t>(k)</w:t>
      </w:r>
      <w:r>
        <w:tab/>
      </w:r>
      <w:r>
        <w:rPr>
          <w:noProof/>
        </w:rPr>
        <w:t xml:space="preserve">bendradarbiavimą su nacionaliniais ryšių palaikymo pareigūnais; </w:t>
      </w:r>
    </w:p>
    <w:p>
      <w:pPr>
        <w:pStyle w:val="Point2"/>
        <w:rPr>
          <w:noProof/>
        </w:rPr>
      </w:pPr>
      <w:r>
        <w:t>(l)</w:t>
      </w:r>
      <w:r>
        <w:tab/>
      </w:r>
      <w:r>
        <w:rPr>
          <w:noProof/>
        </w:rPr>
        <w:t>bendradarbiavimą su pilietine visuomene, įskaitant Pagrindinių teisių platformos koordinavimą pagal 10 straipsnį.“;</w:t>
      </w:r>
    </w:p>
    <w:p>
      <w:pPr>
        <w:pStyle w:val="Point1"/>
        <w:rPr>
          <w:noProof/>
        </w:rPr>
      </w:pPr>
      <w:r>
        <w:t>(b)</w:t>
      </w:r>
      <w:r>
        <w:tab/>
      </w:r>
      <w:r>
        <w:rPr>
          <w:noProof/>
        </w:rPr>
        <w:t>7 dalis pakeičiama taip:</w:t>
      </w:r>
    </w:p>
    <w:p>
      <w:pPr>
        <w:rPr>
          <w:noProof/>
        </w:rPr>
      </w:pPr>
    </w:p>
    <w:p>
      <w:pPr>
        <w:pStyle w:val="Text2"/>
        <w:rPr>
          <w:noProof/>
        </w:rPr>
      </w:pPr>
      <w:r>
        <w:rPr>
          <w:noProof/>
        </w:rPr>
        <w:t>„7.</w:t>
      </w:r>
      <w:r>
        <w:rPr>
          <w:noProof/>
        </w:rPr>
        <w:tab/>
        <w:t>Dėl netinkamo elgesio, nepakankamų rezultatų ar pasikartojančių ar sunkių pažeidimų direktorius gali būti atleistas iš pareigų prieš pasibaigiant jo kadencijai Valdančiosios tarybos sprendimu, priimtu dviejų trečdalių jos narių balsų dauguma, arba Komisijos sprendimu.“;</w:t>
      </w:r>
    </w:p>
    <w:p>
      <w:pPr>
        <w:rPr>
          <w:noProof/>
        </w:rPr>
      </w:pPr>
    </w:p>
    <w:p>
      <w:pPr>
        <w:pStyle w:val="Point0"/>
        <w:rPr>
          <w:noProof/>
        </w:rPr>
      </w:pPr>
      <w:r>
        <w:t>(12)</w:t>
      </w:r>
      <w:r>
        <w:tab/>
      </w:r>
      <w:r>
        <w:rPr>
          <w:noProof/>
        </w:rPr>
        <w:t>24 straipsnio 2 dalis išbraukiama.</w:t>
      </w:r>
    </w:p>
    <w:p>
      <w:pPr>
        <w:rPr>
          <w:noProof/>
        </w:rPr>
      </w:pPr>
    </w:p>
    <w:p>
      <w:pPr>
        <w:pStyle w:val="Point0"/>
        <w:rPr>
          <w:noProof/>
        </w:rPr>
      </w:pPr>
      <w:r>
        <w:t>(13)</w:t>
      </w:r>
      <w:r>
        <w:tab/>
      </w:r>
      <w:r>
        <w:rPr>
          <w:noProof/>
        </w:rPr>
        <w:t>30 straipsnis iš dalies keičiamas taip:</w:t>
      </w:r>
    </w:p>
    <w:p>
      <w:pPr>
        <w:pStyle w:val="Point1"/>
        <w:rPr>
          <w:noProof/>
        </w:rPr>
      </w:pPr>
      <w:r>
        <w:t>(a)</w:t>
      </w:r>
      <w:r>
        <w:tab/>
      </w:r>
      <w:r>
        <w:rPr>
          <w:noProof/>
        </w:rPr>
        <w:t>antraštė pakeičiama taip:</w:t>
      </w:r>
    </w:p>
    <w:p>
      <w:pPr>
        <w:rPr>
          <w:noProof/>
        </w:rPr>
      </w:pPr>
    </w:p>
    <w:p>
      <w:pPr>
        <w:pStyle w:val="Titrearticle"/>
        <w:rPr>
          <w:noProof/>
        </w:rPr>
      </w:pPr>
      <w:r>
        <w:rPr>
          <w:noProof/>
        </w:rPr>
        <w:t>„Vertinimas ir peržiūra“;</w:t>
      </w:r>
    </w:p>
    <w:p>
      <w:pPr>
        <w:rPr>
          <w:b/>
          <w:noProof/>
        </w:rPr>
      </w:pPr>
    </w:p>
    <w:p>
      <w:pPr>
        <w:pStyle w:val="Point1"/>
        <w:rPr>
          <w:noProof/>
        </w:rPr>
      </w:pPr>
      <w:r>
        <w:t>(b)</w:t>
      </w:r>
      <w:r>
        <w:tab/>
      </w:r>
      <w:r>
        <w:rPr>
          <w:noProof/>
        </w:rPr>
        <w:t>3 ir 4 dalys pakeičiamos taip:</w:t>
      </w:r>
    </w:p>
    <w:p>
      <w:pPr>
        <w:rPr>
          <w:noProof/>
        </w:rPr>
      </w:pPr>
    </w:p>
    <w:p>
      <w:pPr>
        <w:pStyle w:val="Text2"/>
        <w:rPr>
          <w:noProof/>
        </w:rPr>
      </w:pPr>
      <w:r>
        <w:rPr>
          <w:noProof/>
        </w:rPr>
        <w:t>„3.</w:t>
      </w:r>
      <w:r>
        <w:rPr>
          <w:noProof/>
        </w:rPr>
        <w:tab/>
        <w:t>Ne vėliau kaip [</w:t>
      </w:r>
      <w:r>
        <w:rPr>
          <w:i/>
          <w:iCs/>
          <w:noProof/>
        </w:rPr>
        <w:t>5 metai nuo įsigaliojimo</w:t>
      </w:r>
      <w:r>
        <w:rPr>
          <w:noProof/>
        </w:rPr>
        <w:t>], o paskui kas penkerius metus Komisija užsako vertinimą, siekdama visų pirma įvertinti Agentūros ir jos darbo metodų poveikį, veiksmingumą ir efektyvumą. Visų pirma vertinamas galimas poreikis iš dalies keisti Agentūros įgaliojimus ir tokio pakeitimo finansinės pasekmės.</w:t>
      </w:r>
    </w:p>
    <w:p>
      <w:pPr>
        <w:pStyle w:val="Text2"/>
        <w:rPr>
          <w:noProof/>
        </w:rPr>
      </w:pPr>
      <w:r>
        <w:rPr>
          <w:noProof/>
        </w:rPr>
        <w:t>4.</w:t>
      </w:r>
      <w:r>
        <w:rPr>
          <w:noProof/>
        </w:rPr>
        <w:tab/>
        <w:t>Komisija vertinimo išvadas pateikia Europos Parlamentui, Tarybai ir Valdančiajai tarybai. Įvertinimo rezultatai skelbiami viešai.“;</w:t>
      </w:r>
    </w:p>
    <w:p>
      <w:pPr>
        <w:rPr>
          <w:noProof/>
        </w:rPr>
      </w:pPr>
    </w:p>
    <w:p>
      <w:pPr>
        <w:pStyle w:val="Point1"/>
        <w:rPr>
          <w:noProof/>
        </w:rPr>
      </w:pPr>
      <w:r>
        <w:t>(c)</w:t>
      </w:r>
      <w:r>
        <w:tab/>
      </w:r>
      <w:r>
        <w:rPr>
          <w:noProof/>
        </w:rPr>
        <w:t>straipsnis papildomas 5 dalimi:</w:t>
      </w:r>
    </w:p>
    <w:p>
      <w:pPr>
        <w:rPr>
          <w:noProof/>
        </w:rPr>
      </w:pPr>
    </w:p>
    <w:p>
      <w:pPr>
        <w:pStyle w:val="Text2"/>
        <w:rPr>
          <w:noProof/>
        </w:rPr>
      </w:pPr>
      <w:r>
        <w:rPr>
          <w:noProof/>
        </w:rPr>
        <w:t xml:space="preserve">„5. </w:t>
      </w:r>
      <w:r>
        <w:rPr>
          <w:noProof/>
        </w:rPr>
        <w:tab/>
        <w:t>Kas antrą kartą Agentūros pasiekti rezultatai bus vertinami atsižvelgiant į jos tikslus, įgaliojimus ir užduotis, taip pat bus vertinama, ar, atsižvelgiant į tuos tikslus, įgaliojimus ir užduotis, tebėra pagrįsta tęsti Agentūros veiklą.“</w:t>
      </w:r>
    </w:p>
    <w:p>
      <w:pPr>
        <w:rPr>
          <w:noProof/>
        </w:rPr>
      </w:pPr>
    </w:p>
    <w:p>
      <w:pPr>
        <w:pStyle w:val="Point0"/>
        <w:rPr>
          <w:noProof/>
        </w:rPr>
      </w:pPr>
      <w:r>
        <w:t>(14)</w:t>
      </w:r>
      <w:r>
        <w:tab/>
      </w:r>
      <w:r>
        <w:rPr>
          <w:noProof/>
        </w:rPr>
        <w:t>31 straipsnis išbraukiamas.</w:t>
      </w:r>
    </w:p>
    <w:p>
      <w:pPr>
        <w:pStyle w:val="Titrearticle"/>
        <w:rPr>
          <w:noProof/>
        </w:rPr>
      </w:pPr>
      <w:r>
        <w:rPr>
          <w:noProof/>
        </w:rPr>
        <w:lastRenderedPageBreak/>
        <w:t>2 straipsnis</w:t>
      </w:r>
    </w:p>
    <w:p>
      <w:pPr>
        <w:pStyle w:val="Titrearticle"/>
        <w:rPr>
          <w:noProof/>
        </w:rPr>
      </w:pPr>
      <w:r>
        <w:rPr>
          <w:noProof/>
        </w:rPr>
        <w:t>Įsigaliojimas ir taikymas</w:t>
      </w:r>
    </w:p>
    <w:p>
      <w:pPr>
        <w:rPr>
          <w:noProof/>
        </w:rPr>
      </w:pPr>
      <w:r>
        <w:rPr>
          <w:noProof/>
        </w:rPr>
        <w:t xml:space="preserve">Šis reglamentas įsigalioja dvidešimtą dieną po jo paskelbimo </w:t>
      </w:r>
      <w:r>
        <w:rPr>
          <w:i/>
          <w:noProof/>
        </w:rPr>
        <w:t>Europos Sąjungos oficialiajame leidinyje</w:t>
      </w:r>
      <w:r>
        <w:rPr>
          <w:noProof/>
        </w:rPr>
        <w:t>.</w:t>
      </w:r>
    </w:p>
    <w:p>
      <w:pPr>
        <w:rPr>
          <w:noProof/>
        </w:rPr>
      </w:pPr>
    </w:p>
    <w:p>
      <w:pPr>
        <w:pStyle w:val="Applicationdirecte"/>
        <w:rPr>
          <w:noProof/>
        </w:rPr>
      </w:pPr>
      <w:r>
        <w:rPr>
          <w:noProof/>
        </w:rPr>
        <w:t>Šis reglamentas privalomas visas ir tiesiogiai taikomas visose valstybėse narėse.</w:t>
      </w: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2007 m. vasario 15 d. Tarybos reglamentas (EB) Nr. 168/2007, įsteigiantis Europos Sąjungos pagrindinių teisių agentūrą (OL L 53, 2007 2 22, p. 1).   </w:t>
      </w:r>
    </w:p>
  </w:footnote>
  <w:footnote w:id="2">
    <w:p>
      <w:pPr>
        <w:pStyle w:val="FootnoteText"/>
      </w:pPr>
      <w:r>
        <w:rPr>
          <w:rStyle w:val="FootnoteReference"/>
        </w:rPr>
        <w:footnoteRef/>
      </w:r>
      <w:r>
        <w:tab/>
        <w:t>Europos Sąjungos pagrindinių teisių agentūros išorinis įvertinimas, 2012 m. lapkričio 19 d., https://fra.europa.eu/sites/default/files/fra-external_evaluation-final-report.pdf.</w:t>
      </w:r>
    </w:p>
  </w:footnote>
  <w:footnote w:id="3">
    <w:p>
      <w:pPr>
        <w:pStyle w:val="FootnoteText"/>
        <w:rPr>
          <w:bCs/>
          <w:color w:val="0000FF" w:themeColor="hyperlink"/>
          <w:u w:val="single"/>
        </w:rPr>
      </w:pPr>
      <w:r>
        <w:rPr>
          <w:rStyle w:val="FootnoteReference"/>
        </w:rPr>
        <w:footnoteRef/>
      </w:r>
      <w:r>
        <w:tab/>
        <w:t xml:space="preserve">2-asis nepriklausomas Europos Sąjungos pagrindinių teisių agentūros išorinis įvertinimas, 2017 m. spalio 31 d. </w:t>
      </w:r>
      <w:hyperlink r:id="rId1" w:history="1">
        <w:r>
          <w:rPr>
            <w:rStyle w:val="Hyperlink"/>
          </w:rPr>
          <w:t>https://fra.europa.eu/sites/default/files/fra_uploads/2nd-fra-external-evaluation-october-2017_en.pdf</w:t>
        </w:r>
      </w:hyperlink>
      <w:r>
        <w:rPr>
          <w:bCs/>
          <w:color w:val="0000FF" w:themeColor="hyperlink"/>
          <w:u w:val="single"/>
        </w:rPr>
        <w:t>.</w:t>
      </w:r>
    </w:p>
    <w:p>
      <w:pPr>
        <w:pStyle w:val="FootnoteText"/>
        <w:rPr>
          <w:bCs/>
          <w:color w:val="0000FF" w:themeColor="hyperlink"/>
          <w:u w:val="single"/>
        </w:rPr>
      </w:pPr>
    </w:p>
    <w:p>
      <w:pPr>
        <w:pStyle w:val="FootnoteText"/>
      </w:pPr>
    </w:p>
  </w:footnote>
  <w:footnote w:id="4">
    <w:p>
      <w:pPr>
        <w:pStyle w:val="FootnoteText"/>
      </w:pPr>
      <w:r>
        <w:rPr>
          <w:rStyle w:val="FootnoteReference"/>
        </w:rPr>
        <w:footnoteRef/>
      </w:r>
      <w:r>
        <w:tab/>
        <w:t>SWD(2019)313.</w:t>
      </w:r>
    </w:p>
  </w:footnote>
  <w:footnote w:id="5">
    <w:p>
      <w:pPr>
        <w:pStyle w:val="FootnoteText"/>
      </w:pPr>
      <w:r>
        <w:rPr>
          <w:rStyle w:val="FootnoteReference"/>
        </w:rPr>
        <w:footnoteRef/>
      </w:r>
      <w:r>
        <w:tab/>
        <w:t xml:space="preserve">2012 m. liepos 19 d. Europos Parlamento, ES Tarybos ir Europos Komisijos bendras pareiškimas dėl decentralizuotų agentūrų ir bendro požiūrio </w:t>
      </w:r>
      <w:hyperlink r:id="rId2" w:history="1">
        <w:r>
          <w:rPr>
            <w:rStyle w:val="Hyperlink"/>
            <w:highlight w:val="yellow"/>
          </w:rPr>
          <w:t>https://europa.eu/european-union/sites/europaeu/files/docs/body/joint_statement_and_common_approach_2012_lt.pdf</w:t>
        </w:r>
      </w:hyperlink>
    </w:p>
  </w:footnote>
  <w:footnote w:id="6">
    <w:p>
      <w:pPr>
        <w:pStyle w:val="FootnoteText"/>
      </w:pPr>
      <w:r>
        <w:rPr>
          <w:rStyle w:val="FootnoteReference"/>
        </w:rPr>
        <w:footnoteRef/>
      </w:r>
      <w:r>
        <w:tab/>
        <w:t>OL C […], […], p. […].</w:t>
      </w:r>
    </w:p>
  </w:footnote>
  <w:footnote w:id="7">
    <w:p>
      <w:pPr>
        <w:pStyle w:val="FootnoteText"/>
      </w:pPr>
      <w:r>
        <w:rPr>
          <w:rStyle w:val="FootnoteReference"/>
        </w:rPr>
        <w:footnoteRef/>
      </w:r>
      <w:r>
        <w:tab/>
        <w:t xml:space="preserve">2007 m. vasario 15 d. Tarybos reglamentas (EB) Nr. 168/2007, įsteigiantis Europos Sąjungos pagrindinių teisių agentūrą (OL L 53, 2007 2 22, p. 1).   </w:t>
      </w:r>
    </w:p>
  </w:footnote>
  <w:footnote w:id="8">
    <w:p>
      <w:pPr>
        <w:pStyle w:val="FootnoteText"/>
      </w:pPr>
      <w:r>
        <w:rPr>
          <w:rStyle w:val="FootnoteReference"/>
        </w:rPr>
        <w:footnoteRef/>
      </w:r>
      <w:r>
        <w:tab/>
        <w:t xml:space="preserve">2012 m. liepos 19 d. Europos Parlamento, ES Tarybos ir Europos Komisijos bendras pareiškimas dėl decentralizuotų agentūrų ir bendro požiūrio </w:t>
      </w:r>
      <w:hyperlink r:id="rId3" w:history="1">
        <w:r>
          <w:rPr>
            <w:rStyle w:val="Hyperlink"/>
          </w:rPr>
          <w:t>https://europa.eu/european-union/sites/europaeu/files/docs/body/joint_statement_and_common_approach_2012_lt.pdf</w:t>
        </w:r>
      </w:hyperlink>
      <w:r>
        <w:t xml:space="preserve"> </w:t>
      </w:r>
    </w:p>
  </w:footnote>
  <w:footnote w:id="9">
    <w:p>
      <w:pPr>
        <w:pStyle w:val="FootnoteText"/>
      </w:pPr>
      <w:r>
        <w:rPr>
          <w:rStyle w:val="FootnoteReference"/>
        </w:rPr>
        <w:footnoteRef/>
      </w:r>
      <w:r>
        <w:tab/>
        <w:t>2013 m. rugsėjo 30 d. Komisijos deleguotasis reglamentas (ES) Nr. 1271/2013 dėl finansinio pagrindų reglamento, taikomo įstaigoms, nurodytoms Europos Parlamento ir Tarybos reglamento (ES, Euratomas) Nr. 966/2012 208 straipsnyje (OL L 328, 2013 12 7, p. 42).</w:t>
      </w:r>
    </w:p>
  </w:footnote>
  <w:footnote w:id="10">
    <w:p>
      <w:pPr>
        <w:pStyle w:val="FootnoteText"/>
      </w:pPr>
      <w:r>
        <w:rPr>
          <w:rStyle w:val="FootnoteReference"/>
        </w:rPr>
        <w:footnoteRef/>
      </w:r>
      <w:r>
        <w:tab/>
        <w:t>2018 m. gruodžio 18 d. Komisijos deleguotasis reglamentas (ES) 2019/715 dėl finansinio pagrindų reglamento, taikomo organams, įsteigtiems pagal SESV ir Euratomo sutartį ir nurodytiems Europos Parlamento ir Tarybos reglamento (ES, Euratomas) 2018/1046 70 straipsnyje (OL L 122, 2019 5 10, p. 1).</w:t>
      </w:r>
    </w:p>
    <w:p>
      <w:pPr>
        <w:pStyle w:val="FootnoteText"/>
      </w:pPr>
    </w:p>
  </w:footnote>
  <w:footnote w:id="11">
    <w:p>
      <w:pPr>
        <w:pStyle w:val="FootnoteText"/>
      </w:pPr>
      <w:r>
        <w:rPr>
          <w:rStyle w:val="FootnoteReference"/>
        </w:rPr>
        <w:footnoteRef/>
      </w:r>
      <w:r>
        <w:tab/>
        <w:t>1968 m. vasario 29 d. Tarybos reglamentas (EEB, Euratomas, EAPB) Nr. 259/68, nustatantis Europos Bendrijų pareigūnų tarnybos nuostatus ir kitų Europos Bendrijų tarnautojų įdarbinimo sąlygas bei Komisijos pareigūnams laikinai taikomas specialias priemones (OL L 56, 1968 3 4, p. 1).</w:t>
      </w:r>
    </w:p>
    <w:p>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13400B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33CA410"/>
    <w:lvl w:ilvl="0">
      <w:start w:val="1"/>
      <w:numFmt w:val="decimal"/>
      <w:pStyle w:val="ListNumber3"/>
      <w:lvlText w:val="%1."/>
      <w:lvlJc w:val="left"/>
      <w:pPr>
        <w:tabs>
          <w:tab w:val="num" w:pos="926"/>
        </w:tabs>
        <w:ind w:left="926" w:hanging="360"/>
      </w:pPr>
    </w:lvl>
  </w:abstractNum>
  <w:abstractNum w:abstractNumId="2">
    <w:nsid w:val="FFFFFF7F"/>
    <w:multiLevelType w:val="singleLevel"/>
    <w:tmpl w:val="C0D67A64"/>
    <w:lvl w:ilvl="0">
      <w:start w:val="1"/>
      <w:numFmt w:val="decimal"/>
      <w:pStyle w:val="ListNumber2"/>
      <w:lvlText w:val="%1."/>
      <w:lvlJc w:val="left"/>
      <w:pPr>
        <w:tabs>
          <w:tab w:val="num" w:pos="643"/>
        </w:tabs>
        <w:ind w:left="643" w:hanging="360"/>
      </w:pPr>
    </w:lvl>
  </w:abstractNum>
  <w:abstractNum w:abstractNumId="3">
    <w:nsid w:val="FFFFFF81"/>
    <w:multiLevelType w:val="singleLevel"/>
    <w:tmpl w:val="005E96E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69CA7F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4822D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736A26A"/>
    <w:lvl w:ilvl="0">
      <w:start w:val="1"/>
      <w:numFmt w:val="decimal"/>
      <w:pStyle w:val="ListNumber"/>
      <w:lvlText w:val="%1."/>
      <w:lvlJc w:val="left"/>
      <w:pPr>
        <w:tabs>
          <w:tab w:val="num" w:pos="360"/>
        </w:tabs>
        <w:ind w:left="360" w:hanging="360"/>
      </w:pPr>
    </w:lvl>
  </w:abstractNum>
  <w:abstractNum w:abstractNumId="7">
    <w:nsid w:val="FFFFFF89"/>
    <w:multiLevelType w:val="singleLevel"/>
    <w:tmpl w:val="1F1AA22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C5B210E"/>
    <w:multiLevelType w:val="hybridMultilevel"/>
    <w:tmpl w:val="6BA28EC4"/>
    <w:lvl w:ilvl="0" w:tplc="D5CC7BB0">
      <w:start w:val="3"/>
      <w:numFmt w:val="bullet"/>
      <w:lvlText w:val="-"/>
      <w:lvlJc w:val="left"/>
      <w:pPr>
        <w:ind w:left="643"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19"/>
    <w:lvlOverride w:ilvl="0">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3"/>
  </w:num>
  <w:num w:numId="20">
    <w:abstractNumId w:val="21"/>
  </w:num>
  <w:num w:numId="21">
    <w:abstractNumId w:val="12"/>
  </w:num>
  <w:num w:numId="22">
    <w:abstractNumId w:val="14"/>
  </w:num>
  <w:num w:numId="23">
    <w:abstractNumId w:val="10"/>
  </w:num>
  <w:num w:numId="24">
    <w:abstractNumId w:val="20"/>
  </w:num>
  <w:num w:numId="25">
    <w:abstractNumId w:val="9"/>
  </w:num>
  <w:num w:numId="26">
    <w:abstractNumId w:val="15"/>
  </w:num>
  <w:num w:numId="27">
    <w:abstractNumId w:val="17"/>
  </w:num>
  <w:num w:numId="28">
    <w:abstractNumId w:val="18"/>
  </w:num>
  <w:num w:numId="29">
    <w:abstractNumId w:val="11"/>
  </w:num>
  <w:num w:numId="30">
    <w:abstractNumId w:val="16"/>
  </w:num>
  <w:num w:numId="31">
    <w:abstractNumId w:val="22"/>
  </w:num>
  <w:num w:numId="32">
    <w:abstractNumId w:val="19"/>
  </w:num>
  <w:num w:numId="33">
    <w:abstractNumId w:val="13"/>
  </w:num>
  <w:num w:numId="34">
    <w:abstractNumId w:val="21"/>
  </w:num>
  <w:num w:numId="35">
    <w:abstractNumId w:val="12"/>
  </w:num>
  <w:num w:numId="36">
    <w:abstractNumId w:val="14"/>
  </w:num>
  <w:num w:numId="37">
    <w:abstractNumId w:val="10"/>
  </w:num>
  <w:num w:numId="38">
    <w:abstractNumId w:val="20"/>
  </w:num>
  <w:num w:numId="39">
    <w:abstractNumId w:val="9"/>
  </w:num>
  <w:num w:numId="40">
    <w:abstractNumId w:val="15"/>
  </w:num>
  <w:num w:numId="41">
    <w:abstractNumId w:val="17"/>
  </w:num>
  <w:num w:numId="42">
    <w:abstractNumId w:val="18"/>
  </w:num>
  <w:num w:numId="43">
    <w:abstractNumId w:val="11"/>
  </w:num>
  <w:num w:numId="44">
    <w:abstractNumId w:val="16"/>
  </w:num>
  <w:num w:numId="45">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nl-BE" w:vendorID="64" w:dllVersion="131078" w:nlCheck="1" w:checkStyle="0"/>
  <w:activeWritingStyle w:appName="MSWord" w:lang="en-GB" w:vendorID="64" w:dllVersion="131078" w:nlCheck="1" w:checkStyle="1"/>
  <w:activeWritingStyle w:appName="MSWord" w:lang="en-US" w:vendorID="64" w:dllVersion="131078" w:nlCheck="1" w:checkStyle="1"/>
  <w:attachedTemplate r:id="rId1"/>
  <w:revisionView w:markup="0"/>
  <w:defaultTabStop w:val="720"/>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5 10:44:4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0"/>
    <w:docVar w:name="DQCResult_StructureCheck" w:val="0;0"/>
    <w:docVar w:name="DQCResult_SuperfluousWhitespace" w:val="0;83"/>
    <w:docVar w:name="DQCResult_UnknownFonts" w:val="0;0"/>
    <w:docVar w:name="DQCResult_UnknownStyles" w:val="0;8"/>
    <w:docVar w:name="DQCStatus" w:val="Green"/>
    <w:docVar w:name="DQCVersion" w:val="3"/>
    <w:docVar w:name="DQCWithWarnings" w:val="0"/>
    <w:docVar w:name="LW_CORRIGENDUM" w:val="&lt;UNUSED&gt;"/>
    <w:docVar w:name="LW_COVERPAGE_EXISTS" w:val="True"/>
    <w:docVar w:name="LW_COVERPAGE_GUID" w:val="B71780C5-544C-4326-AA8D-E0E61EF1865B"/>
    <w:docVar w:name="LW_COVERPAGE_TYPE" w:val="1"/>
    <w:docVar w:name="LW_CROSSREFERENCE" w:val="&lt;UNUSED&gt;"/>
    <w:docVar w:name="LW_DocType" w:val="COM"/>
    <w:docVar w:name="LW_EMISSION" w:val="2020 06 05"/>
    <w:docVar w:name="LW_EMISSION_ISODATE" w:val="2020-06-05"/>
    <w:docVar w:name="LW_EMISSION_LOCATION" w:val="BRX"/>
    <w:docVar w:name="LW_EMISSION_PREFIX" w:val="Briuselis,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APP"/>
    <w:docVar w:name="LW_REF.II.NEW.CP_NUMBER" w:val="0112"/>
    <w:docVar w:name="LW_REF.II.NEW.CP_YEAR" w:val="2020"/>
    <w:docVar w:name="LW_REF.INST.NEW" w:val="COM"/>
    <w:docVar w:name="LW_REF.INST.NEW_ADOPTED" w:val="final"/>
    <w:docVar w:name="LW_REF.INST.NEW_TEXT" w:val="(2020) 2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asi\u363?lymas"/>
    <w:docVar w:name="LW_SUPERTITRE" w:val="&lt;UNUSED&gt;"/>
    <w:docVar w:name="LW_TITRE.OBJ.CP" w:val="kuriuo i\u353? dalies kei\u269?iamas Reglamentas (EB) Nr. 168/2007, \u303?steigiantis Europos S\u261?jungos pagrindini\u371? teisi\u371? agent\u363?r\u261?"/>
    <w:docVar w:name="LW_TYPE.DOC.CP" w:val="TARYBOS REGLAMENT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ti-art">
    <w:name w:val="ti-art"/>
    <w:basedOn w:val="Normal"/>
    <w:pPr>
      <w:spacing w:before="100" w:beforeAutospacing="1" w:after="100" w:afterAutospacing="1"/>
      <w:jc w:val="left"/>
    </w:pPr>
    <w:rPr>
      <w:rFonts w:eastAsia="Times New Roman"/>
      <w:szCs w:val="24"/>
      <w:lang w:eastAsia="sk-SK"/>
    </w:rPr>
  </w:style>
  <w:style w:type="paragraph" w:customStyle="1" w:styleId="sti-art">
    <w:name w:val="sti-art"/>
    <w:basedOn w:val="Normal"/>
    <w:pPr>
      <w:spacing w:before="100" w:beforeAutospacing="1" w:after="100" w:afterAutospacing="1"/>
      <w:jc w:val="left"/>
    </w:pPr>
    <w:rPr>
      <w:rFonts w:eastAsia="Times New Roman"/>
      <w:szCs w:val="24"/>
      <w:lang w:eastAsia="sk-SK"/>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ti-art">
    <w:name w:val="ti-art"/>
    <w:basedOn w:val="Normal"/>
    <w:pPr>
      <w:spacing w:before="100" w:beforeAutospacing="1" w:after="100" w:afterAutospacing="1"/>
      <w:jc w:val="left"/>
    </w:pPr>
    <w:rPr>
      <w:rFonts w:eastAsia="Times New Roman"/>
      <w:szCs w:val="24"/>
      <w:lang w:eastAsia="sk-SK"/>
    </w:rPr>
  </w:style>
  <w:style w:type="paragraph" w:customStyle="1" w:styleId="sti-art">
    <w:name w:val="sti-art"/>
    <w:basedOn w:val="Normal"/>
    <w:pPr>
      <w:spacing w:before="100" w:beforeAutospacing="1" w:after="100" w:afterAutospacing="1"/>
      <w:jc w:val="left"/>
    </w:pPr>
    <w:rPr>
      <w:rFonts w:eastAsia="Times New Roman"/>
      <w:szCs w:val="24"/>
      <w:lang w:eastAsia="sk-SK"/>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8358">
      <w:bodyDiv w:val="1"/>
      <w:marLeft w:val="0"/>
      <w:marRight w:val="0"/>
      <w:marTop w:val="0"/>
      <w:marBottom w:val="0"/>
      <w:divBdr>
        <w:top w:val="none" w:sz="0" w:space="0" w:color="auto"/>
        <w:left w:val="none" w:sz="0" w:space="0" w:color="auto"/>
        <w:bottom w:val="none" w:sz="0" w:space="0" w:color="auto"/>
        <w:right w:val="none" w:sz="0" w:space="0" w:color="auto"/>
      </w:divBdr>
    </w:div>
    <w:div w:id="1038041697">
      <w:bodyDiv w:val="1"/>
      <w:marLeft w:val="0"/>
      <w:marRight w:val="0"/>
      <w:marTop w:val="0"/>
      <w:marBottom w:val="0"/>
      <w:divBdr>
        <w:top w:val="none" w:sz="0" w:space="0" w:color="auto"/>
        <w:left w:val="none" w:sz="0" w:space="0" w:color="auto"/>
        <w:bottom w:val="none" w:sz="0" w:space="0" w:color="auto"/>
        <w:right w:val="none" w:sz="0" w:space="0" w:color="auto"/>
      </w:divBdr>
    </w:div>
    <w:div w:id="1045759637">
      <w:bodyDiv w:val="1"/>
      <w:marLeft w:val="0"/>
      <w:marRight w:val="0"/>
      <w:marTop w:val="0"/>
      <w:marBottom w:val="0"/>
      <w:divBdr>
        <w:top w:val="none" w:sz="0" w:space="0" w:color="auto"/>
        <w:left w:val="none" w:sz="0" w:space="0" w:color="auto"/>
        <w:bottom w:val="none" w:sz="0" w:space="0" w:color="auto"/>
        <w:right w:val="none" w:sz="0" w:space="0" w:color="auto"/>
      </w:divBdr>
    </w:div>
    <w:div w:id="1095908189">
      <w:bodyDiv w:val="1"/>
      <w:marLeft w:val="0"/>
      <w:marRight w:val="0"/>
      <w:marTop w:val="0"/>
      <w:marBottom w:val="0"/>
      <w:divBdr>
        <w:top w:val="none" w:sz="0" w:space="0" w:color="auto"/>
        <w:left w:val="none" w:sz="0" w:space="0" w:color="auto"/>
        <w:bottom w:val="none" w:sz="0" w:space="0" w:color="auto"/>
        <w:right w:val="none" w:sz="0" w:space="0" w:color="auto"/>
      </w:divBdr>
    </w:div>
    <w:div w:id="1330253930">
      <w:bodyDiv w:val="1"/>
      <w:marLeft w:val="0"/>
      <w:marRight w:val="0"/>
      <w:marTop w:val="0"/>
      <w:marBottom w:val="0"/>
      <w:divBdr>
        <w:top w:val="none" w:sz="0" w:space="0" w:color="auto"/>
        <w:left w:val="none" w:sz="0" w:space="0" w:color="auto"/>
        <w:bottom w:val="none" w:sz="0" w:space="0" w:color="auto"/>
        <w:right w:val="none" w:sz="0" w:space="0" w:color="auto"/>
      </w:divBdr>
    </w:div>
    <w:div w:id="1617829574">
      <w:bodyDiv w:val="1"/>
      <w:marLeft w:val="0"/>
      <w:marRight w:val="0"/>
      <w:marTop w:val="0"/>
      <w:marBottom w:val="0"/>
      <w:divBdr>
        <w:top w:val="none" w:sz="0" w:space="0" w:color="auto"/>
        <w:left w:val="none" w:sz="0" w:space="0" w:color="auto"/>
        <w:bottom w:val="none" w:sz="0" w:space="0" w:color="auto"/>
        <w:right w:val="none" w:sz="0" w:space="0" w:color="auto"/>
      </w:divBdr>
    </w:div>
    <w:div w:id="1822576311">
      <w:bodyDiv w:val="1"/>
      <w:marLeft w:val="0"/>
      <w:marRight w:val="0"/>
      <w:marTop w:val="0"/>
      <w:marBottom w:val="0"/>
      <w:divBdr>
        <w:top w:val="none" w:sz="0" w:space="0" w:color="auto"/>
        <w:left w:val="none" w:sz="0" w:space="0" w:color="auto"/>
        <w:bottom w:val="none" w:sz="0" w:space="0" w:color="auto"/>
        <w:right w:val="none" w:sz="0" w:space="0" w:color="auto"/>
      </w:divBdr>
    </w:div>
    <w:div w:id="1893927462">
      <w:bodyDiv w:val="1"/>
      <w:marLeft w:val="0"/>
      <w:marRight w:val="0"/>
      <w:marTop w:val="0"/>
      <w:marBottom w:val="0"/>
      <w:divBdr>
        <w:top w:val="none" w:sz="0" w:space="0" w:color="auto"/>
        <w:left w:val="none" w:sz="0" w:space="0" w:color="auto"/>
        <w:bottom w:val="none" w:sz="0" w:space="0" w:color="auto"/>
        <w:right w:val="none" w:sz="0" w:space="0" w:color="auto"/>
      </w:divBdr>
    </w:div>
    <w:div w:id="21400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opa.eu/european-union/sites/europaeu/files/docs/body/joint_statement_and_common_approach_2012_lt.pdf" TargetMode="External"/><Relationship Id="rId2" Type="http://schemas.openxmlformats.org/officeDocument/2006/relationships/hyperlink" Target="https://europa.eu/european-union/sites/europaeu/files/docs/body/joint_statement_and_common_approach_2012_lt.pdf" TargetMode="External"/><Relationship Id="rId1" Type="http://schemas.openxmlformats.org/officeDocument/2006/relationships/hyperlink" Target="https://fra.europa.eu/sites/default/files/fra_uploads/2nd-fra-external-evaluation-october-2017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8BB32-D928-4B92-8994-D6040297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20</Pages>
  <Words>4879</Words>
  <Characters>34061</Characters>
  <Application>Microsoft Office Word</Application>
  <DocSecurity>0</DocSecurity>
  <Lines>810</Lines>
  <Paragraphs>374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2020-05-05T11:15:00Z</cp:lastPrinted>
  <dcterms:created xsi:type="dcterms:W3CDTF">2020-06-04T11:17:00Z</dcterms:created>
  <dcterms:modified xsi:type="dcterms:W3CDTF">2020-06-05T08:44:00Z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