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9079C420-995A-4260-B696-472689EEAC69" style="width:450.8pt;height:411.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ANHANG </w:t>
      </w:r>
    </w:p>
    <w:p>
      <w:pPr>
        <w:jc w:val="center"/>
        <w:rPr>
          <w:b/>
          <w:noProof/>
          <w:szCs w:val="24"/>
        </w:rPr>
      </w:pPr>
    </w:p>
    <w:p>
      <w:pPr>
        <w:jc w:val="center"/>
        <w:rPr>
          <w:b/>
          <w:noProof/>
          <w:szCs w:val="24"/>
        </w:rPr>
      </w:pPr>
      <w:r>
        <w:rPr>
          <w:b/>
          <w:noProof/>
        </w:rPr>
        <w:t>In den Überwachungsbericht gemäß Artikel 6 aufzunehmende Informationen</w:t>
      </w:r>
    </w:p>
    <w:p>
      <w:pPr>
        <w:jc w:val="center"/>
        <w:rPr>
          <w:noProof/>
          <w:szCs w:val="24"/>
        </w:rPr>
      </w:pPr>
    </w:p>
    <w:p>
      <w:pPr>
        <w:pStyle w:val="NumPar1"/>
        <w:numPr>
          <w:ilvl w:val="0"/>
          <w:numId w:val="10"/>
        </w:numPr>
        <w:rPr>
          <w:noProof/>
        </w:rPr>
      </w:pPr>
      <w:r>
        <w:rPr>
          <w:noProof/>
          <w:u w:val="single"/>
        </w:rPr>
        <w:t>Geschätzte Mehrkosten</w:t>
      </w:r>
      <w:r>
        <w:rPr>
          <w:noProof/>
        </w:rPr>
        <w:t>. Es sind Angaben zu jedem Erzeugnis zu machen, für das der ermäßigte Verbrauchsteuersatz gilt. Die portugiesischen Behörden haben in Tabelle 1 mindestens die nachstehenden Angaben zu machen, sofern diese verfügbar sind. Die Angaben in der Tabelle müssen ausreichen, um feststellen zu können, ob zusätzliche Kosten anfallen, welche die Kosten lokal hergestellter Erzeugnisse im Vergleich zu anderswo hergestellten Erzeugnissen erhöhen.</w:t>
      </w:r>
    </w:p>
    <w:p>
      <w:pPr>
        <w:rPr>
          <w:noProof/>
        </w:rPr>
      </w:pPr>
      <w:r>
        <w:rPr>
          <w:noProof/>
        </w:rPr>
        <w:t>Tabelle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638"/>
        <w:gridCol w:w="1494"/>
        <w:gridCol w:w="1533"/>
      </w:tblGrid>
      <w:tr>
        <w:tc>
          <w:tcPr>
            <w:tcW w:w="3939" w:type="dxa"/>
            <w:tcBorders>
              <w:top w:val="single" w:sz="4" w:space="0" w:color="auto"/>
              <w:left w:val="single" w:sz="4" w:space="0" w:color="auto"/>
              <w:bottom w:val="single" w:sz="4" w:space="0" w:color="auto"/>
              <w:right w:val="single" w:sz="4" w:space="0" w:color="auto"/>
            </w:tcBorders>
          </w:tcPr>
          <w:p>
            <w:pPr>
              <w:pStyle w:val="ListParagraph"/>
              <w:ind w:left="0"/>
              <w:rPr>
                <w:rFonts w:ascii="Times New Roman" w:hAnsi="Times New Roman" w:cs="Times New Roman"/>
                <w:noProof/>
              </w:rPr>
            </w:pPr>
          </w:p>
        </w:tc>
        <w:tc>
          <w:tcPr>
            <w:tcW w:w="1662"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MADEIRA (EUR)</w:t>
            </w:r>
          </w:p>
        </w:tc>
        <w:tc>
          <w:tcPr>
            <w:tcW w:w="1517"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AZOREN (EUR)</w:t>
            </w:r>
          </w:p>
        </w:tc>
        <w:tc>
          <w:tcPr>
            <w:tcW w:w="1353" w:type="dxa"/>
            <w:tcBorders>
              <w:top w:val="single" w:sz="4" w:space="0" w:color="auto"/>
              <w:left w:val="single" w:sz="4" w:space="0" w:color="auto"/>
              <w:bottom w:val="single" w:sz="4" w:space="0" w:color="auto"/>
              <w:right w:val="single" w:sz="4" w:space="0" w:color="auto"/>
            </w:tcBorders>
            <w:hideMark/>
          </w:tcPr>
          <w:p>
            <w:pPr>
              <w:pStyle w:val="ListParagraph"/>
              <w:ind w:left="0"/>
              <w:jc w:val="center"/>
              <w:rPr>
                <w:rFonts w:ascii="Times New Roman" w:hAnsi="Times New Roman" w:cs="Times New Roman"/>
                <w:noProof/>
              </w:rPr>
            </w:pPr>
            <w:r>
              <w:rPr>
                <w:rFonts w:ascii="Times New Roman" w:hAnsi="Times New Roman"/>
                <w:noProof/>
              </w:rPr>
              <w:t>Erläuterungen</w:t>
            </w:r>
            <w:r>
              <w:rPr>
                <w:rFonts w:ascii="Times New Roman" w:hAnsi="Times New Roman"/>
                <w:noProof/>
                <w:vertAlign w:val="superscript"/>
              </w:rPr>
              <w:t>2</w:t>
            </w: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Preis für Zuckerrohr (je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Preis für Passionsfrüchte (je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Preis für Limetten (je 100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Alkoholpreis (je hl r. A.</w:t>
            </w:r>
            <w:r>
              <w:rPr>
                <w:rFonts w:ascii="Times New Roman" w:hAnsi="Times New Roman"/>
                <w:noProof/>
                <w:vertAlign w:val="superscript"/>
              </w:rPr>
              <w:t>3</w:t>
            </w:r>
            <w:r>
              <w:rPr>
                <w:rFonts w:ascii="Times New Roman" w:hAnsi="Times New Roman"/>
                <w:noProof/>
              </w:rPr>
              <w:t xml:space="preserve"> – ohne Steuern)</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Frachtkosten (je kg)</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r>
        <w:tc>
          <w:tcPr>
            <w:tcW w:w="3939" w:type="dxa"/>
            <w:tcBorders>
              <w:top w:val="single" w:sz="4" w:space="0" w:color="auto"/>
              <w:left w:val="single" w:sz="4" w:space="0" w:color="auto"/>
              <w:bottom w:val="single" w:sz="4" w:space="0" w:color="auto"/>
              <w:right w:val="single" w:sz="4" w:space="0" w:color="auto"/>
            </w:tcBorders>
            <w:hideMark/>
          </w:tcPr>
          <w:p>
            <w:pPr>
              <w:pStyle w:val="ListParagraph"/>
              <w:ind w:left="0"/>
              <w:rPr>
                <w:rFonts w:ascii="Times New Roman" w:hAnsi="Times New Roman" w:cs="Times New Roman"/>
                <w:noProof/>
              </w:rPr>
            </w:pPr>
            <w:r>
              <w:rPr>
                <w:rFonts w:ascii="Times New Roman" w:hAnsi="Times New Roman"/>
                <w:noProof/>
              </w:rPr>
              <w:t>Sonstige Kosten</w:t>
            </w:r>
            <w:r>
              <w:rPr>
                <w:rFonts w:ascii="Times New Roman" w:hAnsi="Times New Roman"/>
                <w:iCs/>
                <w:noProof/>
                <w:sz w:val="18"/>
                <w:szCs w:val="18"/>
                <w:vertAlign w:val="superscript"/>
              </w:rPr>
              <w:t>1</w:t>
            </w:r>
            <w:r>
              <w:rPr>
                <w:rFonts w:ascii="Times New Roman" w:hAnsi="Times New Roman"/>
                <w:noProof/>
              </w:rPr>
              <w:t xml:space="preserve"> </w:t>
            </w:r>
          </w:p>
        </w:tc>
        <w:tc>
          <w:tcPr>
            <w:tcW w:w="1662"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517" w:type="dxa"/>
            <w:tcBorders>
              <w:top w:val="single" w:sz="4" w:space="0" w:color="auto"/>
              <w:left w:val="single" w:sz="4" w:space="0" w:color="auto"/>
              <w:bottom w:val="single" w:sz="4" w:space="0" w:color="auto"/>
              <w:right w:val="single" w:sz="4" w:space="0" w:color="auto"/>
            </w:tcBorders>
          </w:tcPr>
          <w:p>
            <w:pPr>
              <w:ind w:left="360"/>
              <w:jc w:val="center"/>
              <w:rPr>
                <w:noProof/>
              </w:rPr>
            </w:pPr>
          </w:p>
        </w:tc>
        <w:tc>
          <w:tcPr>
            <w:tcW w:w="1353" w:type="dxa"/>
            <w:tcBorders>
              <w:top w:val="single" w:sz="4" w:space="0" w:color="auto"/>
              <w:left w:val="single" w:sz="4" w:space="0" w:color="auto"/>
              <w:bottom w:val="single" w:sz="4" w:space="0" w:color="auto"/>
              <w:right w:val="single" w:sz="4" w:space="0" w:color="auto"/>
            </w:tcBorders>
          </w:tcPr>
          <w:p>
            <w:pPr>
              <w:ind w:left="360"/>
              <w:jc w:val="center"/>
              <w:rPr>
                <w:noProof/>
              </w:rPr>
            </w:pPr>
          </w:p>
        </w:tc>
      </w:tr>
    </w:tbl>
    <w:p>
      <w:pPr>
        <w:rPr>
          <w:iCs/>
          <w:noProof/>
          <w:sz w:val="18"/>
          <w:szCs w:val="18"/>
        </w:rPr>
      </w:pPr>
      <w:r>
        <w:rPr>
          <w:iCs/>
          <w:noProof/>
          <w:sz w:val="18"/>
          <w:szCs w:val="18"/>
        </w:rPr>
        <w:t>Erläuterungen zur Tabelle:</w:t>
      </w:r>
    </w:p>
    <w:p>
      <w:pPr>
        <w:rPr>
          <w:iCs/>
          <w:noProof/>
          <w:sz w:val="18"/>
          <w:szCs w:val="18"/>
        </w:rPr>
      </w:pPr>
      <w:r>
        <w:rPr>
          <w:iCs/>
          <w:noProof/>
          <w:sz w:val="18"/>
          <w:szCs w:val="18"/>
        </w:rPr>
        <w:t>1. Machen Sie Angaben zu den Kosten für Wasser, Energie und Abfallentsorgung, zu den Kosten im Fall mehrerer Betriebe und zu anderen relevanten Kosten.</w:t>
      </w:r>
    </w:p>
    <w:p>
      <w:pPr>
        <w:rPr>
          <w:iCs/>
          <w:noProof/>
          <w:sz w:val="18"/>
          <w:szCs w:val="18"/>
        </w:rPr>
      </w:pPr>
      <w:r>
        <w:rPr>
          <w:iCs/>
          <w:noProof/>
          <w:sz w:val="18"/>
          <w:szCs w:val="18"/>
        </w:rPr>
        <w:t>2. Machen Sie Angaben zu allen Spezifikationen und Klarstellungen, die den Berechnungsmethoden zugrunde liegen.</w:t>
      </w:r>
    </w:p>
    <w:p>
      <w:pPr>
        <w:rPr>
          <w:iCs/>
          <w:noProof/>
          <w:sz w:val="18"/>
          <w:szCs w:val="18"/>
        </w:rPr>
      </w:pPr>
      <w:r>
        <w:rPr>
          <w:iCs/>
          <w:noProof/>
          <w:sz w:val="18"/>
          <w:szCs w:val="18"/>
        </w:rPr>
        <w:t>3. Hektoliter reiner Alkohol.</w:t>
      </w:r>
    </w:p>
    <w:p>
      <w:pPr>
        <w:rPr>
          <w:noProof/>
          <w:szCs w:val="20"/>
        </w:rPr>
      </w:pPr>
    </w:p>
    <w:p>
      <w:pPr>
        <w:rPr>
          <w:noProof/>
        </w:rPr>
      </w:pPr>
    </w:p>
    <w:p>
      <w:pPr>
        <w:pStyle w:val="NumPar1"/>
        <w:rPr>
          <w:noProof/>
          <w:u w:val="single"/>
        </w:rPr>
      </w:pPr>
      <w:r>
        <w:rPr>
          <w:noProof/>
          <w:u w:val="single"/>
        </w:rPr>
        <w:t>Sonstige Zuschüsse</w:t>
      </w:r>
      <w:r>
        <w:rPr>
          <w:noProof/>
        </w:rPr>
        <w:t>. Die portugiesischen Behörden haben die Tabelle 2 für jede Region auszufüllen und alle sonstigen Beihilfen und Stützungsmaßnahmen anzugeben, mit denen die zusätzlichen Betriebskosten der Wirtschaftsteilnehmer im Zusammenhang mit dem Status der Regionen Madeira und Azoren als Gebiete in äußerster Randlage aufgefangen werden sollen.</w:t>
      </w:r>
    </w:p>
    <w:p>
      <w:pPr>
        <w:rPr>
          <w:noProof/>
        </w:rPr>
      </w:pPr>
      <w:r>
        <w:rPr>
          <w:noProof/>
        </w:rPr>
        <w:t>Tabelle 2.</w:t>
      </w: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270"/>
        <w:gridCol w:w="1336"/>
        <w:gridCol w:w="1843"/>
        <w:gridCol w:w="1290"/>
        <w:gridCol w:w="1903"/>
        <w:gridCol w:w="1710"/>
        <w:gridCol w:w="1764"/>
      </w:tblGrid>
      <w:tr>
        <w:tc>
          <w:tcPr>
            <w:tcW w:w="771"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Beihilfe/Stützungsmaßnahme</w:t>
            </w:r>
            <w:r>
              <w:rPr>
                <w:b/>
                <w:bCs/>
                <w:noProof/>
                <w:vertAlign w:val="superscript"/>
              </w:rPr>
              <w:t>1</w:t>
            </w:r>
          </w:p>
        </w:tc>
        <w:tc>
          <w:tcPr>
            <w:tcW w:w="487"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Zeitraum</w:t>
            </w:r>
            <w:r>
              <w:rPr>
                <w:b/>
                <w:bCs/>
                <w:noProof/>
                <w:vertAlign w:val="superscript"/>
              </w:rPr>
              <w:t>2</w:t>
            </w:r>
            <w:r>
              <w:rPr>
                <w:b/>
                <w:bCs/>
                <w:noProof/>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Zielsektor</w:t>
            </w:r>
            <w:r>
              <w:rPr>
                <w:b/>
                <w:bCs/>
                <w:i/>
                <w:iCs/>
                <w:noProof/>
                <w:vertAlign w:val="superscript"/>
              </w:rPr>
              <w:t>3</w:t>
            </w:r>
          </w:p>
        </w:tc>
        <w:tc>
          <w:tcPr>
            <w:tcW w:w="500"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Haushaltsmittel in EUR</w:t>
            </w:r>
            <w:r>
              <w:rPr>
                <w:b/>
                <w:bCs/>
                <w:i/>
                <w:iCs/>
                <w:noProof/>
                <w:vertAlign w:val="superscript"/>
              </w:rPr>
              <w:t>4</w:t>
            </w:r>
          </w:p>
        </w:tc>
        <w:tc>
          <w:tcPr>
            <w:tcW w:w="74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Jährliche Ausgaben, in EUR (2019-2024)</w:t>
            </w:r>
            <w:r>
              <w:rPr>
                <w:b/>
                <w:bCs/>
                <w:i/>
                <w:iCs/>
                <w:noProof/>
                <w:vertAlign w:val="superscript"/>
              </w:rPr>
              <w:t>5</w:t>
            </w:r>
          </w:p>
        </w:tc>
        <w:tc>
          <w:tcPr>
            <w:tcW w:w="852"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Anteil der Haushaltsmittel, der auf den Ausgleich der Mehrkosten entfällt</w:t>
            </w:r>
            <w:r>
              <w:rPr>
                <w:b/>
                <w:bCs/>
                <w:i/>
                <w:iCs/>
                <w:noProof/>
                <w:vertAlign w:val="superscript"/>
              </w:rPr>
              <w:t>6</w:t>
            </w:r>
            <w:r>
              <w:rPr>
                <w:b/>
                <w:bCs/>
                <w:noProof/>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noProof/>
              </w:rPr>
              <w:t>Geschätzte Zahl der begünstigten Unternehmen</w:t>
            </w:r>
            <w:r>
              <w:rPr>
                <w:b/>
                <w:bCs/>
                <w:i/>
                <w:iCs/>
                <w:noProof/>
                <w:vertAlign w:val="superscript"/>
              </w:rPr>
              <w:t>7</w:t>
            </w:r>
            <w:r>
              <w:rPr>
                <w:b/>
                <w:bCs/>
                <w:noProof/>
              </w:rPr>
              <w:t xml:space="preserve"> </w:t>
            </w:r>
          </w:p>
        </w:tc>
        <w:tc>
          <w:tcPr>
            <w:tcW w:w="507" w:type="pct"/>
            <w:tcBorders>
              <w:top w:val="single" w:sz="4" w:space="0" w:color="auto"/>
              <w:left w:val="single" w:sz="4" w:space="0" w:color="auto"/>
              <w:bottom w:val="single" w:sz="4" w:space="0" w:color="auto"/>
              <w:right w:val="single" w:sz="4" w:space="0" w:color="auto"/>
            </w:tcBorders>
            <w:shd w:val="clear" w:color="auto" w:fill="E7E6E6"/>
            <w:vAlign w:val="center"/>
            <w:hideMark/>
          </w:tcPr>
          <w:p>
            <w:pPr>
              <w:rPr>
                <w:b/>
                <w:bCs/>
                <w:noProof/>
              </w:rPr>
            </w:pPr>
            <w:r>
              <w:rPr>
                <w:b/>
                <w:bCs/>
                <w:i/>
                <w:iCs/>
                <w:noProof/>
              </w:rPr>
              <w:t>Erläuterungen</w:t>
            </w:r>
            <w:r>
              <w:rPr>
                <w:b/>
                <w:bCs/>
                <w:i/>
                <w:iCs/>
                <w:noProof/>
                <w:vertAlign w:val="superscript"/>
              </w:rPr>
              <w:t>8</w:t>
            </w:r>
          </w:p>
        </w:tc>
      </w:tr>
      <w:tr>
        <w:tc>
          <w:tcPr>
            <w:tcW w:w="771" w:type="pct"/>
            <w:tcBorders>
              <w:top w:val="single" w:sz="4" w:space="0" w:color="auto"/>
              <w:left w:val="single" w:sz="4" w:space="0" w:color="auto"/>
              <w:bottom w:val="single" w:sz="4" w:space="0" w:color="auto"/>
              <w:right w:val="single" w:sz="4" w:space="0" w:color="auto"/>
            </w:tcBorders>
            <w:hideMark/>
          </w:tcPr>
          <w:p>
            <w:pPr>
              <w:rPr>
                <w:i/>
                <w:iCs/>
                <w:noProof/>
              </w:rPr>
            </w:pPr>
            <w:r>
              <w:rPr>
                <w:i/>
                <w:iCs/>
                <w:noProof/>
              </w:rPr>
              <w:t>[Liste]</w:t>
            </w:r>
          </w:p>
        </w:tc>
        <w:tc>
          <w:tcPr>
            <w:tcW w:w="487" w:type="pct"/>
            <w:tcBorders>
              <w:top w:val="single" w:sz="4" w:space="0" w:color="auto"/>
              <w:left w:val="single" w:sz="4" w:space="0" w:color="auto"/>
              <w:bottom w:val="single" w:sz="4" w:space="0" w:color="auto"/>
              <w:right w:val="single" w:sz="4" w:space="0" w:color="auto"/>
            </w:tcBorders>
          </w:tcPr>
          <w:p>
            <w:pPr>
              <w:rPr>
                <w:noProof/>
              </w:rPr>
            </w:pPr>
          </w:p>
        </w:tc>
        <w:tc>
          <w:tcPr>
            <w:tcW w:w="454" w:type="pct"/>
            <w:tcBorders>
              <w:top w:val="single" w:sz="4" w:space="0" w:color="auto"/>
              <w:left w:val="single" w:sz="4" w:space="0" w:color="auto"/>
              <w:bottom w:val="single" w:sz="4" w:space="0" w:color="auto"/>
              <w:right w:val="single" w:sz="4" w:space="0" w:color="auto"/>
            </w:tcBorders>
          </w:tcPr>
          <w:p>
            <w:pPr>
              <w:rPr>
                <w:noProof/>
              </w:rPr>
            </w:pPr>
          </w:p>
        </w:tc>
        <w:tc>
          <w:tcPr>
            <w:tcW w:w="500" w:type="pct"/>
            <w:tcBorders>
              <w:top w:val="single" w:sz="4" w:space="0" w:color="auto"/>
              <w:left w:val="single" w:sz="4" w:space="0" w:color="auto"/>
              <w:bottom w:val="single" w:sz="4" w:space="0" w:color="auto"/>
              <w:right w:val="single" w:sz="4" w:space="0" w:color="auto"/>
            </w:tcBorders>
          </w:tcPr>
          <w:p>
            <w:pPr>
              <w:rPr>
                <w:noProof/>
              </w:rPr>
            </w:pPr>
          </w:p>
        </w:tc>
        <w:tc>
          <w:tcPr>
            <w:tcW w:w="749" w:type="pct"/>
            <w:tcBorders>
              <w:top w:val="single" w:sz="4" w:space="0" w:color="auto"/>
              <w:left w:val="single" w:sz="4" w:space="0" w:color="auto"/>
              <w:bottom w:val="single" w:sz="4" w:space="0" w:color="auto"/>
              <w:right w:val="single" w:sz="4" w:space="0" w:color="auto"/>
            </w:tcBorders>
          </w:tcPr>
          <w:p>
            <w:pPr>
              <w:rPr>
                <w:noProof/>
              </w:rPr>
            </w:pPr>
          </w:p>
        </w:tc>
        <w:tc>
          <w:tcPr>
            <w:tcW w:w="852" w:type="pct"/>
            <w:tcBorders>
              <w:top w:val="single" w:sz="4" w:space="0" w:color="auto"/>
              <w:left w:val="single" w:sz="4" w:space="0" w:color="auto"/>
              <w:bottom w:val="single" w:sz="4" w:space="0" w:color="auto"/>
              <w:right w:val="single" w:sz="4" w:space="0" w:color="auto"/>
            </w:tcBorders>
          </w:tcPr>
          <w:p>
            <w:pPr>
              <w:rPr>
                <w:noProof/>
              </w:rPr>
            </w:pPr>
          </w:p>
        </w:tc>
        <w:tc>
          <w:tcPr>
            <w:tcW w:w="679" w:type="pct"/>
            <w:tcBorders>
              <w:top w:val="single" w:sz="4" w:space="0" w:color="auto"/>
              <w:left w:val="single" w:sz="4" w:space="0" w:color="auto"/>
              <w:bottom w:val="single" w:sz="4" w:space="0" w:color="auto"/>
              <w:right w:val="single" w:sz="4" w:space="0" w:color="auto"/>
            </w:tcBorders>
          </w:tcPr>
          <w:p>
            <w:pPr>
              <w:rPr>
                <w:noProof/>
              </w:rPr>
            </w:pPr>
          </w:p>
        </w:tc>
        <w:tc>
          <w:tcPr>
            <w:tcW w:w="507"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Erläuterungen zur Tabelle</w:t>
      </w:r>
      <w:r>
        <w:rPr>
          <w:iCs/>
          <w:noProof/>
          <w:sz w:val="18"/>
          <w:szCs w:val="18"/>
        </w:rPr>
        <w:t xml:space="preserve">: </w:t>
      </w:r>
    </w:p>
    <w:p>
      <w:pPr>
        <w:pStyle w:val="Point0number"/>
        <w:numPr>
          <w:ilvl w:val="0"/>
          <w:numId w:val="11"/>
        </w:numPr>
        <w:rPr>
          <w:noProof/>
          <w:sz w:val="18"/>
          <w:szCs w:val="18"/>
        </w:rPr>
      </w:pPr>
      <w:r>
        <w:rPr>
          <w:noProof/>
          <w:sz w:val="18"/>
          <w:szCs w:val="18"/>
        </w:rPr>
        <w:t xml:space="preserve">Geben Sie Bezeichnung und Art der Maßnahme an. </w:t>
      </w:r>
    </w:p>
    <w:p>
      <w:pPr>
        <w:pStyle w:val="Point0number"/>
        <w:rPr>
          <w:noProof/>
          <w:sz w:val="18"/>
          <w:szCs w:val="18"/>
        </w:rPr>
      </w:pPr>
      <w:r>
        <w:rPr>
          <w:noProof/>
          <w:sz w:val="18"/>
          <w:szCs w:val="18"/>
        </w:rPr>
        <w:t xml:space="preserve">Machen Sie Angaben dazu, auf welche Jahre sich die Maßnahme erstreckt. </w:t>
      </w:r>
    </w:p>
    <w:p>
      <w:pPr>
        <w:pStyle w:val="Point0number"/>
        <w:rPr>
          <w:noProof/>
          <w:sz w:val="18"/>
          <w:szCs w:val="18"/>
        </w:rPr>
      </w:pPr>
      <w:r>
        <w:rPr>
          <w:noProof/>
          <w:sz w:val="18"/>
          <w:szCs w:val="18"/>
        </w:rPr>
        <w:t xml:space="preserve">Machen Sie nur Angaben zu sektorbezogenen Maßnahmen. </w:t>
      </w:r>
    </w:p>
    <w:p>
      <w:pPr>
        <w:pStyle w:val="Point0number"/>
        <w:rPr>
          <w:noProof/>
          <w:sz w:val="18"/>
          <w:szCs w:val="18"/>
        </w:rPr>
      </w:pPr>
      <w:r>
        <w:rPr>
          <w:noProof/>
          <w:sz w:val="18"/>
          <w:szCs w:val="18"/>
        </w:rPr>
        <w:t>Machen Sie Angaben zum Gesamtbudget für die Maßnahme und zu den Finanzierungsquellen.</w:t>
      </w:r>
    </w:p>
    <w:p>
      <w:pPr>
        <w:pStyle w:val="Point0number"/>
        <w:rPr>
          <w:noProof/>
          <w:sz w:val="18"/>
          <w:szCs w:val="18"/>
        </w:rPr>
      </w:pPr>
      <w:r>
        <w:rPr>
          <w:noProof/>
          <w:sz w:val="18"/>
          <w:szCs w:val="18"/>
        </w:rPr>
        <w:t>Machen Sie Angaben zu den tatsächlichen Ausgaben für jedes Jahr im Überwachungszeitraum (2019-2024), sofern verfügbar.</w:t>
      </w:r>
    </w:p>
    <w:p>
      <w:pPr>
        <w:pStyle w:val="Point0number"/>
        <w:rPr>
          <w:noProof/>
          <w:sz w:val="18"/>
          <w:szCs w:val="18"/>
        </w:rPr>
      </w:pPr>
      <w:r>
        <w:rPr>
          <w:noProof/>
          <w:sz w:val="18"/>
          <w:szCs w:val="18"/>
        </w:rPr>
        <w:t>Geben Sie eine ungefähre Schätzung (in %) des Gesamtbudgets an.</w:t>
      </w:r>
    </w:p>
    <w:p>
      <w:pPr>
        <w:pStyle w:val="Point0number"/>
        <w:rPr>
          <w:noProof/>
          <w:sz w:val="18"/>
          <w:szCs w:val="18"/>
        </w:rPr>
      </w:pPr>
      <w:r>
        <w:rPr>
          <w:noProof/>
          <w:sz w:val="18"/>
          <w:szCs w:val="18"/>
        </w:rPr>
        <w:t xml:space="preserve">Geben Sie, soweit möglich, eine ungefähre Schätzung an. </w:t>
      </w:r>
    </w:p>
    <w:p>
      <w:pPr>
        <w:pStyle w:val="Point0number"/>
        <w:rPr>
          <w:noProof/>
          <w:sz w:val="18"/>
          <w:szCs w:val="18"/>
        </w:rPr>
      </w:pPr>
      <w:r>
        <w:rPr>
          <w:noProof/>
          <w:sz w:val="18"/>
          <w:szCs w:val="18"/>
        </w:rPr>
        <w:t xml:space="preserve">Etwaige Anmerkungen und Klarstellungen. </w:t>
      </w:r>
    </w:p>
    <w:p>
      <w:pPr>
        <w:rPr>
          <w:noProof/>
          <w:szCs w:val="20"/>
          <w:u w:val="single"/>
        </w:rPr>
      </w:pPr>
    </w:p>
    <w:p>
      <w:pPr>
        <w:pStyle w:val="NumPar1"/>
        <w:rPr>
          <w:noProof/>
          <w:u w:val="single"/>
        </w:rPr>
      </w:pPr>
      <w:r>
        <w:rPr>
          <w:noProof/>
          <w:u w:val="single"/>
        </w:rPr>
        <w:t>Auswirkungen auf den öffentlichen Haushalt</w:t>
      </w:r>
      <w:r>
        <w:rPr>
          <w:noProof/>
        </w:rPr>
        <w:t>. Die portugiesischen Behörden haben in Tabelle 3 den geschätzten Gesamtbetrag (in EUR) der infolge der angewandten unterschiedlichen Besteuerung nicht erhobenen Steuer anzugeben.</w:t>
      </w:r>
    </w:p>
    <w:p>
      <w:pPr>
        <w:rPr>
          <w:noProof/>
        </w:rPr>
      </w:pPr>
      <w:r>
        <w:rPr>
          <w:noProof/>
        </w:rPr>
        <w:t>Tabelle 3.</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9"/>
        <w:gridCol w:w="850"/>
        <w:gridCol w:w="851"/>
        <w:gridCol w:w="709"/>
        <w:gridCol w:w="708"/>
        <w:gridCol w:w="851"/>
      </w:tblGrid>
      <w:tr>
        <w:tc>
          <w:tcPr>
            <w:tcW w:w="2268"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2019</w:t>
            </w:r>
          </w:p>
        </w:tc>
        <w:tc>
          <w:tcPr>
            <w:tcW w:w="850"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2020</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2021</w:t>
            </w:r>
          </w:p>
        </w:tc>
        <w:tc>
          <w:tcPr>
            <w:tcW w:w="70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2022</w:t>
            </w:r>
          </w:p>
        </w:tc>
        <w:tc>
          <w:tcPr>
            <w:tcW w:w="708"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2023</w:t>
            </w:r>
          </w:p>
        </w:tc>
        <w:tc>
          <w:tcPr>
            <w:tcW w:w="851"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2024</w:t>
            </w:r>
          </w:p>
        </w:tc>
      </w:tr>
      <w:tr>
        <w:tc>
          <w:tcPr>
            <w:tcW w:w="2268" w:type="dxa"/>
            <w:tcBorders>
              <w:top w:val="single" w:sz="4" w:space="0" w:color="auto"/>
              <w:left w:val="single" w:sz="4" w:space="0" w:color="auto"/>
              <w:bottom w:val="single" w:sz="4" w:space="0" w:color="auto"/>
              <w:right w:val="single" w:sz="4" w:space="0" w:color="auto"/>
            </w:tcBorders>
            <w:hideMark/>
          </w:tcPr>
          <w:p>
            <w:pPr>
              <w:rPr>
                <w:noProof/>
              </w:rPr>
            </w:pPr>
            <w:r>
              <w:rPr>
                <w:noProof/>
              </w:rPr>
              <w:t>Entgangene Steuereinnahmen</w:t>
            </w: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850"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c>
          <w:tcPr>
            <w:tcW w:w="709" w:type="dxa"/>
            <w:tcBorders>
              <w:top w:val="single" w:sz="4" w:space="0" w:color="auto"/>
              <w:left w:val="single" w:sz="4" w:space="0" w:color="auto"/>
              <w:bottom w:val="single" w:sz="4" w:space="0" w:color="auto"/>
              <w:right w:val="single" w:sz="4" w:space="0" w:color="auto"/>
            </w:tcBorders>
          </w:tcPr>
          <w:p>
            <w:pPr>
              <w:rPr>
                <w:noProof/>
              </w:rPr>
            </w:pPr>
          </w:p>
        </w:tc>
        <w:tc>
          <w:tcPr>
            <w:tcW w:w="708" w:type="dxa"/>
            <w:tcBorders>
              <w:top w:val="single" w:sz="4" w:space="0" w:color="auto"/>
              <w:left w:val="single" w:sz="4" w:space="0" w:color="auto"/>
              <w:bottom w:val="single" w:sz="4" w:space="0" w:color="auto"/>
              <w:right w:val="single" w:sz="4" w:space="0" w:color="auto"/>
            </w:tcBorders>
          </w:tcPr>
          <w:p>
            <w:pPr>
              <w:rPr>
                <w:noProof/>
              </w:rPr>
            </w:pPr>
          </w:p>
        </w:tc>
        <w:tc>
          <w:tcPr>
            <w:tcW w:w="851" w:type="dxa"/>
            <w:tcBorders>
              <w:top w:val="single" w:sz="4" w:space="0" w:color="auto"/>
              <w:left w:val="single" w:sz="4" w:space="0" w:color="auto"/>
              <w:bottom w:val="single" w:sz="4" w:space="0" w:color="auto"/>
              <w:right w:val="single" w:sz="4" w:space="0" w:color="auto"/>
            </w:tcBorders>
          </w:tcPr>
          <w:p>
            <w:pPr>
              <w:rPr>
                <w:noProof/>
              </w:rPr>
            </w:pPr>
          </w:p>
        </w:tc>
      </w:tr>
    </w:tbl>
    <w:p>
      <w:pPr>
        <w:rPr>
          <w:noProof/>
          <w:szCs w:val="20"/>
          <w:u w:val="single"/>
        </w:rPr>
      </w:pPr>
    </w:p>
    <w:p>
      <w:pPr>
        <w:pStyle w:val="NumPar1"/>
        <w:rPr>
          <w:noProof/>
        </w:rPr>
      </w:pPr>
      <w:r>
        <w:rPr>
          <w:noProof/>
          <w:u w:val="single"/>
        </w:rPr>
        <w:t>Auswirkungen auf die wirtschaftliche Gesamtleistung</w:t>
      </w:r>
      <w:r>
        <w:rPr>
          <w:noProof/>
        </w:rPr>
        <w:t>. Die portugiesischen Behörden haben die Tabelle 4 für jede Region auszufüllen und alle Informationen anzugeben, welche die Auswirkungen der ermäßigten Verbrauchsteuern auf die sozioökonomische Entwicklung der Regionen belegen. Die in der Tabelle geforderten Indikatoren beziehen sich auf die Leistung des unterstützten Sektors im Vergleich zur Gesamtleistung der Wirtschaft Madeiras und der Wirtschaft der Azoren. Sollten einige Indikatoren nicht verfügbar sein, sind alternative Berichtsdaten zu den Auswirkungen auf die wirtschaftliche Gesamtleistung aufzunehmen, die eine Analyse der sozioökonomischen Auswirkungen ermöglichen.</w:t>
      </w:r>
    </w:p>
    <w:p>
      <w:pPr>
        <w:rPr>
          <w:noProof/>
        </w:rPr>
      </w:pPr>
      <w:r>
        <w:rPr>
          <w:noProof/>
        </w:rPr>
        <w:t>Tabelle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770"/>
        <w:gridCol w:w="770"/>
        <w:gridCol w:w="771"/>
        <w:gridCol w:w="771"/>
        <w:gridCol w:w="771"/>
        <w:gridCol w:w="771"/>
        <w:gridCol w:w="1764"/>
      </w:tblGrid>
      <w:tr>
        <w:tc>
          <w:tcPr>
            <w:tcW w:w="1617" w:type="pct"/>
            <w:tcBorders>
              <w:top w:val="single" w:sz="4" w:space="0" w:color="auto"/>
              <w:left w:val="single" w:sz="4" w:space="0" w:color="auto"/>
              <w:bottom w:val="single" w:sz="4" w:space="0" w:color="auto"/>
              <w:right w:val="single" w:sz="4" w:space="0" w:color="auto"/>
            </w:tcBorders>
            <w:shd w:val="clear" w:color="auto" w:fill="E7E6E6"/>
            <w:hideMark/>
          </w:tcPr>
          <w:p>
            <w:pPr>
              <w:jc w:val="right"/>
              <w:rPr>
                <w:b/>
                <w:bCs/>
                <w:noProof/>
              </w:rPr>
            </w:pPr>
            <w:r>
              <w:rPr>
                <w:b/>
                <w:bCs/>
                <w:noProof/>
              </w:rPr>
              <w:t>Jahr</w:t>
            </w:r>
            <w:r>
              <w:rPr>
                <w:b/>
                <w:bCs/>
                <w:noProof/>
                <w:vertAlign w:val="superscript"/>
              </w:rPr>
              <w:t>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2019</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2020</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2021</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2022</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2023</w:t>
            </w:r>
          </w:p>
        </w:tc>
        <w:tc>
          <w:tcPr>
            <w:tcW w:w="470"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b/>
                <w:bCs/>
                <w:noProof/>
              </w:rPr>
            </w:pPr>
            <w:r>
              <w:rPr>
                <w:b/>
                <w:bCs/>
                <w:noProof/>
              </w:rPr>
              <w:t>2024</w:t>
            </w:r>
          </w:p>
        </w:tc>
        <w:tc>
          <w:tcPr>
            <w:tcW w:w="562" w:type="pct"/>
            <w:tcBorders>
              <w:top w:val="single" w:sz="4" w:space="0" w:color="auto"/>
              <w:left w:val="single" w:sz="4" w:space="0" w:color="auto"/>
              <w:bottom w:val="single" w:sz="4" w:space="0" w:color="auto"/>
              <w:right w:val="single" w:sz="4" w:space="0" w:color="auto"/>
            </w:tcBorders>
            <w:shd w:val="clear" w:color="auto" w:fill="E7E6E6"/>
            <w:hideMark/>
          </w:tcPr>
          <w:p>
            <w:pPr>
              <w:jc w:val="center"/>
              <w:rPr>
                <w:noProof/>
              </w:rPr>
            </w:pPr>
            <w:r>
              <w:rPr>
                <w:b/>
                <w:bCs/>
                <w:i/>
                <w:iCs/>
                <w:noProof/>
              </w:rPr>
              <w:t>Erläuterungen</w:t>
            </w:r>
            <w:r>
              <w:rPr>
                <w:b/>
                <w:bCs/>
                <w:i/>
                <w:iCs/>
                <w:noProof/>
                <w:vertAlign w:val="superscript"/>
              </w:rPr>
              <w:t>3</w:t>
            </w: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Regionale Bruttowertschöpfung </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Im unterstützten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470" w:type="pct"/>
            <w:tcBorders>
              <w:top w:val="single" w:sz="4" w:space="0" w:color="auto"/>
              <w:left w:val="single" w:sz="4" w:space="0" w:color="auto"/>
              <w:bottom w:val="single" w:sz="4" w:space="0" w:color="auto"/>
              <w:right w:val="single" w:sz="4" w:space="0" w:color="auto"/>
            </w:tcBorders>
          </w:tcPr>
          <w:p>
            <w:pPr>
              <w:jc w:val="center"/>
              <w:rPr>
                <w:noProof/>
              </w:rPr>
            </w:pPr>
          </w:p>
        </w:tc>
        <w:tc>
          <w:tcPr>
            <w:tcW w:w="562" w:type="pct"/>
            <w:tcBorders>
              <w:top w:val="single" w:sz="4" w:space="0" w:color="auto"/>
              <w:left w:val="single" w:sz="4" w:space="0" w:color="auto"/>
              <w:bottom w:val="single" w:sz="4" w:space="0" w:color="auto"/>
              <w:right w:val="single" w:sz="4" w:space="0" w:color="auto"/>
            </w:tcBorders>
          </w:tcPr>
          <w:p>
            <w:pPr>
              <w:jc w:val="cente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Gesamtbeschäftigung in der Region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i/>
                <w:iCs/>
                <w:noProof/>
              </w:rPr>
            </w:pPr>
            <w:r>
              <w:rPr>
                <w:rFonts w:ascii="Times New Roman" w:hAnsi="Times New Roman"/>
                <w:i/>
                <w:iCs/>
                <w:noProof/>
              </w:rPr>
              <w:t>Im unterstützten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Anzahl der aktiven Erzeuger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pStyle w:val="ListParagraph"/>
              <w:numPr>
                <w:ilvl w:val="0"/>
                <w:numId w:val="1"/>
              </w:numPr>
              <w:rPr>
                <w:rFonts w:ascii="Times New Roman" w:hAnsi="Times New Roman" w:cs="Times New Roman"/>
                <w:noProof/>
              </w:rPr>
            </w:pPr>
            <w:r>
              <w:rPr>
                <w:rFonts w:ascii="Times New Roman" w:hAnsi="Times New Roman"/>
                <w:i/>
                <w:iCs/>
                <w:noProof/>
              </w:rPr>
              <w:t>Im unterstützten Sektor</w:t>
            </w:r>
            <w:r>
              <w:rPr>
                <w:rFonts w:ascii="Times New Roman" w:hAnsi="Times New Roman"/>
                <w:i/>
                <w:iCs/>
                <w:noProof/>
                <w:vertAlign w:val="superscript"/>
              </w:rPr>
              <w:t>1</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Preisniveauindex – portugiesisches Festland</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 xml:space="preserve">Preisniveauindex der Region </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r>
        <w:tc>
          <w:tcPr>
            <w:tcW w:w="1617" w:type="pct"/>
            <w:tcBorders>
              <w:top w:val="single" w:sz="4" w:space="0" w:color="auto"/>
              <w:left w:val="single" w:sz="4" w:space="0" w:color="auto"/>
              <w:bottom w:val="single" w:sz="4" w:space="0" w:color="auto"/>
              <w:right w:val="single" w:sz="4" w:space="0" w:color="auto"/>
            </w:tcBorders>
            <w:hideMark/>
          </w:tcPr>
          <w:p>
            <w:pPr>
              <w:rPr>
                <w:noProof/>
              </w:rPr>
            </w:pPr>
            <w:r>
              <w:rPr>
                <w:noProof/>
              </w:rPr>
              <w:t>Anzahl der Touristen in der Region</w:t>
            </w: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470" w:type="pct"/>
            <w:tcBorders>
              <w:top w:val="single" w:sz="4" w:space="0" w:color="auto"/>
              <w:left w:val="single" w:sz="4" w:space="0" w:color="auto"/>
              <w:bottom w:val="single" w:sz="4" w:space="0" w:color="auto"/>
              <w:right w:val="single" w:sz="4" w:space="0" w:color="auto"/>
            </w:tcBorders>
          </w:tcPr>
          <w:p>
            <w:pPr>
              <w:rPr>
                <w:noProof/>
              </w:rPr>
            </w:pPr>
          </w:p>
        </w:tc>
        <w:tc>
          <w:tcPr>
            <w:tcW w:w="562" w:type="pct"/>
            <w:tcBorders>
              <w:top w:val="single" w:sz="4" w:space="0" w:color="auto"/>
              <w:left w:val="single" w:sz="4" w:space="0" w:color="auto"/>
              <w:bottom w:val="single" w:sz="4" w:space="0" w:color="auto"/>
              <w:right w:val="single" w:sz="4" w:space="0" w:color="auto"/>
            </w:tcBorders>
          </w:tcPr>
          <w:p>
            <w:pPr>
              <w:rPr>
                <w:noProof/>
              </w:rPr>
            </w:pPr>
          </w:p>
        </w:tc>
      </w:tr>
    </w:tbl>
    <w:p>
      <w:pPr>
        <w:rPr>
          <w:iCs/>
          <w:noProof/>
          <w:sz w:val="18"/>
          <w:szCs w:val="18"/>
        </w:rPr>
      </w:pPr>
      <w:r>
        <w:rPr>
          <w:bCs/>
          <w:iCs/>
          <w:noProof/>
          <w:sz w:val="18"/>
          <w:szCs w:val="18"/>
        </w:rPr>
        <w:t>Erläuterungen zur Tabelle</w:t>
      </w:r>
      <w:r>
        <w:rPr>
          <w:iCs/>
          <w:noProof/>
          <w:sz w:val="18"/>
          <w:szCs w:val="18"/>
        </w:rPr>
        <w:t xml:space="preserve">: </w:t>
      </w:r>
    </w:p>
    <w:p>
      <w:pPr>
        <w:pStyle w:val="Point0number"/>
        <w:rPr>
          <w:noProof/>
          <w:sz w:val="18"/>
          <w:szCs w:val="18"/>
        </w:rPr>
      </w:pPr>
      <w:r>
        <w:rPr>
          <w:noProof/>
          <w:sz w:val="18"/>
          <w:szCs w:val="18"/>
        </w:rPr>
        <w:t xml:space="preserve">Machen Sie Angaben zu den Erzeugern von Rum-, Likör- und Branntweinerzeugnissen.    </w:t>
      </w:r>
    </w:p>
    <w:p>
      <w:pPr>
        <w:pStyle w:val="Point0number"/>
        <w:rPr>
          <w:noProof/>
          <w:sz w:val="18"/>
          <w:szCs w:val="18"/>
        </w:rPr>
      </w:pPr>
      <w:r>
        <w:rPr>
          <w:noProof/>
          <w:sz w:val="18"/>
          <w:szCs w:val="18"/>
        </w:rPr>
        <w:t>Die Informationen liegen möglicherweise nicht für alle aufgeführten Jahre vor.</w:t>
      </w:r>
    </w:p>
    <w:p>
      <w:pPr>
        <w:pStyle w:val="Point0number"/>
        <w:rPr>
          <w:noProof/>
          <w:sz w:val="18"/>
          <w:szCs w:val="18"/>
        </w:rPr>
      </w:pPr>
      <w:r>
        <w:rPr>
          <w:noProof/>
          <w:sz w:val="18"/>
          <w:szCs w:val="18"/>
        </w:rPr>
        <w:t>Fügen Sie, soweit relevant, Anmerkungen und Klarstellungen hinzu.</w:t>
      </w:r>
    </w:p>
    <w:p>
      <w:pPr>
        <w:pStyle w:val="ListParagraph"/>
        <w:rPr>
          <w:rFonts w:ascii="Times New Roman" w:hAnsi="Times New Roman" w:cs="Times New Roman"/>
          <w:noProof/>
        </w:rPr>
      </w:pPr>
    </w:p>
    <w:p>
      <w:pPr>
        <w:pStyle w:val="NumPar1"/>
        <w:rPr>
          <w:noProof/>
        </w:rPr>
      </w:pPr>
      <w:r>
        <w:rPr>
          <w:noProof/>
          <w:u w:val="single"/>
        </w:rPr>
        <w:t>Spezifikationen der Regelung</w:t>
      </w:r>
      <w:r>
        <w:rPr>
          <w:noProof/>
        </w:rPr>
        <w:t xml:space="preserve">. Die portugiesischen Behörden haben die Tabelle 5 für jedes Erzeugnis und für beide Regionen, Madeira und die Azoren, auszufüllen. </w:t>
      </w:r>
    </w:p>
    <w:p>
      <w:pPr>
        <w:rPr>
          <w:noProof/>
        </w:rPr>
      </w:pPr>
      <w:r>
        <w:rPr>
          <w:noProof/>
        </w:rPr>
        <w:t>Tabelle 5.</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696"/>
        <w:gridCol w:w="696"/>
        <w:gridCol w:w="707"/>
        <w:gridCol w:w="707"/>
        <w:gridCol w:w="707"/>
        <w:gridCol w:w="706"/>
      </w:tblGrid>
      <w:tr>
        <w:tc>
          <w:tcPr>
            <w:tcW w:w="4569" w:type="dxa"/>
            <w:tcBorders>
              <w:top w:val="single" w:sz="4" w:space="0" w:color="auto"/>
              <w:left w:val="single" w:sz="4" w:space="0" w:color="auto"/>
              <w:bottom w:val="single" w:sz="4" w:space="0" w:color="auto"/>
              <w:right w:val="single" w:sz="4" w:space="0" w:color="auto"/>
            </w:tcBorders>
            <w:hideMark/>
          </w:tcPr>
          <w:p>
            <w:pPr>
              <w:jc w:val="center"/>
              <w:rPr>
                <w:noProof/>
              </w:rPr>
            </w:pPr>
            <w:r>
              <w:rPr>
                <w:noProof/>
              </w:rPr>
              <w:t>Menge (in hl r. A.</w:t>
            </w:r>
            <w:r>
              <w:rPr>
                <w:noProof/>
                <w:vertAlign w:val="superscript"/>
              </w:rPr>
              <w:t>1</w:t>
            </w:r>
            <w:r>
              <w:rPr>
                <w:noProof/>
              </w:rPr>
              <w:t>)</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2019</w:t>
            </w:r>
          </w:p>
        </w:tc>
        <w:tc>
          <w:tcPr>
            <w:tcW w:w="696" w:type="dxa"/>
            <w:tcBorders>
              <w:top w:val="single" w:sz="4" w:space="0" w:color="auto"/>
              <w:left w:val="single" w:sz="4" w:space="0" w:color="auto"/>
              <w:bottom w:val="single" w:sz="4" w:space="0" w:color="auto"/>
              <w:right w:val="single" w:sz="4" w:space="0" w:color="auto"/>
            </w:tcBorders>
            <w:hideMark/>
          </w:tcPr>
          <w:p>
            <w:pPr>
              <w:rPr>
                <w:noProof/>
              </w:rPr>
            </w:pPr>
            <w:r>
              <w:rPr>
                <w:noProof/>
              </w:rPr>
              <w:t>2020</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2021</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2022</w:t>
            </w:r>
          </w:p>
        </w:tc>
        <w:tc>
          <w:tcPr>
            <w:tcW w:w="707" w:type="dxa"/>
            <w:tcBorders>
              <w:top w:val="single" w:sz="4" w:space="0" w:color="auto"/>
              <w:left w:val="single" w:sz="4" w:space="0" w:color="auto"/>
              <w:bottom w:val="single" w:sz="4" w:space="0" w:color="auto"/>
              <w:right w:val="single" w:sz="4" w:space="0" w:color="auto"/>
            </w:tcBorders>
            <w:hideMark/>
          </w:tcPr>
          <w:p>
            <w:pPr>
              <w:rPr>
                <w:noProof/>
              </w:rPr>
            </w:pPr>
            <w:r>
              <w:rPr>
                <w:noProof/>
              </w:rPr>
              <w:t>2023</w:t>
            </w:r>
          </w:p>
        </w:tc>
        <w:tc>
          <w:tcPr>
            <w:tcW w:w="706" w:type="dxa"/>
            <w:tcBorders>
              <w:top w:val="single" w:sz="4" w:space="0" w:color="auto"/>
              <w:left w:val="single" w:sz="4" w:space="0" w:color="auto"/>
              <w:bottom w:val="single" w:sz="4" w:space="0" w:color="auto"/>
              <w:right w:val="single" w:sz="4" w:space="0" w:color="auto"/>
            </w:tcBorders>
            <w:hideMark/>
          </w:tcPr>
          <w:p>
            <w:pPr>
              <w:rPr>
                <w:noProof/>
              </w:rPr>
            </w:pPr>
            <w:r>
              <w:rPr>
                <w:noProof/>
              </w:rPr>
              <w:t>2024</w:t>
            </w: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Likörproduktion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Branntweinproduktion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Rumproduktion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Auf das portugiesische Festland versandte Likörerzeugnisse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andere Mitgliedstaaten versandte Likörerzeugnisse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Drittländer ausgeführte Likörerzeugnisse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Auf das portugiesische Festland versandte Branntweinerzeugnisse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andere Mitgliedstaaten versandte Branntweinerzeugnisse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Drittländer ausgeführte Branntweinerzeugnisse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Auf das portugiesische Festland versandte Rumerzeugnisse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andere Mitgliedstaaten versandte Rumerzeugnisse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r>
        <w:tc>
          <w:tcPr>
            <w:tcW w:w="4569" w:type="dxa"/>
            <w:tcBorders>
              <w:top w:val="single" w:sz="4" w:space="0" w:color="auto"/>
              <w:left w:val="single" w:sz="4" w:space="0" w:color="auto"/>
              <w:bottom w:val="single" w:sz="4" w:space="0" w:color="auto"/>
              <w:right w:val="single" w:sz="4" w:space="0" w:color="auto"/>
            </w:tcBorders>
            <w:hideMark/>
          </w:tcPr>
          <w:p>
            <w:pPr>
              <w:rPr>
                <w:noProof/>
              </w:rPr>
            </w:pPr>
            <w:r>
              <w:rPr>
                <w:noProof/>
              </w:rPr>
              <w:t xml:space="preserve">In Drittländer ausgeführte Rumerzeugnisse </w:t>
            </w: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696"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7" w:type="dxa"/>
            <w:tcBorders>
              <w:top w:val="single" w:sz="4" w:space="0" w:color="auto"/>
              <w:left w:val="single" w:sz="4" w:space="0" w:color="auto"/>
              <w:bottom w:val="single" w:sz="4" w:space="0" w:color="auto"/>
              <w:right w:val="single" w:sz="4" w:space="0" w:color="auto"/>
            </w:tcBorders>
          </w:tcPr>
          <w:p>
            <w:pPr>
              <w:rPr>
                <w:noProof/>
              </w:rPr>
            </w:pPr>
          </w:p>
        </w:tc>
        <w:tc>
          <w:tcPr>
            <w:tcW w:w="706" w:type="dxa"/>
            <w:tcBorders>
              <w:top w:val="single" w:sz="4" w:space="0" w:color="auto"/>
              <w:left w:val="single" w:sz="4" w:space="0" w:color="auto"/>
              <w:bottom w:val="single" w:sz="4" w:space="0" w:color="auto"/>
              <w:right w:val="single" w:sz="4" w:space="0" w:color="auto"/>
            </w:tcBorders>
          </w:tcPr>
          <w:p>
            <w:pPr>
              <w:rPr>
                <w:noProof/>
              </w:rPr>
            </w:pPr>
          </w:p>
        </w:tc>
      </w:tr>
    </w:tbl>
    <w:p>
      <w:pPr>
        <w:rPr>
          <w:bCs/>
          <w:iCs/>
          <w:noProof/>
          <w:sz w:val="18"/>
          <w:szCs w:val="18"/>
        </w:rPr>
      </w:pPr>
      <w:r>
        <w:rPr>
          <w:bCs/>
          <w:iCs/>
          <w:noProof/>
          <w:sz w:val="18"/>
          <w:szCs w:val="18"/>
        </w:rPr>
        <w:t xml:space="preserve">Erläuterungen zur Tabelle: </w:t>
      </w:r>
    </w:p>
    <w:p>
      <w:pPr>
        <w:rPr>
          <w:bCs/>
          <w:iCs/>
          <w:noProof/>
          <w:sz w:val="18"/>
          <w:szCs w:val="18"/>
        </w:rPr>
      </w:pPr>
      <w:r>
        <w:rPr>
          <w:bCs/>
          <w:iCs/>
          <w:noProof/>
          <w:sz w:val="18"/>
          <w:szCs w:val="18"/>
        </w:rPr>
        <w:t>1.</w:t>
      </w:r>
      <w:r>
        <w:rPr>
          <w:bCs/>
          <w:iCs/>
          <w:noProof/>
          <w:sz w:val="18"/>
          <w:szCs w:val="18"/>
        </w:rPr>
        <w:tab/>
        <w:t>Hektoliter reiner Alkohol.</w:t>
      </w:r>
    </w:p>
    <w:p>
      <w:pPr>
        <w:rPr>
          <w:bCs/>
          <w:iCs/>
          <w:noProof/>
          <w:sz w:val="18"/>
          <w:szCs w:val="18"/>
        </w:rPr>
      </w:pPr>
    </w:p>
    <w:p>
      <w:pPr>
        <w:rPr>
          <w:bCs/>
          <w:iCs/>
          <w:noProof/>
          <w:sz w:val="18"/>
          <w:szCs w:val="18"/>
        </w:rPr>
      </w:pPr>
    </w:p>
    <w:p>
      <w:pPr>
        <w:pStyle w:val="NumPar1"/>
        <w:rPr>
          <w:noProof/>
        </w:rPr>
      </w:pPr>
      <w:r>
        <w:rPr>
          <w:noProof/>
          <w:u w:val="single"/>
        </w:rPr>
        <w:t>Unregelmäßigkeiten</w:t>
      </w:r>
      <w:r>
        <w:rPr>
          <w:noProof/>
        </w:rPr>
        <w:t>. Die portugiesischen Behörden haben Angaben über etwaige Untersuchungen zu administrativen Unregelmäßigkeiten, insbesondere zu Steuerhinterziehung oder Schmuggel, im Zusammenhang mit der Anwendung der Sonderregelung zu machen. Ferner sind detaillierte Informationen vorzulegen, darunter zumindest Informationen über die Art des Falls, den betreffenden Wert und den betreffenden Zeitraum.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rPr>
      </w:pPr>
    </w:p>
    <w:p>
      <w:pPr>
        <w:pStyle w:val="NumPar1"/>
        <w:rPr>
          <w:noProof/>
        </w:rPr>
      </w:pPr>
      <w:r>
        <w:rPr>
          <w:noProof/>
          <w:u w:val="single"/>
        </w:rPr>
        <w:t>Beschwerden</w:t>
      </w:r>
      <w:r>
        <w:rPr>
          <w:noProof/>
        </w:rPr>
        <w:t>. Die portugiesischen Behörden haben anzugeben, ob bei den lokalen, regionalen oder nationalen Behörden Beschwerden Begünstigter oder Nichtbegünstigter über die Anwendung der Sonderregelung eingegangen sind.</w:t>
      </w:r>
    </w:p>
    <w:p>
      <w:pPr>
        <w:rPr>
          <w:noProo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tblGrid>
      <w:tr>
        <w:tc>
          <w:tcPr>
            <w:tcW w:w="8395" w:type="dxa"/>
            <w:tcBorders>
              <w:top w:val="single" w:sz="4" w:space="0" w:color="auto"/>
              <w:left w:val="single" w:sz="4" w:space="0" w:color="auto"/>
              <w:bottom w:val="single" w:sz="4" w:space="0" w:color="auto"/>
              <w:right w:val="single" w:sz="4" w:space="0" w:color="auto"/>
            </w:tcBorders>
          </w:tcPr>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c>
      </w:tr>
    </w:tbl>
    <w:p>
      <w:pPr>
        <w:rPr>
          <w:noProof/>
          <w:szCs w:val="20"/>
        </w:rPr>
      </w:pPr>
    </w:p>
    <w:p>
      <w:pPr>
        <w:rPr>
          <w:noProof/>
        </w:rPr>
      </w:pP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5ADAC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DF03C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B6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3B284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17C5C8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7B89F3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0947112"/>
    <w:lvl w:ilvl="0">
      <w:start w:val="1"/>
      <w:numFmt w:val="decimal"/>
      <w:pStyle w:val="ListNumber"/>
      <w:lvlText w:val="%1."/>
      <w:lvlJc w:val="left"/>
      <w:pPr>
        <w:tabs>
          <w:tab w:val="num" w:pos="360"/>
        </w:tabs>
        <w:ind w:left="360" w:hanging="360"/>
      </w:pPr>
    </w:lvl>
  </w:abstractNum>
  <w:abstractNum w:abstractNumId="7">
    <w:nsid w:val="FFFFFF89"/>
    <w:multiLevelType w:val="singleLevel"/>
    <w:tmpl w:val="24D422A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75C728A"/>
    <w:multiLevelType w:val="hybridMultilevel"/>
    <w:tmpl w:val="8B8852AC"/>
    <w:lvl w:ilvl="0" w:tplc="2B84F570">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1"/>
  </w:num>
  <w:num w:numId="15">
    <w:abstractNumId w:val="12"/>
  </w:num>
  <w:num w:numId="16">
    <w:abstractNumId w:val="14"/>
  </w:num>
  <w:num w:numId="17">
    <w:abstractNumId w:val="10"/>
  </w:num>
  <w:num w:numId="18">
    <w:abstractNumId w:val="20"/>
  </w:num>
  <w:num w:numId="19">
    <w:abstractNumId w:val="9"/>
  </w:num>
  <w:num w:numId="20">
    <w:abstractNumId w:val="15"/>
  </w:num>
  <w:num w:numId="21">
    <w:abstractNumId w:val="17"/>
  </w:num>
  <w:num w:numId="22">
    <w:abstractNumId w:val="18"/>
  </w:num>
  <w:num w:numId="23">
    <w:abstractNumId w:val="11"/>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6-18 08:47:3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
    <w:docVar w:name="DQCStatus" w:val="Green"/>
    <w:docVar w:name="DQCVersion" w:val="3"/>
    <w:docVar w:name="DQCWithWarnings" w:val="0"/>
    <w:docVar w:name="LW_ACCOMPAGNANT" w:val="des"/>
    <w:docVar w:name="LW_ACCOMPAGNANT.CP" w:val="des"/>
    <w:docVar w:name="LW_ANNEX_NBR_FIRST" w:val="1"/>
    <w:docVar w:name="LW_ANNEX_NBR_LAST" w:val="1"/>
    <w:docVar w:name="LW_ANNEX_UNIQUE" w:val="1"/>
    <w:docVar w:name="LW_CORRIGENDUM" w:val="&lt;UNUSED&gt;"/>
    <w:docVar w:name="LW_COVERPAGE_EXISTS" w:val="True"/>
    <w:docVar w:name="LW_COVERPAGE_GUID" w:val="9079C420-995A-4260-B696-472689EEAC69"/>
    <w:docVar w:name="LW_COVERPAGE_TYPE" w:val="1"/>
    <w:docVar w:name="LW_CROSSREFERENCE" w:val="{SWD(2020) 108 final}"/>
    <w:docVar w:name="LW_DocType" w:val="ANNEX"/>
    <w:docVar w:name="LW_EMISSION" w:val="18.6.2020"/>
    <w:docVar w:name="LW_EMISSION_ISODATE" w:val="2020-06-18"/>
    <w:docVar w:name="LW_EMISSION_LOCATION" w:val="BRX"/>
    <w:docVar w:name="LW_EMISSION_PREFIX" w:val="Brüssel, den "/>
    <w:docVar w:name="LW_EMISSION_SUFFIX" w:val=" "/>
    <w:docVar w:name="LW_ID_DOCSTRUCTURE" w:val="COM/ANNEX"/>
    <w:docVar w:name="LW_ID_DOCTYPE" w:val="SG-017"/>
    <w:docVar w:name="LW_LANGUE" w:val="DE"/>
    <w:docVar w:name="LW_LEVEL_OF_SENSITIVITY" w:val="Standard treatment"/>
    <w:docVar w:name="LW_NOM.INST" w:val="EUROPÄISCHE KOMMISSION"/>
    <w:docVar w:name="LW_NOM.INST_JOINTDOC" w:val="&lt;EMPTY&gt;"/>
    <w:docVar w:name="LW_OBJETACTEPRINCIPAL" w:val="zur Ermächtigung Portugals, auf bestimmte in den autonomen Regionen Madeira und Azoren hergestellte alkoholische Erzeugnisse einen ermäßigten Verbrauchsteuersatz anzuwenden"/>
    <w:docVar w:name="LW_OBJETACTEPRINCIPAL.CP" w:val="zur Ermächtigung Portugals, auf bestimmte in den autonomen Regionen Madeira und Azoren hergestellte alkoholische Erzeugnisse einen ermäßigten Verbrauchsteuersatz anzuwenden"/>
    <w:docVar w:name="LW_PART_NBR" w:val="1"/>
    <w:docVar w:name="LW_PART_NBR_TOTAL" w:val="1"/>
    <w:docVar w:name="LW_REF.INST.NEW" w:val="COM"/>
    <w:docVar w:name="LW_REF.INST.NEW_ADOPTED" w:val="final"/>
    <w:docVar w:name="LW_REF.INST.NEW_TEXT" w:val="(2020) 2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HANG"/>
    <w:docVar w:name="LW_TYPE.DOC.CP" w:val="ANHANG"/>
    <w:docVar w:name="LW_TYPEACTEPRINCIPAL" w:val="Vorschlags für einen Beschluss des Rates"/>
    <w:docVar w:name="LW_TYPEACTEPRINCIPAL.CP" w:val="Vorschlags für einen 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rFonts w:eastAsia="Times New Roman"/>
      <w:sz w:val="20"/>
      <w:szCs w:val="20"/>
      <w:lang w:eastAsia="fr-FR"/>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de-DE" w:eastAsia="fr-FR"/>
    </w:rPr>
  </w:style>
  <w:style w:type="paragraph" w:styleId="ListParagraph">
    <w:name w:val="List Paragraph"/>
    <w:basedOn w:val="Normal"/>
    <w:uiPriority w:val="34"/>
    <w:qFormat/>
    <w:pPr>
      <w:spacing w:before="0" w:after="0"/>
      <w:ind w:left="720"/>
      <w:jc w:val="left"/>
    </w:pPr>
    <w:rPr>
      <w:rFonts w:ascii="Calibri" w:eastAsia="Calibri" w:hAnsi="Calibri" w:cs="Calibri"/>
      <w:sz w:val="22"/>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fr-FR"/>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e-DE"/>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2B92B0-D8B9-4E39-9153-20F3DCF7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706</Words>
  <Characters>4839</Characters>
  <Application>Microsoft Office Word</Application>
  <DocSecurity>0</DocSecurity>
  <Lines>372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ANDREOU Alexandra (TAXUD)</dc:creator>
  <cp:keywords/>
  <dc:description/>
  <cp:lastModifiedBy>WES PDFC Administrator</cp:lastModifiedBy>
  <cp:revision>10</cp:revision>
  <dcterms:created xsi:type="dcterms:W3CDTF">2020-06-10T16:39:00Z</dcterms:created>
  <dcterms:modified xsi:type="dcterms:W3CDTF">2020-06-18T06:47:00Z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