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EE5637A-A1C7-4B4C-A832-D3BA02537862" style="width:450.8pt;height:392.8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JAVASLAT HÁTTERE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1.1.</w:t>
      </w:r>
      <w:r>
        <w:rPr>
          <w:noProof/>
        </w:rPr>
        <w:tab/>
        <w:t>A javaslat indokai és céljai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 tanácsi határozatra irányuló csatolt javaslat képezi a jogi eszközt az egyrészről az Európai Unió (EU), másrészről a csendes-óceáni államok közötti átmeneti partnerségi megállapodást módosító megállapodás megkötéséhez, az EUMSZ 218. cikkének (6) bekezdése szerint.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 Tanács 2002. június 12-én felhatalmazta a Bizottságot arra, hogy az AKCS-országokkal gazdasági partnerségi megállapodások (GPM) megkötésére irányuló tárgyalásokat kezdjen.</w:t>
      </w:r>
    </w:p>
    <w:p>
      <w:pPr>
        <w:rPr>
          <w:rFonts w:eastAsia="Arial Unicode MS"/>
          <w:noProof/>
        </w:rPr>
      </w:pPr>
      <w:r>
        <w:rPr>
          <w:noProof/>
        </w:rPr>
        <w:t>2009. július 30-án az Unió aláírta az egyrészről az Európai Közösség, másrészről a csendes-óceáni államok közötti átmeneti gazdasági partnerségi megállapodást (a továbbiakban: a megállapodás), amely létrehozta a gazdasági partnerségi megállapodás kereteit</w:t>
      </w:r>
      <w:r>
        <w:rPr>
          <w:rStyle w:val="FootnoteReference"/>
          <w:noProof/>
        </w:rPr>
        <w:footnoteReference w:id="1"/>
      </w:r>
      <w:r>
        <w:rPr>
          <w:noProof/>
        </w:rPr>
        <w:t>. A megállapodás céljai: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annak lehetővé tétele a csendes-óceáni államok számára, hogy élvezhessék az EU által felajánlott jobb piacra jutás előnyeit;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a fenntartható fejlődés előmozdítása és a csendes-óceáni államok fokozatos integrálása a világgazdaságba;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a közös érdeken alapuló szabadkereskedelmi övezet létrehozása a Felek között, a kereskedelem fokozatos liberalizációja révén oly módon, amely megfelel az alkalmazandó WTO-szabályoknak és az aszimmetria elvének, a kötelezettségvállalások szintje és időzítése tekintetében a csendes-óceáni államok specifikus igényeinek és kapacitásbeli korlátainak figyelembevétele mellett;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a megfelelő vitarendezési keretek létrehozása; valamint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a megfelelő intézményi rendelkezések megállapítása.</w:t>
      </w:r>
    </w:p>
    <w:p>
      <w:pPr>
        <w:rPr>
          <w:noProof/>
        </w:rPr>
      </w:pPr>
      <w:r>
        <w:rPr>
          <w:noProof/>
        </w:rPr>
        <w:t>Pápua Új-Guinea 2009. december 20., a Fidzsi Köztársaság pedig 2014. július 28. óta ideiglenesen alkalmazza a megállapodást.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 megállapodás 80. cikke értelmében más csendes-óceáni szigetek az 1994. évi GATT XXIV. cikkének megfelelő piacrajutási ajánlat benyújtása alapján csatlakozhatnak a megállapodáshoz. Ennek megfelelően a Szamoai Független Állam 2018. december 21-én csatlakozott a megállapodáshoz</w:t>
      </w:r>
      <w:r>
        <w:rPr>
          <w:rStyle w:val="FootnoteReference"/>
          <w:noProof/>
          <w:color w:val="000000"/>
          <w:szCs w:val="20"/>
        </w:rPr>
        <w:footnoteReference w:id="2"/>
      </w:r>
      <w:r>
        <w:rPr>
          <w:noProof/>
          <w:color w:val="000000"/>
          <w:szCs w:val="20"/>
        </w:rPr>
        <w:t>, és azt 2018. december 31. óta ideiglenesen alkalmazza. A Feleknek a Salamon-szigetek és a Tongai Királyság csatlakozására irányuló eljárásai folyamatban vannak, mivel utóbbiak jelezték, hogy csatlakozni kívánnak a megállapodáshoz.</w:t>
      </w:r>
    </w:p>
    <w:p>
      <w:pPr>
        <w:rPr>
          <w:noProof/>
        </w:rPr>
      </w:pPr>
      <w:r>
        <w:rPr>
          <w:noProof/>
        </w:rPr>
        <w:t>A Szamoai Független Állam csatlakozását követően módosítani kell a megállapodást annak érdekében, hogy ez az ország szerepeljen a megállapodás részes felei között. Hasonló technikai módosításokat kell majd végrehajtani a megállapodáson minden olyan alkalommal, amikor egy másik csendes-óceáni szigetállam csatlakozik a megállapodáshoz.</w:t>
      </w:r>
    </w:p>
    <w:p>
      <w:pPr>
        <w:pStyle w:val="ManualHeading2"/>
        <w:rPr>
          <w:b w:val="0"/>
          <w:noProof/>
        </w:rPr>
      </w:pPr>
      <w:r>
        <w:rPr>
          <w:noProof/>
        </w:rPr>
        <w:t>1.2.</w:t>
      </w:r>
      <w:r>
        <w:rPr>
          <w:noProof/>
        </w:rPr>
        <w:tab/>
        <w:t>A GPM kereskedelmi bizottság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</w:t>
      </w:r>
      <w:r>
        <w:rPr>
          <w:noProof/>
          <w:color w:val="000000"/>
          <w:szCs w:val="20"/>
        </w:rPr>
        <w:t>megállapodás</w:t>
      </w:r>
      <w:r>
        <w:rPr>
          <w:noProof/>
        </w:rPr>
        <w:t xml:space="preserve"> 68. cikke létrehoz egy kereskedelmi bizottságot, amely a Felek (az EU és a csendes-óceáni államok) képviselőiből áll.</w:t>
      </w:r>
    </w:p>
    <w:p>
      <w:pPr>
        <w:rPr>
          <w:rFonts w:eastAsia="Arial Unicode MS"/>
          <w:noProof/>
        </w:rPr>
      </w:pPr>
      <w:r>
        <w:rPr>
          <w:noProof/>
        </w:rPr>
        <w:lastRenderedPageBreak/>
        <w:t>A kereskedelmi bizottság a megállapodás végrehajtásához szükséges valamennyi üggyel foglalkozik. Feladatai ellátása során a kereskedelmi bizottság: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 megállapodás végrehajtásához különbizottságokat és testületeket állíthat fel és felügyelhet;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ülésezhet a Felek által elfogadott bármilyen időpontban;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foglalkozhat a megállapodást érintő bármely kérdéssel, és feladata ellátása során megfelelő intézkedéseket hozhat; valamint</w:t>
      </w:r>
    </w:p>
    <w:p>
      <w:pPr>
        <w:pStyle w:val="Point0"/>
        <w:rPr>
          <w:rFonts w:eastAsia="Arial Unicode MS"/>
          <w:noProof/>
        </w:rPr>
      </w:pPr>
      <w:r>
        <w:rPr>
          <w:noProof/>
        </w:rPr>
        <w:t>d)</w:t>
      </w:r>
      <w:r>
        <w:rPr>
          <w:noProof/>
        </w:rPr>
        <w:tab/>
        <w:t>a megállapodásban meghatározott esetekben döntést hozhat vagy ajánlást tehet.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78. cikk (felülvizsgálati záradék) előírja, hogy a kereskedelmi bizottság szükség szerint felülvizsgálhatja a megállapodást, annak végrehajtását, működését és eredményességét, és megfelelő javaslatokat tehet a Feleknek annak módosítására. </w:t>
      </w:r>
    </w:p>
    <w:p>
      <w:pPr>
        <w:pStyle w:val="ManualHeading2"/>
        <w:rPr>
          <w:rFonts w:eastAsia="Arial Unicode MS"/>
          <w:b w:val="0"/>
          <w:i/>
          <w:noProof/>
          <w:color w:val="000000"/>
          <w:u w:color="000000"/>
          <w:bdr w:val="nil"/>
        </w:rPr>
      </w:pPr>
      <w:r>
        <w:rPr>
          <w:b w:val="0"/>
          <w:i/>
          <w:noProof/>
          <w:color w:val="000000"/>
          <w:u w:color="000000"/>
          <w:bdr w:val="nil"/>
        </w:rPr>
        <w:t>A kereskedelmi bizottság hatodik és hetedik ülésének eredménye</w:t>
      </w:r>
    </w:p>
    <w:p>
      <w:pPr>
        <w:rPr>
          <w:rFonts w:eastAsia="MS Mincho"/>
          <w:noProof/>
          <w:szCs w:val="24"/>
        </w:rPr>
      </w:pPr>
      <w:r>
        <w:rPr>
          <w:noProof/>
        </w:rPr>
        <w:t xml:space="preserve">A megállapodás részes felei (az EU, Pápua Új-Guinea, Fidzsi) és megfigyelőként a </w:t>
      </w:r>
      <w:r>
        <w:rPr>
          <w:noProof/>
          <w:color w:val="000000"/>
          <w:szCs w:val="20"/>
        </w:rPr>
        <w:t>Szamoai Független Állam</w:t>
      </w:r>
      <w:r>
        <w:rPr>
          <w:noProof/>
        </w:rPr>
        <w:t xml:space="preserve">, a Salamon-szigetek és Tonga 2018. október 24-én véleménycserét folytattak a megállapodáshoz való csatlakozást követően szükséges technikai módosítások bevezetésének </w:t>
      </w:r>
      <w:r>
        <w:rPr>
          <w:b/>
          <w:noProof/>
          <w:szCs w:val="24"/>
        </w:rPr>
        <w:t>hatályáról és eljárásáról</w:t>
      </w:r>
      <w:r>
        <w:rPr>
          <w:noProof/>
        </w:rPr>
        <w:t xml:space="preserve">. </w:t>
      </w:r>
    </w:p>
    <w:p>
      <w:pPr>
        <w:rPr>
          <w:rFonts w:eastAsia="MS Mincho"/>
          <w:noProof/>
          <w:szCs w:val="24"/>
        </w:rPr>
      </w:pPr>
      <w:r>
        <w:rPr>
          <w:noProof/>
        </w:rPr>
        <w:t xml:space="preserve">A Felek a módosítások </w:t>
      </w:r>
      <w:r>
        <w:rPr>
          <w:b/>
          <w:noProof/>
          <w:szCs w:val="24"/>
        </w:rPr>
        <w:t>hatályát</w:t>
      </w:r>
      <w:r>
        <w:rPr>
          <w:noProof/>
        </w:rPr>
        <w:t xml:space="preserve"> úgy határozták meg, hogy az a csatlakozó csendes-óceáni államoknak a megállapodás részes feleként való felsorolására és a piacra jutásra vonatkozó ajánlatuknak a megállapodás II. mellékletébe (az EU Féltől származó termékekre vonatkozó vámok) való felvételére korlátozódik. Az </w:t>
      </w:r>
      <w:r>
        <w:rPr>
          <w:b/>
          <w:noProof/>
          <w:szCs w:val="24"/>
        </w:rPr>
        <w:t>eljárást</w:t>
      </w:r>
      <w:r>
        <w:rPr>
          <w:noProof/>
        </w:rPr>
        <w:t xml:space="preserve"> illetően a Felek megjegyezték, hogy a kereskedelmi bizottság jelenleg nem rendelkezik hatáskörrel ilyen módosítások bevezetésére (a megállapodás szerinti jogalap nem elegendő). A Felek az alábbi három eljárási lehetőséget vitatták meg.</w:t>
      </w:r>
    </w:p>
    <w:p>
      <w:pPr>
        <w:rPr>
          <w:rFonts w:eastAsia="MS Mincho"/>
          <w:noProof/>
          <w:szCs w:val="24"/>
        </w:rPr>
      </w:pPr>
      <w:r>
        <w:rPr>
          <w:noProof/>
        </w:rPr>
        <w:t>1. lehetőség – Annak mérlegelése, hogy az érintett módosításokat a csatlakozás következtében implicit módon bevezetik a megállapodásba (80. cikk); ezért nincs szükség arra, hogy azokat egy külön eljárás keretében kifejezetten bevezessék.</w:t>
      </w:r>
    </w:p>
    <w:p>
      <w:pPr>
        <w:rPr>
          <w:rFonts w:eastAsia="MS Mincho"/>
          <w:noProof/>
          <w:szCs w:val="24"/>
        </w:rPr>
      </w:pPr>
      <w:r>
        <w:rPr>
          <w:noProof/>
        </w:rPr>
        <w:t>2. lehetőség – A kereskedelmi bizottság nyilatkozatot tehetne arról, hogy a szükséges technikai módosításokra tekintettel hogyan kell értelmezni a megállapodást a csatlakozást követően. Az ilyen nyilatkozat jogalapja a 68. cikk (4) bekezdésének c) pontja.</w:t>
      </w:r>
    </w:p>
    <w:p>
      <w:pPr>
        <w:rPr>
          <w:rFonts w:eastAsia="MS Mincho"/>
          <w:noProof/>
          <w:szCs w:val="24"/>
        </w:rPr>
      </w:pPr>
      <w:r>
        <w:rPr>
          <w:noProof/>
        </w:rPr>
        <w:t>3. lehetőség – A Felek módosíthatnák a megállapodás 80. cikkét annak érdekében, hogy a kereskedelmi bizottságot felhatalmazzák a szükséges határozatoknak az új csatlakozás fényében történő elfogadására.</w:t>
      </w:r>
    </w:p>
    <w:p>
      <w:pPr>
        <w:rPr>
          <w:rFonts w:eastAsia="Arial Unicode MS"/>
          <w:noProof/>
        </w:rPr>
      </w:pPr>
      <w:r>
        <w:rPr>
          <w:noProof/>
        </w:rPr>
        <w:t>A kereskedelmi bizottság egyetértett abban, hogy a 3. lehetőség jogbiztonságot teremtene, és vállalta, hogy javasolja a Feleknek a 80. cikk ennek megfelelő módosítását. A kereskedelmi bizottság a 2019. október 3–4-i hetedik ülését követően, az Unió nevében képviselendő álláspontot követve e célból ajánlást fogadott el (a Tanács 2019. június 17-i (EU) 2019/1707 határozata, HL L 260., 2019.10.11., 45. o.).</w:t>
      </w:r>
    </w:p>
    <w:p>
      <w:pPr>
        <w:pStyle w:val="ManualHeading2"/>
        <w:rPr>
          <w:rFonts w:eastAsia="Arial Unicode MS"/>
          <w:b w:val="0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1.3.</w:t>
      </w:r>
      <w:r>
        <w:rPr>
          <w:noProof/>
        </w:rPr>
        <w:tab/>
        <w:t>Összhang a szabályozási terület jelenlegi rendelkezéseivel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 xml:space="preserve">E javaslat végrehajtja az egyrészről az afrikai, karibi és csendes-óceáni államok csoportjának tagjai, másrészről az Európai Közösség és tagállamai között létrejött partnerségi </w:t>
      </w:r>
      <w:r>
        <w:rPr>
          <w:noProof/>
          <w:color w:val="000000"/>
          <w:szCs w:val="20"/>
        </w:rPr>
        <w:lastRenderedPageBreak/>
        <w:t>megállapodást (a továbbiakban: az AKCS–EU partnerségi megállapodás, vagy a Cotonoui Megállapodás)</w:t>
      </w:r>
      <w:r>
        <w:rPr>
          <w:rStyle w:val="FootnoteReference"/>
          <w:noProof/>
        </w:rPr>
        <w:footnoteReference w:id="3"/>
      </w:r>
      <w:r>
        <w:rPr>
          <w:noProof/>
          <w:color w:val="000000"/>
          <w:szCs w:val="20"/>
        </w:rPr>
        <w:t>, amely az átmeneti partnerségi megállapodás jogalapja.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Más csendes-óceáni államoknak a megállapodáshoz való csatlakozása megerősíti az EU és a partnerországok közötti kereskedelmi kapcsolatok jogi keretét, megkönnyíti a kölcsönös kereskedelmet és a világgazdaságba való integrálódásukat. Ezen túlmenően a megállapodáshoz való csatlakozással az említett államok részesévé válnak a megállapodás által létrehozott közös szabályok és intézmények rendszerének.</w:t>
      </w:r>
    </w:p>
    <w:p>
      <w:pPr>
        <w:pStyle w:val="ManualHeading2"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1.4.</w:t>
      </w:r>
      <w:r>
        <w:rPr>
          <w:noProof/>
        </w:rPr>
        <w:tab/>
      </w:r>
      <w:r>
        <w:rPr>
          <w:noProof/>
          <w:color w:val="000000"/>
          <w:szCs w:val="20"/>
        </w:rPr>
        <w:t>Összhang az Unió egyéb szakpolitikáival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 xml:space="preserve">A megállapodás fejlesztésorientált kereskedelmi megállapodás, amely kiterjeszti az aszimmetrikus piacra jutást az újonnan csatlakozó országokra, és lehetővé teszi számukra, hogy megvédjék érzékeny ágazataikat a liberalizációtól, miközben számos védintézkedést tartalmaz, és rendelkezik a fiatal iparágak védelméről. Ezen túlmenően a megállapodás rendelkezéseket tartalmaz az Unióba irányuló exportjukat könnyítő származási szabályokról. Emellett rendelkezéseket tartalmaz a fenntartható fejlődésről (3. cikk), amelyben a Felek újólag megerősítik, hogy a fenntartható fejlődés célkitűzése e megállapodás rendelkezéseinek szerves részét képezi, összhangban a Cotonoui Megállapodásban meghatározott átfogó célkitűzésekkel és elvekkel, továbbá különösen a szegénység oly módon történő csökkentésére és felszámolására irányuló általános kötelezettségvállalással, amely összhangban áll a fenntartható fejlődés célkitűzéseivel. E rendelkezések előmozdítják a fejlesztési szempontú szakpolitikai koherencia célkitűzésének megvalósulását, és összhangban állnak az EUMSZ 208. cikkének (2) bekezdésével. </w:t>
      </w:r>
    </w:p>
    <w:p>
      <w:pPr>
        <w:pStyle w:val="ManualHeading1"/>
        <w:rPr>
          <w:smallCaps w:val="0"/>
          <w:noProof/>
        </w:rPr>
      </w:pPr>
      <w:r>
        <w:rPr>
          <w:noProof/>
        </w:rPr>
        <w:t>2.</w:t>
      </w:r>
      <w:r>
        <w:rPr>
          <w:noProof/>
        </w:rPr>
        <w:tab/>
        <w:t>A JAVASLAT JOGI ELEMEI</w:t>
      </w:r>
    </w:p>
    <w:p>
      <w:pPr>
        <w:pStyle w:val="ManualHeading2"/>
        <w:rPr>
          <w:noProof/>
          <w:color w:val="000000"/>
          <w:szCs w:val="20"/>
        </w:rPr>
      </w:pPr>
      <w:r>
        <w:rPr>
          <w:noProof/>
          <w:color w:val="000000"/>
          <w:u w:color="000000"/>
          <w:bdr w:val="nil"/>
        </w:rPr>
        <w:t>2.1.</w:t>
      </w:r>
      <w:r>
        <w:rPr>
          <w:noProof/>
        </w:rPr>
        <w:tab/>
      </w:r>
      <w:r>
        <w:rPr>
          <w:noProof/>
          <w:color w:val="000000"/>
          <w:szCs w:val="20"/>
        </w:rPr>
        <w:t>Jogalap</w:t>
      </w:r>
    </w:p>
    <w:p>
      <w:pPr>
        <w:autoSpaceDE w:val="0"/>
        <w:autoSpaceDN w:val="0"/>
        <w:adjustRightInd w:val="0"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 tanácsi határozat jogalapja az Európai Unió működéséről szóló szerződés és különösen annak 207. cikke (4) bekezdésének első albekezdése, összefüggésben a 218. cikk (6) bekezdésének a)–v) pontjával.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2.2.</w:t>
      </w:r>
      <w:r>
        <w:rPr>
          <w:noProof/>
        </w:rPr>
        <w:tab/>
        <w:t>Szubszidiaritás (nem kizárólagos hatáskör esetén)</w:t>
      </w:r>
    </w:p>
    <w:p>
      <w:pPr>
        <w:rPr>
          <w:noProof/>
        </w:rPr>
      </w:pPr>
      <w:r>
        <w:rPr>
          <w:noProof/>
        </w:rPr>
        <w:t>A közös kereskedelempolitika az EUMSZ 3. cikkével összhangban az Unió kizárólagos hatáskörébe tartozik.</w:t>
      </w:r>
    </w:p>
    <w:p>
      <w:pPr>
        <w:pStyle w:val="ManualHeading2"/>
        <w:rPr>
          <w:b w:val="0"/>
          <w:noProof/>
        </w:rPr>
      </w:pPr>
      <w:r>
        <w:rPr>
          <w:noProof/>
          <w:color w:val="000000"/>
          <w:u w:color="000000"/>
          <w:bdr w:val="nil"/>
        </w:rPr>
        <w:t>2.3.</w:t>
      </w:r>
      <w:r>
        <w:rPr>
          <w:noProof/>
        </w:rPr>
        <w:tab/>
      </w:r>
      <w:r>
        <w:rPr>
          <w:noProof/>
          <w:color w:val="000000"/>
          <w:szCs w:val="20"/>
        </w:rPr>
        <w:t>Arányosság</w:t>
      </w:r>
    </w:p>
    <w:p>
      <w:pPr>
        <w:rPr>
          <w:noProof/>
        </w:rPr>
      </w:pPr>
      <w:r>
        <w:rPr>
          <w:noProof/>
        </w:rPr>
        <w:t>E javaslat az Unió nemzetközi kötelezettségvállalásainak végrehajtása érdekében szükséges, az AKCS–EU partnerségi megállapodásban foglaltaknak megfelelően, különösen azon új WTO-kompatibilis kereskedelmi megállapodások megkötése céljából, amelyek fokozatosan megszüntetik a Felek közötti kereskedelem előtt álló akadályokat és fokozzák a csendes-óceáni államokkal folytatott kereskedelem szempontjából releváns valamennyi területen folytatott együttműködést.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2.4.</w:t>
      </w:r>
      <w:r>
        <w:rPr>
          <w:noProof/>
        </w:rPr>
        <w:tab/>
        <w:t>A jogi aktus típusának megválasztása</w:t>
      </w:r>
    </w:p>
    <w:p>
      <w:pPr>
        <w:rPr>
          <w:noProof/>
        </w:rPr>
      </w:pPr>
      <w:r>
        <w:rPr>
          <w:noProof/>
        </w:rPr>
        <w:t>Nincs más olyan jogi eszköz, amely útján elérhetőek lennének e javaslat célkitűzései.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3.1.</w:t>
      </w:r>
      <w:r>
        <w:rPr>
          <w:noProof/>
        </w:rPr>
        <w:tab/>
      </w:r>
      <w:r>
        <w:rPr>
          <w:noProof/>
          <w:u w:color="000000"/>
          <w:bdr w:val="nil"/>
        </w:rPr>
        <w:t>Hatásvizsgálat</w:t>
      </w:r>
    </w:p>
    <w:p>
      <w:pPr>
        <w:rPr>
          <w:noProof/>
        </w:rPr>
      </w:pPr>
      <w:r>
        <w:rPr>
          <w:noProof/>
        </w:rPr>
        <w:t>2003 és 2007 között sor került az EU–AKCS gazdasági partnerségi megállapodások fenntarthatósági hatásvizsgálatára. A projekttel kapcsolatos feladatokat az Európai Bizottság 2002-ben tette közzé versenypiaci ajánlati felhívás formájában. Az ajánlati felhívás eredményeképpen 2002 augusztusában ötéves keretszerződést kötött a PwC France-szal. A fenntarthatósági hatásvizsgálat végső jelentésének tervezetét az Európai Bizottság által 2007. március 23-án Brüsszelben (Belgium) rendezett uniós civil társadalmi párbeszéd találkozója során mutatták be az európai érdekelt feleknek.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3.2.</w:t>
      </w:r>
      <w:r>
        <w:rPr>
          <w:noProof/>
        </w:rPr>
        <w:tab/>
      </w:r>
      <w:r>
        <w:rPr>
          <w:noProof/>
          <w:u w:color="000000"/>
          <w:bdr w:val="nil"/>
        </w:rPr>
        <w:t>Célravezető szabályozás és egyszerűsítés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megállapodás módosításának jóváhagyása nem tartozik a REFIT-eljárások hatálya alá, nem keletkeztet semmilyen költséget az uniós kis- és középvállalkozások számára, és nem vet fel semmilyen kérdést a digitális környezet szempontjából.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3.3.</w:t>
      </w:r>
      <w:r>
        <w:rPr>
          <w:noProof/>
        </w:rPr>
        <w:tab/>
      </w:r>
      <w:r>
        <w:rPr>
          <w:noProof/>
          <w:u w:color="000000"/>
          <w:bdr w:val="nil"/>
        </w:rPr>
        <w:t>Alapjogok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javaslat nem jár következményekkel az alapvető jogok uniós védelme szempontjából.</w:t>
      </w:r>
    </w:p>
    <w:p>
      <w:pPr>
        <w:pStyle w:val="ManualHeading1"/>
        <w:rPr>
          <w:smallCaps w:val="0"/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A javasolt határozatnak nincsenek költségvetési vonzatai.</w:t>
      </w:r>
    </w:p>
    <w:p>
      <w:pPr>
        <w:pStyle w:val="ManualHeading1"/>
        <w:rPr>
          <w:smallCaps w:val="0"/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5.1.</w:t>
      </w:r>
      <w:r>
        <w:rPr>
          <w:noProof/>
        </w:rPr>
        <w:tab/>
      </w:r>
      <w:r>
        <w:rPr>
          <w:noProof/>
          <w:u w:color="000000"/>
          <w:bdr w:val="nil"/>
        </w:rPr>
        <w:t>A javaslat egyes rendelkezéseinek részletes magyarázata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 javaslat 1. és 2. cikke felhatalmazást ad a megállapodást érintő, a határozat mellékletében felsorolt módosításoknak az Unió nevében történő megkötésére és az erről szóló értesítésre.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 3. cikk megállapítja, hogy a megállapodás módosításainak megkötése nem értelmezhető úgy, mint amely olyan jogokat biztosít vagy olyan kötelességeket ír elő, amelyekre az uniós és tagállami bíróságok vagy törvényszékek előtt közvetlenül hivatkozni lehet.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 4. cikk meghatározza a határozat hatálybalépésének időpontját.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2020/0121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 xml:space="preserve">az egyrészről az Európai Közösség, másrészről a csendes-óceáni államok közötti átmeneti partnerségi megállapodásnak a Szamoai Független Állam és más csendes-óceáni szigetállamok jövőbeli csatlakozásának figyelembevétele céljából történő módosításáról szóló megállapodás megkötéséről 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rFonts w:eastAsia="Times New Roman"/>
          <w:noProof/>
          <w:color w:val="000000"/>
        </w:rPr>
      </w:pPr>
      <w:r>
        <w:rPr>
          <w:noProof/>
          <w:color w:val="000000"/>
        </w:rPr>
        <w:t>tekintettel az Európai Unió működéséről szóló szerződésre és különösen annak</w:t>
      </w:r>
      <w:r>
        <w:rPr>
          <w:noProof/>
          <w:color w:val="000000"/>
          <w:szCs w:val="20"/>
        </w:rPr>
        <w:t xml:space="preserve"> 207. cikke (4) bekezdésének első albekezdésére</w:t>
      </w:r>
      <w:r>
        <w:rPr>
          <w:noProof/>
          <w:color w:val="000000"/>
        </w:rPr>
        <w:t>, összefüggésben annak 218. cikke (6) bekezdése második albekezdése a) pontjának v. alpontjával,</w:t>
      </w:r>
    </w:p>
    <w:p>
      <w:pPr>
        <w:rPr>
          <w:rFonts w:eastAsia="Times New Roman"/>
          <w:noProof/>
          <w:color w:val="000000"/>
        </w:rPr>
      </w:pPr>
      <w:r>
        <w:rPr>
          <w:noProof/>
          <w:color w:val="000000"/>
        </w:rPr>
        <w:t>tekintettel az Európai Bizottság javaslatára,</w:t>
      </w:r>
    </w:p>
    <w:p>
      <w:pPr>
        <w:rPr>
          <w:rFonts w:eastAsia="Times New Roman"/>
          <w:noProof/>
          <w:color w:val="000000"/>
        </w:rPr>
      </w:pPr>
      <w:r>
        <w:rPr>
          <w:noProof/>
          <w:color w:val="000000"/>
        </w:rPr>
        <w:t>tekintettel az Európai Parlament egyetértésére,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Tanács 2002. június 12-én felhatalmazta a Bizottságot arra, hogy az afrikai, karibi és csendes-óceáni államok csoportjával gazdasági partnerségi megállapodások megkötésére irányuló tárgyalásokat kezdjen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2009. július 30-án Londonban aláírt, egyrészről az Európai Közösség, másrészről a csendes-óceáni államok közötti átmeneti partnerségi megállapodást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(a továbbiakban: a megállapodás), amely létrehozza egy gazdasági partnerségi megállapodás kereteit, Pápua Új-Guinea 2009. december 20., a Fidzsi Köztársaság- pedig 2014. július 28. óta ideiglenesen alkalmazza.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megállapodás 80. cikke megállapítja a többi csendes-óceáni szigetállam csatlakozására vonatkozó rendelkezéseket. A Tanács 2018. december 6-i (EU) 2018/1908 határozatával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jóváhagyta a Szamoai Független Állam csatlakozását a megállapodáshoz. A Szamoai Független Állam 2018. december 21-én csatlakozott a megállapodáshoz, és azt 2018. december 31. óta ideiglenesen alkalmazza.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Szamoai Független Állam csatlakozását követően – a jogbiztonság érdekében – módosítani kell a megállapodást, hogy ez az ország szerepeljen a megállapodás részes felei között. Hasonló technikai módosításokat kell majd végrehajtani a megállapodáson minden olyan alkalommal, amikor egy másik csendes-óceáni szigetállam csatlakozik a megállapodáshoz.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A megállapodás 68. cikke kereskedelmi bizottságot hoz létre, amely a megállapodás végrehajtásához szükséges valamennyi üggyel foglalkozik. A kereskedelmi bizottságot </w:t>
      </w:r>
      <w:r>
        <w:rPr>
          <w:noProof/>
        </w:rPr>
        <w:lastRenderedPageBreak/>
        <w:t>fel kell ruházni azzal a hatáskörrel, hogy határozhasson a megállapodásnak a más csendes-óceáni szigetek csatlakozását követően esetlegesen szükséges módosításáról.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megállapodást ennek megfelelően módosítani kell,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rFonts w:eastAsia="Arial Unicode MS"/>
          <w:i w:val="0"/>
          <w:noProof/>
          <w:szCs w:val="24"/>
        </w:rPr>
      </w:pPr>
      <w:r>
        <w:rPr>
          <w:noProof/>
        </w:rPr>
        <w:t>1. cikk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Megkötésre kerül az egyrészről az Európai Közösség, másrészről a csendes-óceáni államok közötti átmeneti partnerségi megállapodásnak a Szamoai Független Állam és más csendes-óceáni szigetállamok jövőbeli csatlakozásának figyelembevétele céljából történő módosításáról szóló megállapodás.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A módosító megállapodás szövegét 1. mellékletként csatolták e határozathoz.</w:t>
      </w:r>
    </w:p>
    <w:p>
      <w:pPr>
        <w:jc w:val="center"/>
        <w:rPr>
          <w:i/>
          <w:noProof/>
        </w:rPr>
      </w:pPr>
      <w:r>
        <w:rPr>
          <w:i/>
          <w:noProof/>
        </w:rPr>
        <w:t>2. cikk</w:t>
      </w:r>
    </w:p>
    <w:p>
      <w:pPr>
        <w:rPr>
          <w:noProof/>
        </w:rPr>
      </w:pPr>
      <w:r>
        <w:rPr>
          <w:noProof/>
        </w:rPr>
        <w:t>A Tanács elnöke az Unió nevében értesíti a megállapodás részes feleit a megállapodást módosító megállapodás Unió általi megkötéséről.</w:t>
      </w:r>
    </w:p>
    <w:p>
      <w:pPr>
        <w:jc w:val="center"/>
        <w:rPr>
          <w:i/>
          <w:noProof/>
        </w:rPr>
      </w:pPr>
      <w:r>
        <w:rPr>
          <w:i/>
          <w:noProof/>
        </w:rPr>
        <w:t>3. cikk</w:t>
      </w:r>
    </w:p>
    <w:p>
      <w:pPr>
        <w:rPr>
          <w:noProof/>
          <w:color w:val="000000"/>
        </w:rPr>
      </w:pPr>
      <w:r>
        <w:rPr>
          <w:noProof/>
        </w:rPr>
        <w:t>A megállapodás módosításai nem értelmezhetők úgy, mint amelyek olyan jogokat biztosítanak vagy kötelezettségeket írnak elő, amelyekre közvetlenül hivatkozni lehet az uniós és tagállami bíróságok és törvényszékek előtt.</w:t>
      </w:r>
    </w:p>
    <w:p>
      <w:pPr>
        <w:jc w:val="center"/>
        <w:rPr>
          <w:i/>
          <w:noProof/>
          <w:color w:val="000000"/>
        </w:rPr>
      </w:pPr>
      <w:r>
        <w:rPr>
          <w:i/>
          <w:noProof/>
        </w:rPr>
        <w:t>4. cikk</w:t>
      </w:r>
    </w:p>
    <w:p>
      <w:pPr>
        <w:rPr>
          <w:noProof/>
          <w:color w:val="000000"/>
        </w:rPr>
      </w:pPr>
      <w:r>
        <w:rPr>
          <w:noProof/>
          <w:color w:val="000000"/>
        </w:rPr>
        <w:t>Ez a határozat az elfogadásának napján lép hatályba.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footnotePr>
        <w:numRestart w:val="eachPage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 Tanács határozata (2009. július 13.) az egyrészről az Európai Közösség, másrészről a csendes-óceáni államok közötti átmeneti gazdasági partnerségi megállapodás aláírásáról és ideiglenes alkalmazásáról (HL L 272., 2009.10.16., 1. o.).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HL L 333., 2018.12.28., 1. 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HL L 287., 2010.11.4., 3. o. A Luxembourgban 2005. június 25-én (HL L 209., 2005.8.11., 27. o.) és Ouagadougouban 2010. június 22-én (HL L 287., 2010.11.4., 3. o.) aláírt megállapodások által módosított megállapodás.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Tanácsi irányelvek az AKCS-országokkal és -régiókkal való gazdasági partnerségi megállapodások megkötésére irányuló tárgyalásokról (9930/02 (DG E II) HH/sg).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HL L 272., 2009.10.16., 2. o.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HL L 333., 2018.12.28., 1. 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926F5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CB3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E3C75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F4240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CC855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E81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B5842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D03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15 09:13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EE5637A-A1C7-4B4C-A832-D3BA02537862"/>
    <w:docVar w:name="LW_COVERPAGE_TYPE" w:val="1"/>
    <w:docVar w:name="LW_CROSSREFERENCE" w:val="&lt;UNUSED&gt;"/>
    <w:docVar w:name="LW_DocType" w:val="COM"/>
    <w:docVar w:name="LW_EMISSION" w:val="2020.6.22."/>
    <w:docVar w:name="LW_EMISSION_ISODATE" w:val="2020-06-22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21"/>
    <w:docVar w:name="LW_REF.II.NEW.CP_YEAR" w:val="2020"/>
    <w:docVar w:name="LW_REF.INST.NEW" w:val="COM"/>
    <w:docVar w:name="LW_REF.INST.NEW_ADOPTED" w:val="final"/>
    <w:docVar w:name="LW_REF.INST.NEW_TEXT" w:val="(2020) 2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gyrészr\u337?l az Európai Közösség, másrészr\u337?l a csendes-óceáni államok közötti átmeneti partnerségi megállapodásnak a Szamoai Független Állam és más csendes-óceáni szigetállamok jöv\u337?beli csatlakozásának figyelembevétele céljából történ\u337? módosításáról szóló megállapodás megkötésér\u337?l _x000b_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FED699-23EB-4A02-ACC6-6051069B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7</Pages>
  <Words>1647</Words>
  <Characters>11749</Characters>
  <Application>Microsoft Office Word</Application>
  <DocSecurity>0</DocSecurity>
  <Lines>206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2020-02-18T15:02:00Z</cp:lastPrinted>
  <dcterms:created xsi:type="dcterms:W3CDTF">2020-06-03T07:22:00Z</dcterms:created>
  <dcterms:modified xsi:type="dcterms:W3CDTF">2020-06-15T07:13:00Z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