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C" w:rsidRDefault="00164483" w:rsidP="00164483">
      <w:pPr>
        <w:pStyle w:val="Pagedecouverture"/>
        <w:rPr>
          <w:noProof/>
        </w:rPr>
      </w:pPr>
      <w:bookmarkStart w:id="0" w:name="LW_BM_COVERPAGE"/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alt="B04C3FBF-9EA0-4EDD-8653-77DB8A96CB0A" style="width:451.55pt;height:386.75pt">
            <v:imagedata r:id="rId12" o:title=""/>
          </v:shape>
        </w:pict>
      </w:r>
    </w:p>
    <w:bookmarkEnd w:id="0"/>
    <w:p w:rsidR="00C73F2C" w:rsidRDefault="00C73F2C">
      <w:pPr>
        <w:rPr>
          <w:noProof/>
        </w:rPr>
        <w:sectPr w:rsidR="00C73F2C" w:rsidSect="0016448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 w:rsidR="00C73F2C" w:rsidRDefault="00164483">
      <w:pPr>
        <w:pStyle w:val="Typedudocument"/>
        <w:rPr>
          <w:noProof/>
        </w:rPr>
      </w:pPr>
      <w:r>
        <w:rPr>
          <w:noProof/>
        </w:rPr>
        <w:lastRenderedPageBreak/>
        <w:t>OZNÁMENIE KOMISIE EURÓPSKEMU PARLAMENTU, RADE, EURÓPSKEMU HOSPODÁRSKEMU A SOCIÁLNEMU VÝBORU A VÝBORU REGIÓNOV</w:t>
      </w:r>
    </w:p>
    <w:p w:rsidR="00C73F2C" w:rsidRDefault="00164483">
      <w:pPr>
        <w:pStyle w:val="Titreobjet"/>
        <w:rPr>
          <w:noProof/>
        </w:rPr>
      </w:pPr>
      <w:r>
        <w:rPr>
          <w:noProof/>
        </w:rPr>
        <w:t xml:space="preserve">Cestovný ruch a doprava v roku 2020 </w:t>
      </w:r>
      <w:r>
        <w:rPr>
          <w:noProof/>
        </w:rPr>
        <w:t>a v ďalšom období</w:t>
      </w:r>
    </w:p>
    <w:p w:rsidR="00C73F2C" w:rsidRDefault="00164483">
      <w:pPr>
        <w:pStyle w:val="Bodytext40"/>
        <w:numPr>
          <w:ilvl w:val="0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bCs/>
          <w:noProof/>
        </w:rPr>
      </w:pPr>
      <w:r>
        <w:rPr>
          <w:rStyle w:val="Bodytext412pt"/>
          <w:b/>
          <w:bCs/>
          <w:noProof/>
        </w:rPr>
        <w:t>ÚVOD</w:t>
      </w: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rPr>
          <w:rStyle w:val="Bodytext412pt"/>
          <w:b/>
          <w:bCs/>
          <w:noProof/>
        </w:rPr>
      </w:pPr>
    </w:p>
    <w:p w:rsidR="00C73F2C" w:rsidRDefault="00164483">
      <w:pPr>
        <w:ind w:right="20"/>
        <w:jc w:val="both"/>
        <w:rPr>
          <w:bCs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>Posledné mesiace poznačené krízou spôsobenou ochorením COVID-19 hlboko zasiahli nielen ľudí, ktorí sa infikovali, a ich rodiny, ale spôsobili aj závažné finančné straty podnikom, podnikateľom a pracovnej sile. Okrem toho znamenali o</w:t>
      </w:r>
      <w:r>
        <w:rPr>
          <w:bCs/>
          <w:noProof/>
          <w:shd w:val="clear" w:color="auto" w:fill="FFFFFF"/>
        </w:rPr>
        <w:t>driekanie takmer pre každého. Táto situácia postihla najmä tých, ktorí boli v prvej línii zdravotnej starostlivosti alebo museli dodržiavať intenzívnejšie formy obmedzenia pohybu.</w:t>
      </w:r>
    </w:p>
    <w:p w:rsidR="00C73F2C" w:rsidRDefault="00C73F2C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 w:bidi="fr-FR"/>
        </w:rPr>
      </w:pPr>
    </w:p>
    <w:p w:rsidR="00C73F2C" w:rsidRDefault="00164483">
      <w:pPr>
        <w:ind w:right="20"/>
        <w:jc w:val="both"/>
        <w:rPr>
          <w:bCs/>
          <w:noProof/>
          <w:spacing w:val="-2"/>
          <w:shd w:val="clear" w:color="auto" w:fill="FFFFFF"/>
        </w:rPr>
      </w:pPr>
      <w:r>
        <w:rPr>
          <w:b/>
          <w:noProof/>
          <w:spacing w:val="-2"/>
          <w:shd w:val="clear" w:color="auto" w:fill="FFFFFF"/>
        </w:rPr>
        <w:t xml:space="preserve">Správne, bezpečné a koordinované kroky by v nasledujúcich mesiacoch mohli </w:t>
      </w:r>
      <w:r>
        <w:rPr>
          <w:b/>
          <w:noProof/>
          <w:spacing w:val="-2"/>
          <w:shd w:val="clear" w:color="auto" w:fill="FFFFFF"/>
        </w:rPr>
        <w:t>Európanom poskytnúť šancu na potrebný odpočinok, oddych a pobyt na čerstvom vzduchu a na stretnutia s priateľmi a rodinou v ich vlastných členských štátoch alebo v zahraničí.</w:t>
      </w:r>
      <w:r>
        <w:rPr>
          <w:bCs/>
          <w:noProof/>
          <w:spacing w:val="-2"/>
          <w:shd w:val="clear" w:color="auto" w:fill="FFFFFF"/>
        </w:rPr>
        <w:t xml:space="preserve"> Mnohým táto myšlienka pomáhala zvládať celú situáciu, zároveň však chcú mať istot</w:t>
      </w:r>
      <w:r>
        <w:rPr>
          <w:bCs/>
          <w:noProof/>
          <w:spacing w:val="-2"/>
          <w:shd w:val="clear" w:color="auto" w:fill="FFFFFF"/>
        </w:rPr>
        <w:t>u, že budú k dispozícii hotely, kempingy a reštaurácie, bary a kaviarne, kam sa bude dať ísť, trekingové trasy, riečne a cyklistické trasy, kultúrne atrakcie prístupné pre návštevníkov, doprava, aby sa tam bez obmedzení dostali, a predovšetkým, že sa urobí</w:t>
      </w:r>
      <w:r>
        <w:rPr>
          <w:bCs/>
          <w:noProof/>
          <w:spacing w:val="-2"/>
          <w:shd w:val="clear" w:color="auto" w:fill="FFFFFF"/>
        </w:rPr>
        <w:t xml:space="preserve"> všetko pre to, aby sa zabezpečilo, že budú v najvyššej možnej miere chránení pred nákazou.</w:t>
      </w:r>
    </w:p>
    <w:p w:rsidR="00C73F2C" w:rsidRDefault="00C73F2C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 w:bidi="fr-FR"/>
        </w:rPr>
      </w:pPr>
    </w:p>
    <w:p w:rsidR="00C73F2C" w:rsidRDefault="00164483">
      <w:pPr>
        <w:jc w:val="both"/>
        <w:rPr>
          <w:noProof/>
          <w:shd w:val="clear" w:color="auto" w:fill="FFFFFF"/>
        </w:rPr>
      </w:pPr>
      <w:r>
        <w:rPr>
          <w:b/>
          <w:bCs/>
          <w:noProof/>
          <w:shd w:val="clear" w:color="auto" w:fill="FFFFFF"/>
        </w:rPr>
        <w:t xml:space="preserve">Počas nasledujúcich mesiacov by sa nemalo zabudnúť na dynamický európsky ekosystém cestovného ruchu, ktorý zahŕňa celý rad činností, ako je cestovanie, doprava, </w:t>
      </w:r>
      <w:r>
        <w:rPr>
          <w:b/>
          <w:bCs/>
          <w:noProof/>
          <w:shd w:val="clear" w:color="auto" w:fill="FFFFFF"/>
        </w:rPr>
        <w:t>ubytovanie, stravovanie, rekreácia na pevnine a vode, kultúra alebo príroda.</w:t>
      </w:r>
      <w:r>
        <w:rPr>
          <w:noProof/>
          <w:shd w:val="clear" w:color="auto" w:fill="FFFFFF"/>
        </w:rPr>
        <w:t xml:space="preserve"> Cestovný ruch priamo a nepriamo prispieva k takmer 10 % HDP EÚ a vďaka nemu sa EÚ stala vedúcou svetovou turistickou destináciou s 563 miliónmi medzinárodných príchodov a 30 % glo</w:t>
      </w:r>
      <w:r>
        <w:rPr>
          <w:noProof/>
          <w:shd w:val="clear" w:color="auto" w:fill="FFFFFF"/>
        </w:rPr>
        <w:t>bálnych príjmov v roku 2018</w:t>
      </w:r>
      <w:r>
        <w:rPr>
          <w:rStyle w:val="FootnoteReference"/>
          <w:rFonts w:eastAsiaTheme="minorHAnsi"/>
          <w:noProof/>
          <w:shd w:val="clear" w:color="auto" w:fill="FFFFFF"/>
          <w:lang w:eastAsia="fr-FR" w:bidi="fr-FR"/>
        </w:rPr>
        <w:footnoteReference w:id="2"/>
      </w:r>
      <w:r>
        <w:rPr>
          <w:noProof/>
          <w:shd w:val="clear" w:color="auto" w:fill="FFFFFF"/>
        </w:rPr>
        <w:t>.</w:t>
      </w:r>
    </w:p>
    <w:p w:rsidR="00C73F2C" w:rsidRDefault="00C73F2C">
      <w:pPr>
        <w:jc w:val="both"/>
        <w:rPr>
          <w:noProof/>
          <w:color w:val="auto"/>
        </w:rPr>
      </w:pPr>
    </w:p>
    <w:p w:rsidR="00C73F2C" w:rsidRDefault="00164483">
      <w:pPr>
        <w:ind w:right="20"/>
        <w:jc w:val="both"/>
        <w:rPr>
          <w:noProof/>
        </w:rPr>
      </w:pPr>
      <w:r>
        <w:rPr>
          <w:noProof/>
          <w:shd w:val="clear" w:color="auto" w:fill="FFFFFF"/>
        </w:rPr>
        <w:t>Pre mnohé členské štáty, európske regióny a mestá je cestovný ruch kľúčovou súčasťou hospodárskej a sociálnej štruktúry</w:t>
      </w:r>
      <w:r>
        <w:rPr>
          <w:noProof/>
        </w:rPr>
        <w:t xml:space="preserve">. </w:t>
      </w:r>
      <w:r>
        <w:rPr>
          <w:bCs/>
          <w:noProof/>
          <w:shd w:val="clear" w:color="auto" w:fill="FFFFFF"/>
        </w:rPr>
        <w:t>Poskytuje veľmi potrebné pracovné miesta a príjmy, ktoré sú často sústredené v regiónoch bez alternatívn</w:t>
      </w:r>
      <w:r>
        <w:rPr>
          <w:bCs/>
          <w:noProof/>
          <w:shd w:val="clear" w:color="auto" w:fill="FFFFFF"/>
        </w:rPr>
        <w:t>ych zdrojov zamestnanosti a zahŕňajú nízkokvalifikovaných pracovníkov. Tento ekosystém bol však silne narušený.</w:t>
      </w:r>
      <w:r>
        <w:rPr>
          <w:b/>
          <w:noProof/>
          <w:color w:val="auto"/>
        </w:rPr>
        <w:t xml:space="preserve"> </w:t>
      </w:r>
      <w:r>
        <w:rPr>
          <w:bCs/>
          <w:noProof/>
          <w:shd w:val="clear" w:color="auto" w:fill="FFFFFF"/>
        </w:rPr>
        <w:t xml:space="preserve">Svetová organizácia pre cestovný ruch (UNWTO) predpokladá pokles medzinárodného cestovného ruchu o 60 % až 80 % v porovnaní s minulým rokom, čo </w:t>
      </w:r>
      <w:r>
        <w:rPr>
          <w:bCs/>
          <w:noProof/>
          <w:shd w:val="clear" w:color="auto" w:fill="FFFFFF"/>
        </w:rPr>
        <w:t xml:space="preserve">predstavuje straty vo výške 840 mld. až </w:t>
      </w:r>
      <w:r>
        <w:rPr>
          <w:bCs/>
          <w:noProof/>
          <w:u w:val="single"/>
          <w:shd w:val="clear" w:color="auto" w:fill="FFFFFF"/>
        </w:rPr>
        <w:t>1,100 mld.</w:t>
      </w:r>
      <w:r>
        <w:rPr>
          <w:bCs/>
          <w:noProof/>
          <w:shd w:val="clear" w:color="auto" w:fill="FFFFFF"/>
        </w:rPr>
        <w:t xml:space="preserve"> EUR z celosvetových príjmov z vývozu. Nasledujúce mesiace sú rozhodujúce:</w:t>
      </w:r>
      <w:r>
        <w:rPr>
          <w:noProof/>
          <w:shd w:val="clear" w:color="auto" w:fill="FFFFFF"/>
        </w:rPr>
        <w:t xml:space="preserve"> </w:t>
      </w:r>
      <w:r>
        <w:rPr>
          <w:noProof/>
        </w:rPr>
        <w:t xml:space="preserve">počas </w:t>
      </w:r>
      <w:r>
        <w:rPr>
          <w:bCs/>
          <w:noProof/>
          <w:shd w:val="clear" w:color="auto" w:fill="FFFFFF"/>
        </w:rPr>
        <w:t>priemernej letnej sezóny (jún – august) uskutočnia obyvatelia EÚ 385 miliónov turistických ciest a minú 190 mld. EUR</w:t>
      </w:r>
      <w:r>
        <w:rPr>
          <w:rStyle w:val="FootnoteReference"/>
          <w:rFonts w:eastAsiaTheme="minorHAnsi"/>
          <w:bCs/>
          <w:noProof/>
          <w:shd w:val="clear" w:color="auto" w:fill="FFFFFF"/>
          <w:lang w:eastAsia="fr-FR"/>
        </w:rPr>
        <w:footnoteReference w:id="3"/>
      </w:r>
      <w:r>
        <w:rPr>
          <w:noProof/>
        </w:rPr>
        <w:t>.</w:t>
      </w:r>
    </w:p>
    <w:p w:rsidR="00C73F2C" w:rsidRDefault="00C73F2C">
      <w:pPr>
        <w:ind w:right="20"/>
        <w:jc w:val="both"/>
        <w:rPr>
          <w:rFonts w:eastAsiaTheme="minorHAnsi"/>
          <w:bCs/>
          <w:noProof/>
          <w:shd w:val="clear" w:color="auto" w:fill="FFFFFF"/>
          <w:lang w:eastAsia="fr-FR"/>
        </w:rPr>
      </w:pPr>
    </w:p>
    <w:p w:rsidR="00C73F2C" w:rsidRDefault="00164483">
      <w:pPr>
        <w:ind w:right="20"/>
        <w:jc w:val="both"/>
        <w:rPr>
          <w:bCs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>V tom</w:t>
      </w:r>
      <w:r>
        <w:rPr>
          <w:bCs/>
          <w:noProof/>
          <w:shd w:val="clear" w:color="auto" w:fill="FFFFFF"/>
        </w:rPr>
        <w:t xml:space="preserve">to oznámení a sprievodných iniciatívach sa stanovuje </w:t>
      </w:r>
      <w:r>
        <w:rPr>
          <w:b/>
          <w:bCs/>
          <w:noProof/>
          <w:shd w:val="clear" w:color="auto" w:fill="FFFFFF"/>
        </w:rPr>
        <w:t>koordinovaný rámec, ktorý má celej Európe umožniť profitovať z pokojnej a predovšetkým bezpečnej turistickej sezóny</w:t>
      </w:r>
      <w:r>
        <w:rPr>
          <w:bCs/>
          <w:noProof/>
          <w:shd w:val="clear" w:color="auto" w:fill="FFFFFF"/>
        </w:rPr>
        <w:t>, a to postupne od tohto leta až do nasledujúcej zimy a neskôr. Oznámenie sa zároveň zam</w:t>
      </w:r>
      <w:r>
        <w:rPr>
          <w:bCs/>
          <w:noProof/>
          <w:shd w:val="clear" w:color="auto" w:fill="FFFFFF"/>
        </w:rPr>
        <w:t>eriava na podporu udržateľnosti nášho cenného ekosystému cestovného ruchu pre budúce generácie.</w:t>
      </w: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b w:val="0"/>
          <w:noProof/>
          <w:sz w:val="24"/>
          <w:szCs w:val="24"/>
          <w:shd w:val="clear" w:color="auto" w:fill="FFFFFF"/>
        </w:rPr>
      </w:pPr>
    </w:p>
    <w:p w:rsidR="00C73F2C" w:rsidRDefault="0016448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b w:val="0"/>
          <w:noProof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lastRenderedPageBreak/>
        <w:t xml:space="preserve">Jeho cieľom je pomôcť členským štátom pri rušení opatrení na obmedzenie pohybu a pri obnove podnikania, práce a spoločenského života v súlade </w:t>
      </w:r>
      <w:r>
        <w:rPr>
          <w:b w:val="0"/>
          <w:noProof/>
          <w:sz w:val="24"/>
          <w:szCs w:val="24"/>
          <w:shd w:val="clear" w:color="auto" w:fill="FFFFFF"/>
        </w:rPr>
        <w:t>s epidemiologickými kritériami a kritériami verejného zdravia.</w:t>
      </w: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b w:val="0"/>
          <w:noProof/>
          <w:sz w:val="24"/>
          <w:szCs w:val="24"/>
          <w:shd w:val="clear" w:color="auto" w:fill="FFFFFF"/>
        </w:rPr>
      </w:pPr>
    </w:p>
    <w:p w:rsidR="00C73F2C" w:rsidRDefault="0016448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b w:val="0"/>
          <w:noProof/>
          <w:sz w:val="24"/>
          <w:szCs w:val="24"/>
          <w:shd w:val="clear" w:color="auto" w:fill="FFFFFF"/>
        </w:rPr>
      </w:pPr>
      <w:r>
        <w:rPr>
          <w:b w:val="0"/>
          <w:noProof/>
          <w:sz w:val="24"/>
          <w:szCs w:val="24"/>
          <w:shd w:val="clear" w:color="auto" w:fill="FFFFFF"/>
        </w:rPr>
        <w:t>Tento koordinovaný rámec, ktorý vychádza zo spoločného európskeho plánu na zrušenie opatrení na zamedzenie šírenia COVID-19</w:t>
      </w:r>
      <w:r>
        <w:rPr>
          <w:rStyle w:val="FootnoteReference"/>
          <w:rFonts w:eastAsiaTheme="minorHAnsi"/>
          <w:b w:val="0"/>
          <w:noProof/>
          <w:sz w:val="24"/>
          <w:szCs w:val="24"/>
        </w:rPr>
        <w:footnoteReference w:id="4"/>
      </w:r>
      <w:r>
        <w:rPr>
          <w:b w:val="0"/>
          <w:noProof/>
          <w:sz w:val="24"/>
          <w:szCs w:val="24"/>
          <w:shd w:val="clear" w:color="auto" w:fill="FFFFFF"/>
        </w:rPr>
        <w:t>, je založený na spoločných, objektívnych a nediskriminačných zásadá</w:t>
      </w:r>
      <w:r>
        <w:rPr>
          <w:b w:val="0"/>
          <w:noProof/>
          <w:sz w:val="24"/>
          <w:szCs w:val="24"/>
          <w:shd w:val="clear" w:color="auto" w:fill="FFFFFF"/>
        </w:rPr>
        <w:t>ch, kritériách a odporúčaniach, ktoré majú usmerniť členské štáty, príslušné orgány, priemyselné subjekty, hospodárske subjekty a občanov počas ďalších krokov procesu uvoľňovania opatrení.</w:t>
      </w: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z w:val="24"/>
          <w:szCs w:val="24"/>
          <w:shd w:val="clear" w:color="auto" w:fill="FFFFFF"/>
        </w:rPr>
      </w:pPr>
    </w:p>
    <w:p w:rsidR="00C73F2C" w:rsidRDefault="0016448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Fonts w:eastAsiaTheme="minorHAnsi"/>
          <w:noProof/>
          <w:spacing w:val="-2"/>
          <w:shd w:val="clear" w:color="auto" w:fill="FFFFFF"/>
        </w:rPr>
      </w:pPr>
      <w:r>
        <w:rPr>
          <w:rStyle w:val="Bodytext412pt"/>
          <w:noProof/>
          <w:spacing w:val="-2"/>
        </w:rPr>
        <w:t>Príliš rýchle zrušenie opatrení by však mohlo spôsobiť náhly opäto</w:t>
      </w:r>
      <w:r>
        <w:rPr>
          <w:rStyle w:val="Bodytext412pt"/>
          <w:noProof/>
          <w:spacing w:val="-2"/>
        </w:rPr>
        <w:t>vný výskyt infekcií. Pokiaľ nebude k dispozícii očkovacia látka alebo liečba, je nutné zvažovať potreby a prínosy cestovania a cestovného ruchu vo vzťahu k rizikám uľahčenia šírenia vírusu a možného náhleho opätovného výskytu prípadov, čo by si mohlo vyžia</w:t>
      </w:r>
      <w:r>
        <w:rPr>
          <w:rStyle w:val="Bodytext412pt"/>
          <w:noProof/>
          <w:spacing w:val="-2"/>
        </w:rPr>
        <w:t>dať opätovné zavedenie opatrení na obmedzenie pohybu.</w:t>
      </w:r>
      <w:r>
        <w:rPr>
          <w:rStyle w:val="Bodytext412pt"/>
          <w:b/>
          <w:noProof/>
          <w:spacing w:val="-2"/>
        </w:rPr>
        <w:t xml:space="preserve"> </w:t>
      </w:r>
      <w:r>
        <w:rPr>
          <w:rStyle w:val="Bodytext412pt"/>
          <w:noProof/>
          <w:spacing w:val="-2"/>
        </w:rPr>
        <w:t>Z</w:t>
      </w:r>
      <w:r>
        <w:rPr>
          <w:rStyle w:val="Bodytext412pt"/>
          <w:b/>
          <w:noProof/>
          <w:spacing w:val="-2"/>
        </w:rPr>
        <w:t> </w:t>
      </w:r>
      <w:r>
        <w:rPr>
          <w:rStyle w:val="Bodytext412pt"/>
          <w:noProof/>
          <w:spacing w:val="-2"/>
        </w:rPr>
        <w:t>tohto dôvodu by sa mali zaviesť plány pripravenosti na všetkých úrovniach – od úrovne EÚ a členských štátov až po úroveň jednotlivých podnikov, prevádzkovateľov dopravy a iných odvetví cestovného ruch</w:t>
      </w:r>
      <w:r>
        <w:rPr>
          <w:rStyle w:val="Bodytext412pt"/>
          <w:noProof/>
          <w:spacing w:val="-2"/>
        </w:rPr>
        <w:t>u –, aby bolo možné rýchlo a koordinovane prijať vhodné opatrenia na základe explicitných kritérií.</w:t>
      </w:r>
    </w:p>
    <w:p w:rsidR="00C73F2C" w:rsidRDefault="00C73F2C">
      <w:pPr>
        <w:pStyle w:val="Bodytext40"/>
        <w:spacing w:before="0" w:after="0" w:line="240" w:lineRule="auto"/>
        <w:ind w:right="23"/>
        <w:jc w:val="both"/>
        <w:rPr>
          <w:rStyle w:val="Bodytext412pt"/>
          <w:noProof/>
        </w:rPr>
      </w:pPr>
    </w:p>
    <w:p w:rsidR="00C73F2C" w:rsidRDefault="00164483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  <w:r>
        <w:rPr>
          <w:rStyle w:val="Bodytext412pt"/>
          <w:bCs/>
          <w:noProof/>
        </w:rPr>
        <w:t>Toto oznámenie sprevádza balík súvisiacich dokumentov, ktoré majú ľuďom poskytnúť uistenie a sprehľadniť pre nich situáciu a sektoru cestovného ruchu a dop</w:t>
      </w:r>
      <w:r>
        <w:rPr>
          <w:rStyle w:val="Bodytext412pt"/>
          <w:bCs/>
          <w:noProof/>
        </w:rPr>
        <w:t>ravy umožniť cestu k obnove, aby sa zabezpečilo, že EÚ si zachová svoju pozíciu svetového lídra v oblasti udržateľného a inovatívneho cestovného ruchu.</w:t>
      </w: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V tomto balíku sa spájajú usmernenia a odporúčania s cieľom:</w:t>
            </w:r>
          </w:p>
          <w:p w:rsidR="00C73F2C" w:rsidRDefault="00C73F2C">
            <w:pPr>
              <w:rPr>
                <w:rStyle w:val="Bodytext412pt"/>
                <w:b w:val="0"/>
                <w:bCs w:val="0"/>
                <w:noProof/>
              </w:rPr>
            </w:pPr>
          </w:p>
          <w:p w:rsidR="00C73F2C" w:rsidRDefault="0016448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 xml:space="preserve">bezpečne obnoviť neobmedzený voľný pohyb </w:t>
            </w:r>
            <w:r>
              <w:rPr>
                <w:rStyle w:val="Bodytext412pt"/>
                <w:b w:val="0"/>
                <w:bCs w:val="0"/>
                <w:noProof/>
              </w:rPr>
              <w:t>a znovu otvoriť vnútorné hranice: usmernenia k obnoveniu slobody pohybu a rušeniu kontrol na vnútorných hraniciach</w:t>
            </w:r>
          </w:p>
          <w:p w:rsidR="00C73F2C" w:rsidRDefault="0016448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bezpečne obnoviť dopravu a prepojenosť: usmernenia k doprave</w:t>
            </w:r>
          </w:p>
          <w:p w:rsidR="00C73F2C" w:rsidRDefault="0016448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 w:val="0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 xml:space="preserve">bezpečne obnoviť služby cestovného ruchu: usmernenia k cestovnému ruchu, najmä </w:t>
            </w:r>
            <w:r>
              <w:rPr>
                <w:rStyle w:val="Bodytext412pt"/>
                <w:b w:val="0"/>
                <w:bCs w:val="0"/>
                <w:noProof/>
              </w:rPr>
              <w:t>pokiaľ ide o ubytovacie a stravovacie služby</w:t>
            </w:r>
          </w:p>
          <w:p w:rsidR="00C73F2C" w:rsidRDefault="00164483">
            <w:pPr>
              <w:pStyle w:val="ListParagraph"/>
              <w:numPr>
                <w:ilvl w:val="0"/>
                <w:numId w:val="26"/>
              </w:numPr>
              <w:rPr>
                <w:rStyle w:val="Bodytext412pt"/>
                <w:bCs w:val="0"/>
                <w:noProof/>
              </w:rPr>
            </w:pPr>
            <w:r>
              <w:rPr>
                <w:rStyle w:val="Bodytext412pt"/>
                <w:b w:val="0"/>
                <w:bCs w:val="0"/>
                <w:noProof/>
              </w:rPr>
              <w:t>riešiť nedostatok likvidity a obnoviť dôveru spotrebiteľov: odporúčanie týkajúce sa poukazov</w:t>
            </w:r>
          </w:p>
        </w:tc>
      </w:tr>
    </w:tbl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Cs/>
          <w:noProof/>
        </w:rPr>
      </w:pPr>
    </w:p>
    <w:p w:rsidR="00C73F2C" w:rsidRDefault="00164483">
      <w:pPr>
        <w:pStyle w:val="Bodytext40"/>
        <w:numPr>
          <w:ilvl w:val="0"/>
          <w:numId w:val="22"/>
        </w:numPr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  <w:r>
        <w:rPr>
          <w:rStyle w:val="Bodytext412pt"/>
          <w:b/>
          <w:noProof/>
        </w:rPr>
        <w:t>POSKYTNÚŤ ĽUĎOM MOŽNOSŤ, DÔVERU A BEZPEČNOSŤ, ABY MOHLI ZNOVU CESTOVAŤ</w:t>
      </w:r>
    </w:p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</w:p>
    <w:p w:rsidR="00C73F2C" w:rsidRDefault="00164483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jc w:val="both"/>
        <w:rPr>
          <w:b w:val="0"/>
          <w:noProof/>
        </w:rPr>
      </w:pPr>
      <w:r>
        <w:rPr>
          <w:b w:val="0"/>
          <w:noProof/>
        </w:rPr>
        <w:t xml:space="preserve">Mnohí Európania majú veľký záujem zmeniť </w:t>
      </w:r>
      <w:r>
        <w:rPr>
          <w:b w:val="0"/>
          <w:noProof/>
        </w:rPr>
        <w:t>počas letných mesiacov prostredie a oddýchnuť si, ale zároveň si chcú byť istí, že môžu cestovať a tráviť svoju dovolenku bezpečne.</w:t>
      </w:r>
    </w:p>
    <w:p w:rsidR="00C73F2C" w:rsidRDefault="00C73F2C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jc w:val="both"/>
        <w:rPr>
          <w:b w:val="0"/>
          <w:noProof/>
        </w:rPr>
      </w:pPr>
    </w:p>
    <w:p w:rsidR="00C73F2C" w:rsidRDefault="0016448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  <w:sz w:val="24"/>
          <w:szCs w:val="24"/>
        </w:rPr>
      </w:pPr>
      <w:r>
        <w:rPr>
          <w:noProof/>
          <w:sz w:val="24"/>
        </w:rPr>
        <w:t>a)</w:t>
      </w:r>
      <w:r>
        <w:rPr>
          <w:noProof/>
        </w:rPr>
        <w:tab/>
      </w:r>
      <w:r>
        <w:rPr>
          <w:noProof/>
          <w:sz w:val="24"/>
          <w:szCs w:val="24"/>
        </w:rPr>
        <w:t>Bezpečné obnovenie neobmedzeného voľného pohybu a opätovné otvorenie vnútorných hraníc</w:t>
      </w:r>
    </w:p>
    <w:p w:rsidR="00C73F2C" w:rsidRDefault="00164483">
      <w:pPr>
        <w:pStyle w:val="Bodytext30"/>
        <w:shd w:val="clear" w:color="auto" w:fill="auto"/>
        <w:spacing w:line="240" w:lineRule="auto"/>
        <w:rPr>
          <w:rStyle w:val="Bodytext412pt"/>
          <w:b w:val="0"/>
          <w:bCs w:val="0"/>
          <w:noProof/>
        </w:rPr>
      </w:pPr>
      <w:r>
        <w:rPr>
          <w:noProof/>
          <w:sz w:val="24"/>
          <w:szCs w:val="24"/>
        </w:rPr>
        <w:t xml:space="preserve">Od začiatku pandémie prakticky </w:t>
      </w:r>
      <w:r>
        <w:rPr>
          <w:noProof/>
          <w:sz w:val="24"/>
          <w:szCs w:val="24"/>
        </w:rPr>
        <w:t xml:space="preserve">všetky členské štáty zaviedli obmedzenia týkajúce sa tých ciest, ktoré nie sú nevyhnutné, pričom tieto obmedzenia často sprevádza požiadavka, aby cezhraniční cestujúci zostávali v karanténe. Vonkajšie hranice EÚ sa uzavreli, pokiaľ </w:t>
      </w:r>
      <w:r>
        <w:rPr>
          <w:noProof/>
          <w:sz w:val="24"/>
          <w:szCs w:val="24"/>
        </w:rPr>
        <w:lastRenderedPageBreak/>
        <w:t>ide o cesty, ktoré nie s</w:t>
      </w:r>
      <w:r>
        <w:rPr>
          <w:noProof/>
          <w:sz w:val="24"/>
          <w:szCs w:val="24"/>
        </w:rPr>
        <w:t>ú nevyhnutné, a mnohé členské štáty dočasne obnovili kontrolu vnútorných hraníc. Znamenalo to, že milióny európskych občanov náhle nemohli cestovať za prácou, vzdelaním alebo z rekreačných dôvodov</w:t>
      </w:r>
      <w:r>
        <w:rPr>
          <w:rStyle w:val="FootnoteReference"/>
          <w:noProof/>
          <w:sz w:val="24"/>
          <w:szCs w:val="24"/>
        </w:rPr>
        <w:footnoteReference w:id="5"/>
      </w:r>
      <w:r>
        <w:rPr>
          <w:noProof/>
          <w:sz w:val="24"/>
          <w:szCs w:val="24"/>
        </w:rPr>
        <w:t>, pričom mnohí z nich zostali mesiace odlúčení od svojich r</w:t>
      </w:r>
      <w:r>
        <w:rPr>
          <w:noProof/>
          <w:sz w:val="24"/>
          <w:szCs w:val="24"/>
        </w:rPr>
        <w:t>odín a priateľov.</w:t>
      </w:r>
    </w:p>
    <w:p w:rsidR="00C73F2C" w:rsidRDefault="00C73F2C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</w:p>
    <w:p w:rsidR="00C73F2C" w:rsidRDefault="00164483">
      <w:pPr>
        <w:pStyle w:val="Bodytext50"/>
        <w:tabs>
          <w:tab w:val="left" w:pos="422"/>
        </w:tabs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Európsky cestovný ruch závisí od možnosti Európanov voľne sa pohybovať po celej EÚ.</w:t>
      </w:r>
    </w:p>
    <w:p w:rsidR="00C73F2C" w:rsidRDefault="00164483">
      <w:pPr>
        <w:pStyle w:val="Bodytext50"/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w:t>V oznámení „Smerom k fázovému a koordinovanému prístupu k obnoveniu slobody pohybu a rušeniu kontrol na vnútorných hraniciach“</w:t>
      </w:r>
      <w:r>
        <w:rPr>
          <w:rStyle w:val="FootnoteReference"/>
          <w:noProof/>
          <w:sz w:val="24"/>
          <w:szCs w:val="24"/>
        </w:rPr>
        <w:footnoteReference w:id="6"/>
      </w:r>
      <w:r>
        <w:rPr>
          <w:b w:val="0"/>
          <w:noProof/>
          <w:sz w:val="24"/>
          <w:szCs w:val="24"/>
        </w:rPr>
        <w:t>, ktoré Komisia prijala ak</w:t>
      </w:r>
      <w:r>
        <w:rPr>
          <w:b w:val="0"/>
          <w:noProof/>
          <w:sz w:val="24"/>
          <w:szCs w:val="24"/>
        </w:rPr>
        <w:t>o súčasť tohto balíka, sa uvádzajú odporúčania týkajúce sa postupného rušenia obmedzení voľného pohybu a kontrol na vnútorných hraniciach v celej EÚ. Navrhuje sa v ňom flexibilný postupný prístup, ktorý si vyžaduje úzku koordináciu medzi členskými štátmi a</w:t>
      </w:r>
      <w:r>
        <w:rPr>
          <w:b w:val="0"/>
          <w:noProof/>
          <w:sz w:val="24"/>
          <w:szCs w:val="24"/>
        </w:rPr>
        <w:t> Komisiou s cieľom postupne zrušiť kontrolu hraníc, aby sa zabezpečila</w:t>
      </w:r>
      <w:r>
        <w:rPr>
          <w:noProof/>
          <w:sz w:val="24"/>
          <w:szCs w:val="24"/>
        </w:rPr>
        <w:t xml:space="preserve"> neobmedzená sloboda pohybu</w:t>
      </w:r>
      <w:r>
        <w:rPr>
          <w:b w:val="0"/>
          <w:noProof/>
          <w:sz w:val="24"/>
          <w:szCs w:val="24"/>
        </w:rPr>
        <w:t xml:space="preserve"> v rámci EÚ a </w:t>
      </w:r>
      <w:r>
        <w:rPr>
          <w:noProof/>
          <w:sz w:val="24"/>
          <w:szCs w:val="24"/>
        </w:rPr>
        <w:t>obnovila integrita schengenského priestoru</w:t>
      </w:r>
      <w:r>
        <w:rPr>
          <w:b w:val="0"/>
          <w:noProof/>
          <w:sz w:val="24"/>
          <w:szCs w:val="24"/>
        </w:rPr>
        <w:t>.</w:t>
      </w:r>
    </w:p>
    <w:p w:rsidR="00C73F2C" w:rsidRDefault="00164483">
      <w:pPr>
        <w:spacing w:before="120"/>
        <w:jc w:val="both"/>
        <w:rPr>
          <w:noProof/>
        </w:rPr>
      </w:pPr>
      <w:r>
        <w:rPr>
          <w:noProof/>
        </w:rPr>
        <w:t>Postupne s tým, ako členské štáty zvládajú znižovať mieru šírenia nákazy, by sa plošné obmedzenia voľ</w:t>
      </w:r>
      <w:r>
        <w:rPr>
          <w:noProof/>
        </w:rPr>
        <w:t>ného pohybu do a z iných oblastí alebo regiónov v členských štátoch s podobným celkovým profilom rizika mali nahradiť cielenejšími opatreniami, ktoré by dopĺňali opatrenia na zachovávanie fyzického odstupu a účinné sledovanie a testovanie akýchkoľvek podoz</w:t>
      </w:r>
      <w:r>
        <w:rPr>
          <w:noProof/>
        </w:rPr>
        <w:t>rivých prípadov.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V súlade so spoločným európskym plánom by sa v rámci EÚ mali cestovné obmedzenia zrušiť v prvom rade v tých oblastiach, v ktorých je porovnateľná epidemiologická situácia a v ktorých sú dostatočné kapacity, pokiaľ ide o nemocnice, testova</w:t>
      </w:r>
      <w:r>
        <w:rPr>
          <w:noProof/>
        </w:rPr>
        <w:t>nie, dohľad a sledovanie kontaktov. Európske centrum pre prevenciu a kontrolu chorôb (ECDC) navyše v spolupráci s členskými štátmi a so Spoločným výskumným centrom vypracúva a bude priebežne aktualizovať mapu zobrazujúcu úroveň prenosu COVID-19, a to aj na</w:t>
      </w:r>
      <w:r>
        <w:rPr>
          <w:noProof/>
        </w:rPr>
        <w:t xml:space="preserve"> nižšej ako národnej úrovni. Členské štáty sa vyzývajú, aby poskytovali údaje s cieľom zabezpečiť, aby bola táto mapa úplná, aktuálna a slúžila ako transparentný nástroj na poskytovanie informácií na úrovni EÚ pre potrebu orgánov, prevádzkovateľov dopravy,</w:t>
      </w:r>
      <w:r>
        <w:rPr>
          <w:noProof/>
        </w:rPr>
        <w:t xml:space="preserve"> poskytovateľov služieb a cestujúcich.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b/>
          <w:noProof/>
        </w:rPr>
        <w:t>Aby sa umožnilo postupné odstraňovanie obmedzení voľného pohybu a otváranie vnútorných hraníc, musí sa zabezpečiť proporcionalita a nediskriminácia občanov EÚ</w:t>
      </w:r>
      <w:r>
        <w:rPr>
          <w:noProof/>
        </w:rPr>
        <w:t>. Ak členský štát zruší svoje obmedzenia pohybu do a z urč</w:t>
      </w:r>
      <w:r>
        <w:rPr>
          <w:noProof/>
        </w:rPr>
        <w:t>itých regiónov alebo oblastí v inom členskom štáte z epidemiologických dôvodov, musí sa to nediskriminačne uplatňovať na všetky osoby s bydliskom na týchto územiach bez ohľadu na to, či sú štátnymi príslušníkmi dotknutých členských štátov</w:t>
      </w:r>
      <w:r>
        <w:rPr>
          <w:rStyle w:val="FootnoteReference"/>
          <w:noProof/>
        </w:rPr>
        <w:footnoteReference w:id="7"/>
      </w:r>
      <w:r>
        <w:rPr>
          <w:noProof/>
        </w:rPr>
        <w:t>, a malo by sa to</w:t>
      </w:r>
      <w:r>
        <w:rPr>
          <w:noProof/>
        </w:rPr>
        <w:t xml:space="preserve"> uplatňovať na všetky časti Únie s podobnou epidemiologickou situáciou. Pre bežných občanov to bude znamenať, že budú jasne vedieť, kam môžu cestovať, čo im umožní plánovať.</w:t>
      </w:r>
    </w:p>
    <w:p w:rsidR="00C73F2C" w:rsidRDefault="00C73F2C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</w:rPr>
      </w:pPr>
    </w:p>
    <w:p w:rsidR="00C73F2C" w:rsidRDefault="00C73F2C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rPr>
          <w:trHeight w:val="1966"/>
        </w:trPr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lastRenderedPageBreak/>
              <w:t xml:space="preserve">Komisia poskytuje členským štátom usmernenia, aby mohli postupne a koordinovane </w:t>
            </w:r>
            <w:r>
              <w:rPr>
                <w:i/>
                <w:noProof/>
              </w:rPr>
              <w:t>rušiť obmedzenia voľného pohybu a kontrolu vnútorných hraníc.</w:t>
            </w:r>
          </w:p>
          <w:p w:rsidR="00C73F2C" w:rsidRDefault="00C73F2C">
            <w:pPr>
              <w:jc w:val="both"/>
              <w:rPr>
                <w:i/>
                <w:noProof/>
              </w:rPr>
            </w:pPr>
          </w:p>
          <w:p w:rsidR="00C73F2C" w:rsidRDefault="00164483">
            <w:pPr>
              <w:jc w:val="both"/>
              <w:rPr>
                <w:bCs/>
                <w:i/>
                <w:noProof/>
              </w:rPr>
            </w:pPr>
            <w:r>
              <w:rPr>
                <w:bCs/>
                <w:i/>
                <w:noProof/>
              </w:rPr>
              <w:t>Tento proces bude naďalej uľahčovať výmena informácií a najlepších postupov medzi Komisiou a členskými štátmi, a to aj v rámci „informačnej skupiny COVID-19 – vnútorné záležitosti“.</w:t>
            </w:r>
          </w:p>
          <w:p w:rsidR="00C73F2C" w:rsidRDefault="00C73F2C">
            <w:pPr>
              <w:jc w:val="both"/>
              <w:rPr>
                <w:i/>
                <w:noProof/>
              </w:rPr>
            </w:pPr>
          </w:p>
          <w:p w:rsidR="00C73F2C" w:rsidRDefault="00164483">
            <w:pPr>
              <w:jc w:val="both"/>
              <w:rPr>
                <w:b/>
                <w:i/>
                <w:noProof/>
              </w:rPr>
            </w:pPr>
            <w:r>
              <w:rPr>
                <w:i/>
                <w:noProof/>
              </w:rPr>
              <w:t>Komisia vy</w:t>
            </w:r>
            <w:r>
              <w:rPr>
                <w:i/>
                <w:noProof/>
              </w:rPr>
              <w:t>zýva členské štáty, aby poskytli údaje centru ECDC s cieľom zabezpečiť, aby bola mapa úrovne prenosu COVID-19 na nižšej ako národnej úrovni úplná a neustále aktuálna.</w:t>
            </w:r>
          </w:p>
        </w:tc>
      </w:tr>
    </w:tbl>
    <w:p w:rsidR="00C73F2C" w:rsidRDefault="00C73F2C">
      <w:pPr>
        <w:rPr>
          <w:noProof/>
        </w:rPr>
      </w:pPr>
    </w:p>
    <w:p w:rsidR="00C73F2C" w:rsidRDefault="00164483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sz w:val="24"/>
          <w:szCs w:val="24"/>
        </w:rPr>
        <w:t>b)</w:t>
      </w:r>
      <w:r>
        <w:rPr>
          <w:noProof/>
        </w:rPr>
        <w:tab/>
      </w:r>
      <w:r>
        <w:rPr>
          <w:noProof/>
          <w:sz w:val="24"/>
          <w:szCs w:val="24"/>
        </w:rPr>
        <w:t>Obnovenie bezpečnej dopravy</w:t>
      </w:r>
    </w:p>
    <w:p w:rsidR="00C73F2C" w:rsidRDefault="00C73F2C">
      <w:pPr>
        <w:pStyle w:val="Bodytext50"/>
        <w:shd w:val="clear" w:color="auto" w:fill="auto"/>
        <w:tabs>
          <w:tab w:val="left" w:pos="422"/>
        </w:tabs>
        <w:spacing w:before="0" w:after="0" w:line="240" w:lineRule="auto"/>
        <w:rPr>
          <w:b w:val="0"/>
          <w:noProof/>
          <w:sz w:val="24"/>
          <w:szCs w:val="24"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V </w:t>
      </w:r>
      <w:r>
        <w:rPr>
          <w:b/>
          <w:noProof/>
        </w:rPr>
        <w:t xml:space="preserve">oznámení „COVID-19: Usmernenia k postupnému </w:t>
      </w:r>
      <w:r>
        <w:rPr>
          <w:b/>
          <w:noProof/>
        </w:rPr>
        <w:t>obnovovaniu dopravných služieb a prepojenosti</w:t>
      </w:r>
      <w:r>
        <w:rPr>
          <w:rStyle w:val="FootnoteReference"/>
          <w:b/>
          <w:noProof/>
        </w:rPr>
        <w:footnoteReference w:id="8"/>
      </w:r>
      <w:r>
        <w:rPr>
          <w:noProof/>
        </w:rPr>
        <w:t>“ Komisia poskytuje usmernenia na základe rámca zásad a spoločného súboru nástrojov.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To pomôže obnoviť dopravné služby všetkých druhov v celej EÚ konzistentným a zrozumiteľným spôsobom: prijímaním koordinovaný</w:t>
      </w:r>
      <w:r>
        <w:rPr>
          <w:noProof/>
        </w:rPr>
        <w:t>ch opatrení založených na posúdení rizika, ktoré sú nediskriminačné a primerané a rozsahom pôsobnosti či trvaním neprekračujú rámec toho, čo je nevyhnutné na ochranu verejného zdravia; prijímaním cielených opatrení namiesto všeobecných zákazov; zrušením ob</w:t>
      </w:r>
      <w:r>
        <w:rPr>
          <w:noProof/>
        </w:rPr>
        <w:t>medzení týkajúcich sa individuálnej dopravy; a rozšírením možností bezpečnej hromadnej dopravy.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Komisia bude pracovať na zabezpečení toho, aby opatrenia prijaté v členských štátoch boli kompatibilné, koordinované a vzájomne akceptované cezhranične a medzi</w:t>
      </w:r>
      <w:r>
        <w:rPr>
          <w:noProof/>
        </w:rPr>
        <w:t xml:space="preserve"> regiónmi. To ľuďom poskytne väčšiu slobodu, bezpečnosť a istotu pri cestovaní.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Tieto usmernenia sa zaoberajú aj otázkou, ako chrániť zdravie pracovníkov v doprave a cestujúcich a minimalizovať riziko infekcií v dopravných uzloch a vo vozidlách v rámci vš</w:t>
      </w:r>
      <w:r>
        <w:rPr>
          <w:noProof/>
        </w:rPr>
        <w:t>etkých druhov dopravy. Vzhľadom na vývoj epidemiologickej situácie a meniace sa potreby v oblasti prepojenosti budú členské štáty musieť tieto opatrenia aktívne upravovať s cieľom zabezpečiť správnu rovnováhu medzi ochranou verejného zdravia a obnovou dopr</w:t>
      </w:r>
      <w:r>
        <w:rPr>
          <w:noProof/>
        </w:rPr>
        <w:t>avných služieb v spojení s inými hospodárskymi činnosťami, ako je napríklad cestovný ruch. Európska agentúra pre bezpečnosť a ochranu zdravia pri práci (OSHA) tiež uverejnila všeobecné opatrenia v oblasti bezpečnosti a ochrany zdravia pri práci týkajúce sa</w:t>
      </w:r>
      <w:r>
        <w:rPr>
          <w:noProof/>
        </w:rPr>
        <w:t xml:space="preserve"> návratu na pracoviská</w:t>
      </w:r>
      <w:r>
        <w:rPr>
          <w:rStyle w:val="FootnoteReference"/>
          <w:noProof/>
        </w:rPr>
        <w:footnoteReference w:id="9"/>
      </w:r>
      <w:r>
        <w:rPr>
          <w:noProof/>
        </w:rPr>
        <w:t>.</w:t>
      </w:r>
    </w:p>
    <w:p w:rsidR="00C73F2C" w:rsidRDefault="00C73F2C">
      <w:pPr>
        <w:jc w:val="both"/>
        <w:rPr>
          <w:noProof/>
        </w:rPr>
      </w:pPr>
    </w:p>
    <w:p w:rsidR="00C73F2C" w:rsidRDefault="00C73F2C">
      <w:pPr>
        <w:jc w:val="both"/>
        <w:rPr>
          <w:noProof/>
        </w:rPr>
      </w:pPr>
    </w:p>
    <w:tbl>
      <w:tblPr>
        <w:tblStyle w:val="TableGrid"/>
        <w:tblW w:w="0" w:type="auto"/>
        <w:tblInd w:w="108" w:type="dxa"/>
        <w:shd w:val="clear" w:color="auto" w:fill="E7E6E6" w:themeFill="background2"/>
        <w:tblLook w:val="04A0" w:firstRow="1" w:lastRow="0" w:firstColumn="1" w:lastColumn="0" w:noHBand="0" w:noVBand="1"/>
      </w:tblPr>
      <w:tblGrid>
        <w:gridCol w:w="8730"/>
      </w:tblGrid>
      <w:tr w:rsidR="00C73F2C">
        <w:tc>
          <w:tcPr>
            <w:tcW w:w="8730" w:type="dxa"/>
            <w:shd w:val="clear" w:color="auto" w:fill="E7E6E6" w:themeFill="background2"/>
          </w:tcPr>
          <w:p w:rsidR="00C73F2C" w:rsidRDefault="00164483">
            <w:pPr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>Komisia poskytuje členským štátom usmernenia, aby mohli koordinovaným spôsobom postupne obnoviť dopravné služby a prepojenosť.</w:t>
            </w:r>
          </w:p>
          <w:p w:rsidR="00C73F2C" w:rsidRDefault="00C73F2C">
            <w:pPr>
              <w:rPr>
                <w:noProof/>
              </w:rPr>
            </w:pPr>
          </w:p>
        </w:tc>
      </w:tr>
    </w:tbl>
    <w:p w:rsidR="00C73F2C" w:rsidRDefault="00C73F2C">
      <w:pPr>
        <w:pStyle w:val="Bodytext40"/>
        <w:shd w:val="clear" w:color="auto" w:fill="auto"/>
        <w:spacing w:before="0" w:after="0" w:line="240" w:lineRule="auto"/>
        <w:ind w:right="20"/>
        <w:jc w:val="both"/>
        <w:rPr>
          <w:rStyle w:val="Bodytext412pt"/>
          <w:b/>
          <w:bCs/>
          <w:noProof/>
        </w:rPr>
      </w:pPr>
    </w:p>
    <w:p w:rsidR="00C73F2C" w:rsidRDefault="00164483">
      <w:pPr>
        <w:pStyle w:val="Bodytext40"/>
        <w:keepNext/>
        <w:keepLines/>
        <w:spacing w:before="0" w:after="240"/>
        <w:ind w:right="23"/>
        <w:jc w:val="both"/>
        <w:rPr>
          <w:rStyle w:val="Bodytext412pt"/>
          <w:b/>
          <w:noProof/>
        </w:rPr>
      </w:pPr>
      <w:r>
        <w:rPr>
          <w:rStyle w:val="Bodytext412pt"/>
          <w:b/>
          <w:noProof/>
        </w:rPr>
        <w:lastRenderedPageBreak/>
        <w:t>c)</w:t>
      </w:r>
      <w:r>
        <w:rPr>
          <w:noProof/>
        </w:rPr>
        <w:tab/>
      </w:r>
      <w:r>
        <w:rPr>
          <w:rStyle w:val="Bodytext412pt"/>
          <w:b/>
          <w:noProof/>
        </w:rPr>
        <w:t>Obnovenie služieb cestovného ruchu s minimalizáciou zdravotných rizík</w:t>
      </w:r>
    </w:p>
    <w:p w:rsidR="00C73F2C" w:rsidRDefault="00164483">
      <w:pPr>
        <w:keepNext/>
        <w:keepLines/>
        <w:jc w:val="both"/>
        <w:rPr>
          <w:noProof/>
        </w:rPr>
      </w:pPr>
      <w:r>
        <w:rPr>
          <w:b/>
          <w:noProof/>
        </w:rPr>
        <w:t xml:space="preserve">V oznámení „COVID-19: </w:t>
      </w:r>
      <w:r>
        <w:rPr>
          <w:b/>
          <w:noProof/>
        </w:rPr>
        <w:t>Usmernenia EÚ pre postupné obnovenie služieb cestovného ruchu a pre zdravotné protokoly v ubytovacích a stravovacích zariadeniach</w:t>
      </w:r>
      <w:r>
        <w:rPr>
          <w:noProof/>
        </w:rPr>
        <w:t>“</w:t>
      </w:r>
      <w:r>
        <w:rPr>
          <w:rStyle w:val="FootnoteReference"/>
          <w:b/>
          <w:noProof/>
        </w:rPr>
        <w:footnoteReference w:id="10"/>
      </w:r>
      <w:r>
        <w:rPr>
          <w:noProof/>
        </w:rPr>
        <w:t xml:space="preserve"> Komisia stanovuje zásady, ktoré majú členské štáty usmerniť pri obnove činností v oblasti cestovného ruchu a pri vypracovaní</w:t>
      </w:r>
      <w:r>
        <w:rPr>
          <w:noProof/>
        </w:rPr>
        <w:t xml:space="preserve"> protokolov súvisiacich s COVID-19 pre ubytovacie a stravovacie zariadenia, ktoré zabezpečia minimalizáciu rizika nákazy hostí a zamestnancov týchto zariadení.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  <w:spacing w:val="-6"/>
        </w:rPr>
      </w:pPr>
      <w:r>
        <w:rPr>
          <w:noProof/>
          <w:spacing w:val="-6"/>
        </w:rPr>
        <w:t>Tieto usmernenia vychádzajú z odporúčaní ECDC a ich cieľom je ochrana turistov a pracovnej sily</w:t>
      </w:r>
      <w:r>
        <w:rPr>
          <w:noProof/>
          <w:spacing w:val="-6"/>
        </w:rPr>
        <w:t xml:space="preserve"> pri súčasnom dodržiavaní pravidiel týkajúcich sa verejného zdravia a opatrení na zachovávanie fyzického odstupu zavedených v členských štátoch. Takéto opatrenia by mali byť flexibilné v závislosti od miestnej situácie v oblasti zdravia a mali by umožňovať</w:t>
      </w:r>
      <w:r>
        <w:rPr>
          <w:noProof/>
          <w:spacing w:val="-6"/>
        </w:rPr>
        <w:t xml:space="preserve"> postupné znovuotváranie segmentov cestovného ruchu. V usmerneniach sa navrhuje minimálny súbor zásad, ktoré zároveň spĺňajú prísne požiadavky na bezpečnosť a ochranu zdravia, a zdôrazňuje sa význam aktualizovaných a ľahko dostupných informácií pre cestujú</w:t>
      </w:r>
      <w:r>
        <w:rPr>
          <w:noProof/>
          <w:spacing w:val="-6"/>
        </w:rPr>
        <w:t>cich.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Pre ľudí to bude znamenať, že budú existovať zrozumiteľné a primerané pravidlá, ktoré im umožnia bezpečne: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>ubytovať sa v hoteloch, kempingoch, penziónoch alebo iných rekreačných ubytovacích zariadeniach;</w:t>
      </w:r>
    </w:p>
    <w:p w:rsidR="00C73F2C" w:rsidRDefault="00164483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 xml:space="preserve">stravovať sa v reštauráciách, baroch </w:t>
      </w:r>
      <w:r>
        <w:rPr>
          <w:noProof/>
        </w:rPr>
        <w:t>a kaviarňach;</w:t>
      </w:r>
    </w:p>
    <w:p w:rsidR="00C73F2C" w:rsidRDefault="00164483">
      <w:pPr>
        <w:pStyle w:val="ListParagraph"/>
        <w:numPr>
          <w:ilvl w:val="0"/>
          <w:numId w:val="29"/>
        </w:numPr>
        <w:jc w:val="both"/>
        <w:rPr>
          <w:noProof/>
        </w:rPr>
      </w:pPr>
      <w:r>
        <w:rPr>
          <w:noProof/>
        </w:rPr>
        <w:t>využívať pláže a iné voľnočasové vonkajšie priestory</w:t>
      </w:r>
      <w:r>
        <w:rPr>
          <w:rStyle w:val="FootnoteReference"/>
          <w:noProof/>
        </w:rPr>
        <w:footnoteReference w:id="11"/>
      </w:r>
      <w:r>
        <w:rPr>
          <w:noProof/>
        </w:rPr>
        <w:t>.</w:t>
      </w:r>
    </w:p>
    <w:p w:rsidR="00C73F2C" w:rsidRDefault="00C73F2C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rPr>
                <w:i/>
                <w:noProof/>
              </w:rPr>
            </w:pPr>
            <w:r>
              <w:rPr>
                <w:i/>
                <w:noProof/>
              </w:rPr>
              <w:t>Komisia poskytuje členským štátom usmernenia, aby mohli postupne obnoviť služby cestovného ruchu a zaviesť vhodné zdravotné a bezpečnostné protokoly.</w:t>
            </w:r>
          </w:p>
          <w:p w:rsidR="00C73F2C" w:rsidRDefault="00C73F2C">
            <w:pPr>
              <w:rPr>
                <w:noProof/>
              </w:rPr>
            </w:pPr>
          </w:p>
        </w:tc>
      </w:tr>
    </w:tbl>
    <w:p w:rsidR="00C73F2C" w:rsidRDefault="00C73F2C">
      <w:pPr>
        <w:pStyle w:val="Bodytext40"/>
        <w:spacing w:before="0" w:after="0" w:line="240" w:lineRule="auto"/>
        <w:ind w:right="23"/>
        <w:jc w:val="both"/>
        <w:rPr>
          <w:rStyle w:val="Bodytext412pt"/>
          <w:b/>
          <w:bCs/>
          <w:noProof/>
          <w:sz w:val="12"/>
          <w:szCs w:val="12"/>
        </w:rPr>
      </w:pPr>
    </w:p>
    <w:p w:rsidR="00C73F2C" w:rsidRDefault="00164483">
      <w:pPr>
        <w:pStyle w:val="Bodytext40"/>
        <w:spacing w:before="240" w:after="240"/>
        <w:ind w:right="23"/>
        <w:jc w:val="both"/>
        <w:rPr>
          <w:rStyle w:val="Bodytext412pt"/>
          <w:b/>
          <w:noProof/>
        </w:rPr>
      </w:pPr>
      <w:r>
        <w:rPr>
          <w:rStyle w:val="Bodytext412pt"/>
          <w:b/>
          <w:noProof/>
        </w:rPr>
        <w:t>d)</w:t>
      </w:r>
      <w:r>
        <w:rPr>
          <w:noProof/>
        </w:rPr>
        <w:tab/>
      </w:r>
      <w:r>
        <w:rPr>
          <w:rStyle w:val="Bodytext412pt"/>
          <w:b/>
          <w:noProof/>
        </w:rPr>
        <w:t xml:space="preserve">Využívanie digitálnych </w:t>
      </w:r>
      <w:r>
        <w:rPr>
          <w:rStyle w:val="Bodytext412pt"/>
          <w:b/>
          <w:noProof/>
        </w:rPr>
        <w:t>technológií</w:t>
      </w:r>
    </w:p>
    <w:p w:rsidR="00C73F2C" w:rsidRDefault="00164483">
      <w:pPr>
        <w:keepNext/>
        <w:keepLines/>
        <w:tabs>
          <w:tab w:val="left" w:pos="765"/>
        </w:tabs>
        <w:jc w:val="both"/>
        <w:outlineLvl w:val="1"/>
        <w:rPr>
          <w:bCs/>
          <w:noProof/>
          <w:color w:val="auto"/>
        </w:rPr>
      </w:pPr>
      <w:r>
        <w:rPr>
          <w:bCs/>
          <w:noProof/>
          <w:color w:val="auto"/>
        </w:rPr>
        <w:t>Ľudia musia mať možnosť zodpovedným správaním chrániť vlastné zdravie i zdravie ostatných. Potrebujú mať prístup k informáciám – a to aj prostredníctvom digitálnych prostriedkov – o hraniciach a cestovaní, o turistických zariadeniach, o bezpečn</w:t>
      </w:r>
      <w:r>
        <w:rPr>
          <w:bCs/>
          <w:noProof/>
          <w:color w:val="auto"/>
        </w:rPr>
        <w:t>ostných a zdravotných podmienkach na mieste, kam chcú ísť. Tieto informácie potrebujú na plánovanie cesty aj počas samotnej dovolenky. Potrebujú sa aj uistiť, že zavedené predpisy v oblasti verejného zdravia a bezpečnosti sa vo všetkých členských štátoch z</w:t>
      </w:r>
      <w:r>
        <w:rPr>
          <w:bCs/>
          <w:noProof/>
          <w:color w:val="auto"/>
        </w:rPr>
        <w:t>akladajú na rovnakých kritériách.</w:t>
      </w:r>
    </w:p>
    <w:p w:rsidR="00C73F2C" w:rsidRDefault="00C73F2C">
      <w:pPr>
        <w:ind w:right="20"/>
        <w:rPr>
          <w:b/>
          <w:noProof/>
          <w:shd w:val="clear" w:color="auto" w:fill="FFFFFF"/>
          <w:lang w:eastAsia="fr-FR" w:bidi="fr-FR"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Európania si v tomto lete a v nasledujúcich mesiacoch pravdepodobne vyberú domáce a európske turistické destinácie. Na to, aby si boli istí, že môžu bezpečne cestovať a tráviť dovolenku, budú potrebovať jednoduchý prístup</w:t>
      </w:r>
      <w:r>
        <w:rPr>
          <w:noProof/>
        </w:rPr>
        <w:t xml:space="preserve"> k informáciám v reálnom čase o situácii na hraniciach, cestovných obmedzeniach, cestovných odporúčaniach, opatreniach v oblasti verejného zdravia a bezpečnosti, o tom na koho sa majú obrátiť v prípade zdravotných problémov a o dostupných službách cestovné</w:t>
      </w:r>
      <w:r>
        <w:rPr>
          <w:noProof/>
        </w:rPr>
        <w:t>ho ruchu. Komisia vytvorí špecializované webové sídlo s interaktívnou mapou kombinujúcou informácie z členských štátov a z odvetvia cestovného ruchu a dopravy.</w:t>
      </w:r>
    </w:p>
    <w:p w:rsidR="00C73F2C" w:rsidRDefault="00C73F2C">
      <w:pPr>
        <w:jc w:val="both"/>
        <w:rPr>
          <w:rStyle w:val="Bodytext412pt"/>
          <w:b w:val="0"/>
          <w:noProof/>
          <w:lang w:eastAsia="en-US" w:bidi="en-US"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lastRenderedPageBreak/>
        <w:t>Digitálne technológie a údaje zohrávajú pri boji proti pandémii významnú úlohu. Mobilné aplikác</w:t>
      </w:r>
      <w:r>
        <w:rPr>
          <w:noProof/>
        </w:rPr>
        <w:t>ie by mohli posilniť stratégie sledovania kontaktov a podporiť orgány verejného zdravotníctva pri monitorovaní a obmedzovaní šírenia tohto vírusu. Umelá inteligencia a robotika môžu takisto pomôcť pri monitorovaní zachovávania fyzického odstupu v súlade s </w:t>
      </w:r>
      <w:r>
        <w:rPr>
          <w:noProof/>
        </w:rPr>
        <w:t>právnymi predpismi o ochrane údajov alebo pri uľahčovaní dezinfekcie, najmä na miestach s pravidelnými tokmi cestovného ruchu. Komisia prostredníctvom centier digitálnych inovácií poskytne podporu miestnym podnikom v odvetví cestovného ruchu s cieľom pomôc</w:t>
      </w:r>
      <w:r>
        <w:rPr>
          <w:noProof/>
        </w:rPr>
        <w:t>ť im vyrovnať sa s novou situáciou týkajúcou sa blížiacej sa turistickej sezóny (napr. s robotmi na dezinfekciu a čistenie, riadením veľkého množstva ľudí, inteligentnými rezervačnými systémami atď.) vrátane usporiadania programovacieho maratónu zameraného</w:t>
      </w:r>
      <w:r>
        <w:rPr>
          <w:noProof/>
        </w:rPr>
        <w:t xml:space="preserve"> na používanie digitálnych technológií v cestovnom ruchu</w:t>
      </w:r>
      <w:r>
        <w:rPr>
          <w:rStyle w:val="FootnoteReference"/>
          <w:noProof/>
        </w:rPr>
        <w:footnoteReference w:id="12"/>
      </w:r>
      <w:r>
        <w:rPr>
          <w:noProof/>
        </w:rPr>
        <w:t>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Tieto technológie zároveň môžu ľuďom umožniť, aby prijali vlastné účinné a cielenejšie opatrenia na zachovávanie fyzického odstupu. Tieto aplikácie sú obzvlášť dôležité vo fáze uvoľňovania opatren</w:t>
      </w:r>
      <w:r>
        <w:rPr>
          <w:noProof/>
        </w:rPr>
        <w:t>í proti šíreniu koronavírusu, keď sa riziko nákazy zvyšuje, keďže čoraz viac ľudí prichádza do vzájomného kontaktu.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S postupným obnovovaním cestovania v rámci EÚ môžu verejné orgány, osoby dochádzajúce za prácou, obchodní cestujúci a turisti využívať apli</w:t>
      </w:r>
      <w:r>
        <w:rPr>
          <w:noProof/>
        </w:rPr>
        <w:t>kácie na sledovanie kontaktov vo svoj prospech pri súčasnom dodržiavaní požiadaviek na ochranu súkromia, pravidiel ochrany údajov a dobrovoľnosti používania takýchto aplikácií. V tejto súvislosti má kľúčový význam interoperabilita, ktorá zabezpečí, aby apl</w:t>
      </w:r>
      <w:r>
        <w:rPr>
          <w:noProof/>
        </w:rPr>
        <w:t>ikácia používateľov upozornila bez ohľadu na to, kde v Európe sa nachádzajú. Komisia a členské štáty pracujú na tom, aby to zabezpečili: dnes sa uverejňuje protokol o zásadách interoperability, ktorý vypracovali členské štáty prostredníctvom siete elektron</w:t>
      </w:r>
      <w:r>
        <w:rPr>
          <w:noProof/>
        </w:rPr>
        <w:t>ického zdravotníctva s podporou Komisie.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Podniky a vlády môžu využívať aj digitálne riešenia na účely plánovania a riadenia tokov turistov, napríklad pokiaľ ide o celkový maximálny počet prenocovaní v danom regióne, maximálny počet návštevníkov kultúrnych</w:t>
      </w:r>
      <w:r>
        <w:rPr>
          <w:noProof/>
        </w:rPr>
        <w:t xml:space="preserve"> pamiatok a lokalít kultúrneho dedičstva alebo plánovanie času návštevy múzea alebo reštaurácie.</w:t>
      </w:r>
    </w:p>
    <w:p w:rsidR="00C73F2C" w:rsidRDefault="00C73F2C">
      <w:pPr>
        <w:jc w:val="both"/>
        <w:rPr>
          <w:noProof/>
          <w:lang w:bidi="fr-FR"/>
        </w:rPr>
      </w:pPr>
    </w:p>
    <w:p w:rsidR="00C73F2C" w:rsidRDefault="00C73F2C">
      <w:pPr>
        <w:jc w:val="both"/>
        <w:rPr>
          <w:noProof/>
          <w:lang w:bidi="fr-FR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>Komisia a členské štáty budú ďalej rozvíjať európsky rámec interoperability pre mobilné aplikácie na podporu sledovania kontaktov.</w:t>
            </w:r>
          </w:p>
          <w:p w:rsidR="00C73F2C" w:rsidRDefault="00C73F2C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</w:p>
          <w:p w:rsidR="00C73F2C" w:rsidRDefault="00164483">
            <w:pPr>
              <w:shd w:val="clear" w:color="auto" w:fill="D9D9D9" w:themeFill="background1" w:themeFillShade="D9"/>
              <w:jc w:val="both"/>
              <w:rPr>
                <w:bCs/>
                <w:i/>
                <w:noProof/>
              </w:rPr>
            </w:pPr>
            <w:r>
              <w:rPr>
                <w:bCs/>
                <w:i/>
                <w:noProof/>
              </w:rPr>
              <w:t xml:space="preserve">Komisia vytvorí </w:t>
            </w:r>
            <w:r>
              <w:rPr>
                <w:bCs/>
                <w:i/>
                <w:noProof/>
              </w:rPr>
              <w:t>špecializované webové sídlo s mapou kombinujúcou informácie v reálnom čase súvisiace s cestovným ruchom.</w:t>
            </w:r>
          </w:p>
          <w:p w:rsidR="00C73F2C" w:rsidRDefault="00C73F2C">
            <w:pPr>
              <w:shd w:val="clear" w:color="auto" w:fill="D9D9D9" w:themeFill="background1" w:themeFillShade="D9"/>
              <w:jc w:val="both"/>
              <w:rPr>
                <w:bCs/>
                <w:i/>
                <w:noProof/>
              </w:rPr>
            </w:pPr>
          </w:p>
          <w:p w:rsidR="00C73F2C" w:rsidRDefault="00164483">
            <w:pPr>
              <w:shd w:val="clear" w:color="auto" w:fill="D9D9D9" w:themeFill="background1" w:themeFillShade="D9"/>
              <w:jc w:val="both"/>
              <w:rPr>
                <w:i/>
                <w:noProof/>
              </w:rPr>
            </w:pPr>
            <w:r>
              <w:rPr>
                <w:i/>
                <w:noProof/>
              </w:rPr>
              <w:t>Komisia v súlade s právom v oblasti ochrany údajov podporí inovačné riešenia využívania umelej inteligencie a robotiky s cieľom bojovať proti pandémii</w:t>
            </w:r>
            <w:r>
              <w:rPr>
                <w:i/>
                <w:noProof/>
              </w:rPr>
              <w:t xml:space="preserve"> COVID-19 a pomôcť podnikom v odvetví cestovného ruchu vyrovnať sa s novou situáciou. </w:t>
            </w:r>
          </w:p>
        </w:tc>
      </w:tr>
    </w:tbl>
    <w:p w:rsidR="00C73F2C" w:rsidRDefault="00C73F2C">
      <w:pPr>
        <w:jc w:val="both"/>
        <w:rPr>
          <w:rStyle w:val="Bodytext412pt"/>
          <w:b w:val="0"/>
          <w:bCs w:val="0"/>
          <w:noProof/>
          <w:lang w:eastAsia="en-US" w:bidi="en-US"/>
        </w:rPr>
      </w:pPr>
    </w:p>
    <w:p w:rsidR="00C73F2C" w:rsidRDefault="00164483">
      <w:pPr>
        <w:pStyle w:val="Bodytext40"/>
        <w:keepNext/>
        <w:keepLines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</w:rPr>
      </w:pPr>
      <w:r>
        <w:rPr>
          <w:rStyle w:val="Bodytext412pt"/>
          <w:b/>
          <w:noProof/>
        </w:rPr>
        <w:lastRenderedPageBreak/>
        <w:t>e)</w:t>
      </w:r>
      <w:r>
        <w:rPr>
          <w:noProof/>
        </w:rPr>
        <w:tab/>
      </w:r>
      <w:r>
        <w:rPr>
          <w:rStyle w:val="Bodytext412pt"/>
          <w:b/>
          <w:noProof/>
        </w:rPr>
        <w:t>Ochrana práv</w:t>
      </w:r>
    </w:p>
    <w:p w:rsidR="00C73F2C" w:rsidRDefault="00C73F2C">
      <w:pPr>
        <w:pStyle w:val="Bodytext40"/>
        <w:keepNext/>
        <w:keepLines/>
        <w:shd w:val="clear" w:color="auto" w:fill="auto"/>
        <w:spacing w:before="0" w:after="0" w:line="240" w:lineRule="auto"/>
        <w:ind w:right="20"/>
        <w:jc w:val="left"/>
        <w:rPr>
          <w:rStyle w:val="Bodytext412pt"/>
          <w:b/>
          <w:noProof/>
          <w:sz w:val="28"/>
          <w:szCs w:val="28"/>
        </w:rPr>
      </w:pPr>
    </w:p>
    <w:p w:rsidR="00C73F2C" w:rsidRDefault="00164483">
      <w:pPr>
        <w:pStyle w:val="Bodytext30"/>
        <w:keepNext/>
        <w:keepLines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Náhradu za sumy uhradené vopred za stornované dopravné a cestovné služby nedostávajú ľudia vždy priamo. V niektorých prípadoch im môže byť účtovaný po</w:t>
      </w:r>
      <w:r>
        <w:rPr>
          <w:noProof/>
          <w:sz w:val="24"/>
          <w:szCs w:val="24"/>
        </w:rPr>
        <w:t>platok za stornovanie služieb cestovného ruchu, ktoré nemohli využiť. Preto je dôležité, aby mali prístup k spoľahlivým informáciám a účinnej pomoci a k orgánom riešenia sporov.</w:t>
      </w:r>
    </w:p>
    <w:p w:rsidR="00C73F2C" w:rsidRDefault="00C73F2C">
      <w:pPr>
        <w:pStyle w:val="Bodytext30"/>
        <w:shd w:val="clear" w:color="auto" w:fill="auto"/>
        <w:spacing w:line="240" w:lineRule="auto"/>
        <w:rPr>
          <w:noProof/>
          <w:sz w:val="28"/>
          <w:szCs w:val="28"/>
        </w:rPr>
      </w:pPr>
    </w:p>
    <w:p w:rsidR="00C73F2C" w:rsidRDefault="00164483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Spotrebitelia s pobytom v Únii sa pri rezervácii dovolenky v inej krajine EÚ </w:t>
      </w:r>
      <w:r>
        <w:rPr>
          <w:noProof/>
          <w:sz w:val="24"/>
          <w:szCs w:val="24"/>
        </w:rPr>
        <w:t xml:space="preserve">môžu spoľahnúť na bezplatné poskytovanie podpory zo strany siete európskych spotrebiteľských centier (ESC). Centrá ESC, ktoré pomáhajú spotrebiteľom pri cezhraničných nákupoch, zaznamenali v minulých týždňoch výrazný nárast žiadostí o informácie (viac ako </w:t>
      </w:r>
      <w:r>
        <w:rPr>
          <w:noProof/>
          <w:sz w:val="24"/>
          <w:szCs w:val="24"/>
        </w:rPr>
        <w:t>5000 žiadostí v poslednom týždni apríla 2020</w:t>
      </w:r>
      <w:r>
        <w:rPr>
          <w:rStyle w:val="FootnoteReference"/>
          <w:noProof/>
          <w:sz w:val="24"/>
          <w:szCs w:val="24"/>
        </w:rPr>
        <w:footnoteReference w:id="13"/>
      </w:r>
      <w:r>
        <w:rPr>
          <w:noProof/>
          <w:sz w:val="24"/>
          <w:szCs w:val="24"/>
        </w:rPr>
        <w:t>). Aj vnútroštátne orgány riešenia sporov zaznamenali nárast sporov týkajúcich sa cestovného ruchu.</w:t>
      </w:r>
    </w:p>
    <w:p w:rsidR="00C73F2C" w:rsidRDefault="00C73F2C">
      <w:pPr>
        <w:pStyle w:val="Bodytext30"/>
        <w:shd w:val="clear" w:color="auto" w:fill="auto"/>
        <w:spacing w:line="240" w:lineRule="auto"/>
        <w:rPr>
          <w:noProof/>
          <w:sz w:val="28"/>
          <w:szCs w:val="28"/>
        </w:rPr>
      </w:pPr>
    </w:p>
    <w:p w:rsidR="00C73F2C" w:rsidRDefault="00164483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Transparentnosť postupov pri rezervácii je v súčasnom kontexte mimoriadne dôležitá na poskytnutie stimulov pre</w:t>
      </w:r>
      <w:r>
        <w:rPr>
          <w:noProof/>
          <w:sz w:val="24"/>
          <w:szCs w:val="24"/>
        </w:rPr>
        <w:t xml:space="preserve"> cestovanie v budúcnosti a zabezpečenie spravodlivých obchodných praktík, aby sa žiadny hospodársky subjekt neusiloval získať neoprávnené výhody zavádzajúcimi tvrdeniami, ako napr. nepravdivým predstieraním, že určité oblasti sú obzvlášť vyhľadávané. Sieť </w:t>
      </w:r>
      <w:r>
        <w:rPr>
          <w:noProof/>
          <w:sz w:val="24"/>
          <w:szCs w:val="24"/>
        </w:rPr>
        <w:t>spolupráce v oblasti ochrany spotrebiteľa (sieť CPC), ktorú koordinuje Komisia, komunikuje s online cestovnými platformami a požičovňami automobilov, pokiaľ ide o transparentnosť a spravodlivosť online rezervácií, a už im ponúkla pomoc v súvislosti s potre</w:t>
      </w:r>
      <w:r>
        <w:rPr>
          <w:noProof/>
          <w:sz w:val="24"/>
          <w:szCs w:val="24"/>
        </w:rPr>
        <w:t>bou informovania o cestovných obmedzeniach.</w:t>
      </w:r>
    </w:p>
    <w:p w:rsidR="00C73F2C" w:rsidRDefault="00C73F2C">
      <w:pPr>
        <w:pStyle w:val="Bodytext30"/>
        <w:spacing w:line="240" w:lineRule="auto"/>
        <w:rPr>
          <w:noProof/>
          <w:sz w:val="24"/>
          <w:szCs w:val="24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pStyle w:val="Bodytext30"/>
              <w:shd w:val="clear" w:color="auto" w:fill="auto"/>
              <w:spacing w:line="240" w:lineRule="auto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t>Komisia pomáha európskym spotrebiteľským centrám pripravovať tipy a informácie o zrušených ubytovaniach, prenájmoch vozidiel a podujatiach rezervovaných ako individuálne služby</w:t>
            </w:r>
            <w:r>
              <w:rPr>
                <w:rStyle w:val="FootnoteReference"/>
                <w:i/>
                <w:noProof/>
                <w:sz w:val="24"/>
                <w:szCs w:val="24"/>
              </w:rPr>
              <w:footnoteReference w:id="14"/>
            </w:r>
            <w:r>
              <w:rPr>
                <w:i/>
                <w:noProof/>
                <w:sz w:val="24"/>
                <w:szCs w:val="24"/>
              </w:rPr>
              <w:t xml:space="preserve">. Komisia zváži, ako sa môžu </w:t>
            </w:r>
            <w:r>
              <w:rPr>
                <w:i/>
                <w:noProof/>
                <w:sz w:val="24"/>
                <w:szCs w:val="24"/>
              </w:rPr>
              <w:t>služby ESC rozšíriť aj na cestujúcich s bydliskom v tretích krajinách na základe partnerstiev s podobnými orgánmi v tretích krajinách. Komisia bude podporovať aj budovanie kapacít orgánov alternatívneho riešenia sporov, ktoré pomáhajú spotrebiteľom a obcho</w:t>
            </w:r>
            <w:r>
              <w:rPr>
                <w:i/>
                <w:noProof/>
                <w:sz w:val="24"/>
                <w:szCs w:val="24"/>
              </w:rPr>
              <w:t>dníkom nájsť zmierlivé riešenia.</w:t>
            </w:r>
          </w:p>
          <w:p w:rsidR="00C73F2C" w:rsidRDefault="00C73F2C">
            <w:pPr>
              <w:pStyle w:val="Bodytext30"/>
              <w:shd w:val="clear" w:color="auto" w:fill="auto"/>
              <w:spacing w:line="240" w:lineRule="auto"/>
              <w:rPr>
                <w:rStyle w:val="Bodytext412pt"/>
                <w:b w:val="0"/>
                <w:noProof/>
              </w:rPr>
            </w:pPr>
          </w:p>
        </w:tc>
      </w:tr>
    </w:tbl>
    <w:p w:rsidR="00C73F2C" w:rsidRDefault="00C73F2C">
      <w:pPr>
        <w:pStyle w:val="Bodytext40"/>
        <w:shd w:val="clear" w:color="auto" w:fill="auto"/>
        <w:tabs>
          <w:tab w:val="left" w:pos="427"/>
        </w:tabs>
        <w:spacing w:before="0" w:after="0" w:line="240" w:lineRule="auto"/>
        <w:ind w:left="720" w:right="20"/>
        <w:jc w:val="left"/>
        <w:rPr>
          <w:rStyle w:val="Bodytext412pt"/>
          <w:bCs/>
          <w:noProof/>
          <w:sz w:val="30"/>
          <w:szCs w:val="30"/>
        </w:rPr>
      </w:pPr>
    </w:p>
    <w:p w:rsidR="00C73F2C" w:rsidRDefault="00C73F2C">
      <w:pPr>
        <w:pStyle w:val="Bodytext40"/>
        <w:shd w:val="clear" w:color="auto" w:fill="auto"/>
        <w:tabs>
          <w:tab w:val="left" w:pos="427"/>
        </w:tabs>
        <w:spacing w:before="0" w:after="0" w:line="240" w:lineRule="auto"/>
        <w:ind w:left="720" w:right="20"/>
        <w:jc w:val="left"/>
        <w:rPr>
          <w:rStyle w:val="Bodytext412pt"/>
          <w:bCs/>
          <w:noProof/>
          <w:sz w:val="30"/>
          <w:szCs w:val="30"/>
        </w:rPr>
      </w:pPr>
    </w:p>
    <w:p w:rsidR="00C73F2C" w:rsidRDefault="00164483">
      <w:pPr>
        <w:pStyle w:val="Bodytext40"/>
        <w:numPr>
          <w:ilvl w:val="0"/>
          <w:numId w:val="22"/>
        </w:numPr>
        <w:shd w:val="clear" w:color="auto" w:fill="auto"/>
        <w:tabs>
          <w:tab w:val="left" w:pos="427"/>
        </w:tabs>
        <w:spacing w:before="0" w:after="0" w:line="240" w:lineRule="auto"/>
        <w:ind w:right="20"/>
        <w:jc w:val="left"/>
        <w:rPr>
          <w:b w:val="0"/>
          <w:noProof/>
          <w:sz w:val="24"/>
          <w:szCs w:val="24"/>
        </w:rPr>
      </w:pPr>
      <w:r>
        <w:rPr>
          <w:rStyle w:val="Bodytext412pt"/>
          <w:b/>
          <w:bCs/>
          <w:noProof/>
        </w:rPr>
        <w:t>OPÄTOVNÉ NAŠTARTOVANIE CESTOVNÉHO RUCHU</w:t>
      </w:r>
    </w:p>
    <w:p w:rsidR="00C73F2C" w:rsidRDefault="00C73F2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noProof/>
          <w:sz w:val="28"/>
          <w:szCs w:val="28"/>
        </w:rPr>
      </w:pPr>
    </w:p>
    <w:p w:rsidR="00C73F2C" w:rsidRDefault="0016448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bCs w:val="0"/>
          <w:noProof/>
          <w:sz w:val="24"/>
          <w:szCs w:val="24"/>
        </w:rPr>
      </w:pPr>
      <w:r>
        <w:rPr>
          <w:b w:val="0"/>
          <w:bCs w:val="0"/>
          <w:noProof/>
          <w:sz w:val="24"/>
          <w:szCs w:val="24"/>
        </w:rPr>
        <w:t>Uvedené opatrenia by mali ľuďom poskytnúť možnosť s dôverou bezpečne cestovať. Samy osebe však nebudú stačiť na zabezpečenie úspešnej letnej sezóny. Náš cestovný ruch je v ťažkej</w:t>
      </w:r>
      <w:r>
        <w:rPr>
          <w:b w:val="0"/>
          <w:bCs w:val="0"/>
          <w:noProof/>
          <w:sz w:val="24"/>
          <w:szCs w:val="24"/>
        </w:rPr>
        <w:t xml:space="preserve"> situácii a potrebuje nájsť spôsob, ako prekonať krízu a zotaviť sa.</w:t>
      </w:r>
    </w:p>
    <w:p w:rsidR="00C73F2C" w:rsidRDefault="00C73F2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z w:val="34"/>
          <w:szCs w:val="34"/>
        </w:rPr>
      </w:pPr>
    </w:p>
    <w:p w:rsidR="00C73F2C" w:rsidRDefault="00C73F2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z w:val="34"/>
          <w:szCs w:val="34"/>
        </w:rPr>
      </w:pPr>
    </w:p>
    <w:p w:rsidR="00C73F2C" w:rsidRDefault="00164483">
      <w:pPr>
        <w:keepNext/>
        <w:keepLines/>
        <w:ind w:right="23"/>
        <w:jc w:val="both"/>
        <w:rPr>
          <w:b/>
          <w:noProof/>
          <w:szCs w:val="22"/>
        </w:rPr>
      </w:pPr>
      <w:r>
        <w:rPr>
          <w:b/>
          <w:noProof/>
          <w:szCs w:val="22"/>
        </w:rPr>
        <w:t xml:space="preserve">a) </w:t>
      </w:r>
      <w:r>
        <w:rPr>
          <w:noProof/>
        </w:rPr>
        <w:tab/>
      </w:r>
      <w:r>
        <w:rPr>
          <w:b/>
          <w:noProof/>
          <w:szCs w:val="22"/>
        </w:rPr>
        <w:t>Kľúčový význam cestovného ruchu</w:t>
      </w:r>
    </w:p>
    <w:p w:rsidR="00C73F2C" w:rsidRDefault="00C73F2C">
      <w:pPr>
        <w:keepNext/>
        <w:keepLines/>
        <w:ind w:right="20"/>
        <w:jc w:val="both"/>
        <w:rPr>
          <w:rFonts w:eastAsiaTheme="minorHAnsi"/>
          <w:noProof/>
          <w:sz w:val="14"/>
          <w:szCs w:val="14"/>
          <w:shd w:val="clear" w:color="auto" w:fill="FFFFFF"/>
          <w:lang w:eastAsia="fr-FR" w:bidi="fr-FR"/>
        </w:rPr>
      </w:pPr>
    </w:p>
    <w:p w:rsidR="00C73F2C" w:rsidRDefault="00164483">
      <w:pPr>
        <w:keepNext/>
        <w:keepLines/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Fonts w:eastAsiaTheme="minorHAnsi"/>
          <w:noProof/>
          <w:lang w:val="en-GB" w:eastAsia="en-GB" w:bidi="ar-SA"/>
        </w:rPr>
        <w:drawing>
          <wp:inline distT="0" distB="0" distL="0" distR="0">
            <wp:extent cx="5336936" cy="26398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62" cy="26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2C" w:rsidRDefault="00C73F2C">
      <w:pPr>
        <w:ind w:right="20"/>
        <w:jc w:val="both"/>
        <w:rPr>
          <w:rFonts w:eastAsiaTheme="minorHAnsi"/>
          <w:noProof/>
          <w:sz w:val="12"/>
          <w:szCs w:val="12"/>
          <w:shd w:val="clear" w:color="auto" w:fill="FFFFFF"/>
          <w:lang w:eastAsia="fr-FR" w:bidi="fr-FR"/>
        </w:rPr>
      </w:pPr>
    </w:p>
    <w:p w:rsidR="00C73F2C" w:rsidRDefault="00164483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rFonts w:eastAsiaTheme="minorHAnsi"/>
          <w:noProof/>
          <w:lang w:val="en-GB" w:eastAsia="en-GB" w:bidi="ar-SA"/>
        </w:rPr>
        <w:drawing>
          <wp:inline distT="0" distB="0" distL="0" distR="0">
            <wp:extent cx="5351227" cy="2710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17" cy="271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2C" w:rsidRDefault="00C73F2C">
      <w:pPr>
        <w:ind w:right="20"/>
        <w:jc w:val="both"/>
        <w:rPr>
          <w:rFonts w:eastAsiaTheme="minorHAnsi"/>
          <w:noProof/>
          <w:sz w:val="12"/>
          <w:szCs w:val="12"/>
          <w:shd w:val="clear" w:color="auto" w:fill="FFFFFF"/>
          <w:lang w:eastAsia="fr-FR" w:bidi="fr-FR"/>
        </w:rPr>
      </w:pPr>
    </w:p>
    <w:p w:rsidR="00C73F2C" w:rsidRDefault="00164483">
      <w:pPr>
        <w:ind w:right="20"/>
        <w:jc w:val="both"/>
        <w:rPr>
          <w:rFonts w:eastAsiaTheme="minorHAnsi"/>
          <w:noProof/>
          <w:shd w:val="clear" w:color="auto" w:fill="FFFFFF"/>
        </w:rPr>
      </w:pPr>
      <w:r>
        <w:rPr>
          <w:bCs/>
          <w:noProof/>
          <w:shd w:val="clear" w:color="auto" w:fill="FFFFFF"/>
        </w:rPr>
        <w:t>Cestovný ruch</w:t>
      </w:r>
      <w:r>
        <w:rPr>
          <w:noProof/>
          <w:shd w:val="clear" w:color="auto" w:fill="FFFFFF"/>
        </w:rPr>
        <w:t xml:space="preserve"> je štvrtou najväčšou vývoznou kategóriou EÚ a má vedľajšie prínosy pre európske hospodárstvo ako celok: Jedno euro z pridanej hodnoty vytvorenej cestovným ruchom má za následok dodatočných 56 centov pridanej hodnoty v dôsledku nepriameho ovplyvnenia iných</w:t>
      </w:r>
      <w:r>
        <w:rPr>
          <w:noProof/>
          <w:shd w:val="clear" w:color="auto" w:fill="FFFFFF"/>
        </w:rPr>
        <w:t xml:space="preserve"> odvetví.</w:t>
      </w:r>
    </w:p>
    <w:p w:rsidR="00C73F2C" w:rsidRDefault="00C73F2C">
      <w:pPr>
        <w:ind w:right="20"/>
        <w:jc w:val="both"/>
        <w:rPr>
          <w:rFonts w:eastAsiaTheme="minorHAnsi"/>
          <w:noProof/>
          <w:sz w:val="12"/>
          <w:szCs w:val="12"/>
          <w:shd w:val="clear" w:color="auto" w:fill="FFFFFF"/>
          <w:lang w:eastAsia="fr-FR" w:bidi="fr-FR"/>
        </w:rPr>
      </w:pPr>
    </w:p>
    <w:p w:rsidR="00C73F2C" w:rsidRDefault="00164483">
      <w:pPr>
        <w:pStyle w:val="Bodytext50"/>
        <w:tabs>
          <w:tab w:val="left" w:pos="427"/>
        </w:tabs>
        <w:spacing w:before="0" w:line="240" w:lineRule="auto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t>Cestovný ruch je zložitým ekosystémom, do ktorého je zapojených mnoho subjektov: poskytovatelia informácií a služieb offline a online (turistické informačné centrá, digitálne platformy, poskytovatelia cestovných technológií), cestovné kancelárie</w:t>
      </w:r>
      <w:r>
        <w:rPr>
          <w:b w:val="0"/>
          <w:noProof/>
          <w:sz w:val="24"/>
          <w:szCs w:val="24"/>
        </w:rPr>
        <w:t xml:space="preserve"> a cestovné agentúry, poskytovatelia ubytovania, organizácie destinačného manažmentu, subjekty pôsobiace v oblasti turistických atrakcií a prepravy cestujúcich. Cestovný ruch a doprava sa opierajú aj o hlavné priemyselné odvetvia (napr. stavebníctvo, výrob</w:t>
      </w:r>
      <w:r>
        <w:rPr>
          <w:b w:val="0"/>
          <w:noProof/>
          <w:sz w:val="24"/>
          <w:szCs w:val="24"/>
        </w:rPr>
        <w:t>a lietadiel, stavba lodí). V nich pôsobia veľké nadnárodné korporácie fungujú spolu s malými podnikmi, pričom 90 % z nich sú MSP. Cestovný ruch je prítomný v mnohých rôznych typoch oblastí a regiónov: v mestských centrách, v ostrovných, pobrežných, vidieck</w:t>
      </w:r>
      <w:r>
        <w:rPr>
          <w:b w:val="0"/>
          <w:noProof/>
          <w:sz w:val="24"/>
          <w:szCs w:val="24"/>
        </w:rPr>
        <w:t>ych a vzdialených oblastiach, ako aj v najvzdialenejších regiónoch EÚ</w:t>
      </w:r>
      <w:r>
        <w:rPr>
          <w:rStyle w:val="FootnoteReference"/>
          <w:b w:val="0"/>
          <w:noProof/>
          <w:sz w:val="24"/>
          <w:szCs w:val="24"/>
        </w:rPr>
        <w:footnoteReference w:id="15"/>
      </w:r>
      <w:r>
        <w:rPr>
          <w:b w:val="0"/>
          <w:noProof/>
          <w:sz w:val="24"/>
          <w:szCs w:val="24"/>
        </w:rPr>
        <w:t>.</w:t>
      </w:r>
    </w:p>
    <w:p w:rsidR="00C73F2C" w:rsidRDefault="00C73F2C">
      <w:pPr>
        <w:pStyle w:val="Bodytext50"/>
        <w:tabs>
          <w:tab w:val="left" w:pos="427"/>
        </w:tabs>
        <w:spacing w:before="0" w:after="0" w:line="240" w:lineRule="auto"/>
        <w:rPr>
          <w:b w:val="0"/>
          <w:noProof/>
          <w:sz w:val="24"/>
          <w:szCs w:val="24"/>
        </w:rPr>
      </w:pPr>
    </w:p>
    <w:p w:rsidR="00C73F2C" w:rsidRDefault="00C73F2C">
      <w:pPr>
        <w:pStyle w:val="Bodytext50"/>
        <w:tabs>
          <w:tab w:val="left" w:pos="427"/>
        </w:tabs>
        <w:spacing w:before="0" w:after="0" w:line="240" w:lineRule="auto"/>
        <w:rPr>
          <w:b w:val="0"/>
          <w:noProof/>
          <w:sz w:val="24"/>
          <w:szCs w:val="24"/>
        </w:rPr>
      </w:pPr>
    </w:p>
    <w:p w:rsidR="00C73F2C" w:rsidRDefault="0016448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z w:val="24"/>
          <w:szCs w:val="24"/>
        </w:rPr>
      </w:pPr>
      <w:r>
        <w:rPr>
          <w:noProof/>
          <w:lang w:val="en-GB" w:eastAsia="en-GB" w:bidi="ar-SA"/>
        </w:rPr>
        <w:drawing>
          <wp:inline distT="0" distB="0" distL="0" distR="0">
            <wp:extent cx="5522812" cy="28704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71" b="1616"/>
                    <a:stretch/>
                  </pic:blipFill>
                  <pic:spPr bwMode="auto">
                    <a:xfrm>
                      <a:off x="0" y="0"/>
                      <a:ext cx="5523230" cy="287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F2C" w:rsidRDefault="00C73F2C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i/>
          <w:noProof/>
          <w:sz w:val="24"/>
          <w:szCs w:val="24"/>
        </w:rPr>
      </w:pPr>
    </w:p>
    <w:p w:rsidR="00C73F2C" w:rsidRDefault="0016448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i/>
          <w:noProof/>
          <w:sz w:val="24"/>
          <w:szCs w:val="24"/>
        </w:rPr>
      </w:pPr>
      <w:r>
        <w:rPr>
          <w:b w:val="0"/>
          <w:i/>
          <w:noProof/>
          <w:sz w:val="24"/>
          <w:szCs w:val="24"/>
        </w:rPr>
        <w:t>Zdroj: WTTC</w:t>
      </w:r>
    </w:p>
    <w:p w:rsidR="00C73F2C" w:rsidRDefault="00C73F2C">
      <w:pPr>
        <w:ind w:right="20"/>
        <w:jc w:val="both"/>
        <w:rPr>
          <w:rFonts w:eastAsiaTheme="minorHAnsi"/>
          <w:noProof/>
          <w:shd w:val="clear" w:color="auto" w:fill="FFFFFF"/>
          <w:lang w:eastAsia="fr-FR" w:bidi="fr-FR"/>
        </w:rPr>
      </w:pPr>
    </w:p>
    <w:p w:rsidR="00C73F2C" w:rsidRDefault="00164483">
      <w:pPr>
        <w:widowControl/>
        <w:jc w:val="both"/>
        <w:rPr>
          <w:rFonts w:eastAsiaTheme="minorHAnsi"/>
          <w:noProof/>
          <w:shd w:val="clear" w:color="auto" w:fill="FFFFFF"/>
        </w:rPr>
      </w:pPr>
      <w:r>
        <w:rPr>
          <w:noProof/>
          <w:shd w:val="clear" w:color="auto" w:fill="FFFFFF"/>
        </w:rPr>
        <w:t>Cestovný ruch je základom hospodárstva v mnohých členských štátoch (štyri z nich patria medzi hlavné svetové destinácie z hľadiska počtu medzinárodných návštevníkov a</w:t>
      </w:r>
      <w:r>
        <w:rPr>
          <w:noProof/>
          <w:shd w:val="clear" w:color="auto" w:fill="FFFFFF"/>
        </w:rPr>
        <w:t> príjmov</w:t>
      </w:r>
      <w:r>
        <w:rPr>
          <w:rStyle w:val="FootnoteReference"/>
          <w:noProof/>
        </w:rPr>
        <w:footnoteReference w:id="16"/>
      </w:r>
      <w:r>
        <w:rPr>
          <w:noProof/>
          <w:shd w:val="clear" w:color="auto" w:fill="FFFFFF"/>
        </w:rPr>
        <w:t>).</w:t>
      </w:r>
      <w:r>
        <w:rPr>
          <w:noProof/>
          <w:color w:val="auto"/>
        </w:rPr>
        <w:t xml:space="preserve"> </w:t>
      </w:r>
      <w:r>
        <w:rPr>
          <w:noProof/>
          <w:shd w:val="clear" w:color="auto" w:fill="FFFFFF"/>
        </w:rPr>
        <w:t>Regióny v celej Európe sa líšia v miere závislosti od činností v oblasti cestovného ruchu. Vzhľadom na závislosť od činností v oblasti cestovného ruchu alebo závislosť od medzinárodnej leteckej dopravy súčasná situácia negatívne ovplyvňuje pred</w:t>
      </w:r>
      <w:r>
        <w:rPr>
          <w:noProof/>
          <w:shd w:val="clear" w:color="auto" w:fill="FFFFFF"/>
        </w:rPr>
        <w:t>ovšetkým ostrovy a pobrežné a najvzdialenejšie regióny.</w:t>
      </w:r>
      <w:r>
        <w:rPr>
          <w:noProof/>
        </w:rPr>
        <w:t xml:space="preserve"> </w:t>
      </w:r>
      <w:r>
        <w:rPr>
          <w:noProof/>
          <w:shd w:val="clear" w:color="auto" w:fill="FFFFFF"/>
        </w:rPr>
        <w:t>Výrazný dosah pocítili aj vidiecke oblasti s obmedzenou prepojenosťou, ktoré sú závislé od cestovného ruchu.</w:t>
      </w:r>
    </w:p>
    <w:p w:rsidR="00C73F2C" w:rsidRDefault="00C73F2C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  <w:lang w:eastAsia="fr-FR" w:bidi="fr-FR"/>
        </w:rPr>
      </w:pPr>
    </w:p>
    <w:p w:rsidR="00C73F2C" w:rsidRDefault="00C73F2C">
      <w:pPr>
        <w:pStyle w:val="Bodytext30"/>
        <w:shd w:val="clear" w:color="auto" w:fill="auto"/>
        <w:spacing w:line="240" w:lineRule="auto"/>
        <w:rPr>
          <w:rFonts w:eastAsiaTheme="minorHAnsi"/>
          <w:noProof/>
          <w:shd w:val="clear" w:color="auto" w:fill="FFFFFF"/>
          <w:lang w:eastAsia="fr-FR" w:bidi="fr-FR"/>
        </w:rPr>
      </w:pPr>
    </w:p>
    <w:p w:rsidR="00C73F2C" w:rsidRDefault="00C73F2C">
      <w:pPr>
        <w:pStyle w:val="Bodytext30"/>
        <w:shd w:val="clear" w:color="auto" w:fill="auto"/>
        <w:spacing w:line="240" w:lineRule="auto"/>
        <w:rPr>
          <w:i/>
          <w:noProof/>
          <w:color w:val="auto"/>
          <w:sz w:val="22"/>
          <w:szCs w:val="22"/>
        </w:rPr>
      </w:pPr>
    </w:p>
    <w:p w:rsidR="00C73F2C" w:rsidRDefault="00C73F2C">
      <w:pPr>
        <w:pStyle w:val="Bodytext30"/>
        <w:shd w:val="clear" w:color="auto" w:fill="auto"/>
        <w:spacing w:line="240" w:lineRule="auto"/>
        <w:rPr>
          <w:i/>
          <w:noProof/>
          <w:color w:val="auto"/>
          <w:sz w:val="22"/>
          <w:szCs w:val="22"/>
        </w:rPr>
      </w:pPr>
    </w:p>
    <w:p w:rsidR="00C73F2C" w:rsidRDefault="00164483">
      <w:pPr>
        <w:rPr>
          <w:i/>
          <w:noProof/>
          <w:color w:val="auto"/>
          <w:sz w:val="22"/>
          <w:szCs w:val="22"/>
        </w:rPr>
      </w:pPr>
      <w:r>
        <w:rPr>
          <w:noProof/>
        </w:rPr>
        <w:br w:type="page"/>
      </w:r>
    </w:p>
    <w:p w:rsidR="00C73F2C" w:rsidRDefault="00164483">
      <w:pPr>
        <w:pStyle w:val="Bodytext30"/>
        <w:shd w:val="clear" w:color="auto" w:fill="auto"/>
        <w:spacing w:line="240" w:lineRule="auto"/>
        <w:rPr>
          <w:rFonts w:eastAsiaTheme="minorHAnsi"/>
          <w:noProof/>
          <w:spacing w:val="-4"/>
          <w:shd w:val="clear" w:color="auto" w:fill="FFFFFF"/>
        </w:rPr>
      </w:pPr>
      <w:r>
        <w:rPr>
          <w:i/>
          <w:noProof/>
          <w:color w:val="auto"/>
          <w:spacing w:val="-4"/>
          <w:sz w:val="22"/>
          <w:szCs w:val="22"/>
        </w:rPr>
        <w:t xml:space="preserve">Mapa regionálnej zraniteľnosti. Zdroj: JRC. Index zraniteľnosti je stupnica, ktorá </w:t>
      </w:r>
      <w:r>
        <w:rPr>
          <w:i/>
          <w:noProof/>
          <w:color w:val="auto"/>
          <w:spacing w:val="-4"/>
          <w:sz w:val="22"/>
          <w:szCs w:val="22"/>
        </w:rPr>
        <w:t>podlieha partnerskému preskúmaniu, pričom pri výpočte sa zohľadňujú dva ukazovatele: intenzita a sezónnosť cestovného ruchu.</w:t>
      </w:r>
    </w:p>
    <w:p w:rsidR="00C73F2C" w:rsidRDefault="00164483">
      <w:pPr>
        <w:widowControl/>
        <w:jc w:val="both"/>
        <w:rPr>
          <w:noProof/>
          <w:color w:val="auto"/>
          <w:spacing w:val="-4"/>
        </w:rPr>
      </w:pPr>
      <w:r>
        <w:rPr>
          <w:noProof/>
          <w:spacing w:val="-4"/>
          <w:lang w:val="en-GB" w:eastAsia="en-GB" w:bidi="ar-SA"/>
        </w:rPr>
        <w:drawing>
          <wp:inline distT="0" distB="0" distL="0" distR="0">
            <wp:extent cx="4833620" cy="46356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5825" r="1231" b="3597"/>
                    <a:stretch/>
                  </pic:blipFill>
                  <pic:spPr bwMode="auto">
                    <a:xfrm>
                      <a:off x="0" y="0"/>
                      <a:ext cx="4838621" cy="46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F2C" w:rsidRDefault="00C73F2C">
      <w:pPr>
        <w:ind w:right="20"/>
        <w:jc w:val="both"/>
        <w:rPr>
          <w:rFonts w:eastAsiaTheme="minorHAnsi"/>
          <w:noProof/>
          <w:spacing w:val="-4"/>
          <w:sz w:val="14"/>
          <w:szCs w:val="14"/>
          <w:shd w:val="clear" w:color="auto" w:fill="FFFFFF"/>
          <w:lang w:eastAsia="fr-FR" w:bidi="fr-FR"/>
        </w:rPr>
      </w:pPr>
    </w:p>
    <w:p w:rsidR="00C73F2C" w:rsidRDefault="00C73F2C">
      <w:pPr>
        <w:ind w:right="20"/>
        <w:jc w:val="both"/>
        <w:rPr>
          <w:b/>
          <w:bCs/>
          <w:noProof/>
          <w:spacing w:val="-4"/>
          <w:sz w:val="14"/>
          <w:szCs w:val="14"/>
        </w:rPr>
      </w:pPr>
    </w:p>
    <w:p w:rsidR="00C73F2C" w:rsidRDefault="00164483">
      <w:pPr>
        <w:ind w:right="20"/>
        <w:jc w:val="both"/>
        <w:rPr>
          <w:rFonts w:eastAsiaTheme="minorHAnsi"/>
          <w:b/>
          <w:noProof/>
          <w:spacing w:val="-4"/>
        </w:rPr>
      </w:pPr>
      <w:r>
        <w:rPr>
          <w:b/>
          <w:bCs/>
          <w:noProof/>
          <w:spacing w:val="-4"/>
        </w:rPr>
        <w:t>b)</w:t>
      </w:r>
      <w:r>
        <w:rPr>
          <w:noProof/>
          <w:spacing w:val="-4"/>
        </w:rPr>
        <w:tab/>
      </w:r>
      <w:r>
        <w:rPr>
          <w:b/>
          <w:bCs/>
          <w:noProof/>
          <w:spacing w:val="-4"/>
        </w:rPr>
        <w:t>Dôsledky krízy</w:t>
      </w:r>
    </w:p>
    <w:p w:rsidR="00C73F2C" w:rsidRDefault="00C73F2C">
      <w:pPr>
        <w:ind w:right="20"/>
        <w:jc w:val="both"/>
        <w:rPr>
          <w:rFonts w:eastAsiaTheme="minorHAnsi"/>
          <w:b/>
          <w:noProof/>
          <w:spacing w:val="-4"/>
          <w:sz w:val="14"/>
          <w:szCs w:val="14"/>
        </w:rPr>
      </w:pPr>
    </w:p>
    <w:p w:rsidR="00C73F2C" w:rsidRDefault="00164483">
      <w:pPr>
        <w:pStyle w:val="Bodytext50"/>
        <w:shd w:val="clear" w:color="auto" w:fill="auto"/>
        <w:tabs>
          <w:tab w:val="left" w:pos="427"/>
        </w:tabs>
        <w:spacing w:before="0" w:after="0" w:line="240" w:lineRule="auto"/>
        <w:rPr>
          <w:b w:val="0"/>
          <w:noProof/>
          <w:spacing w:val="-4"/>
          <w:sz w:val="24"/>
          <w:szCs w:val="24"/>
        </w:rPr>
      </w:pPr>
      <w:r>
        <w:rPr>
          <w:b w:val="0"/>
          <w:noProof/>
          <w:spacing w:val="-4"/>
          <w:sz w:val="24"/>
          <w:szCs w:val="24"/>
        </w:rPr>
        <w:t>Pandémia vyvíja nebývalý tlak na ekosystém cestovného ruchu EÚ. V dôsledku obmedzení týkajúcich sa cestovani</w:t>
      </w:r>
      <w:r>
        <w:rPr>
          <w:b w:val="0"/>
          <w:noProof/>
          <w:spacing w:val="-4"/>
          <w:sz w:val="24"/>
          <w:szCs w:val="24"/>
        </w:rPr>
        <w:t>a a iných obmedzení sa v prvom štvrťroku 2020 postupne zastavil cestovný ruch – v EÚ aj na celom svete. Podľa odhadov OECD sa tento pokles pohybuje v rozmedzí od 45 % do 70 % v závislosti od dĺžky trvania krízy v oblasti zdravia a od tempa oživenia.</w:t>
      </w:r>
    </w:p>
    <w:p w:rsidR="00C73F2C" w:rsidRDefault="00C73F2C">
      <w:pPr>
        <w:pStyle w:val="Bodytext30"/>
        <w:shd w:val="clear" w:color="auto" w:fill="auto"/>
        <w:spacing w:line="240" w:lineRule="auto"/>
        <w:rPr>
          <w:bCs/>
          <w:noProof/>
          <w:spacing w:val="-4"/>
          <w:sz w:val="14"/>
          <w:szCs w:val="14"/>
        </w:rPr>
      </w:pPr>
    </w:p>
    <w:p w:rsidR="00C73F2C" w:rsidRDefault="00164483">
      <w:pPr>
        <w:pStyle w:val="Bodytext30"/>
        <w:spacing w:line="240" w:lineRule="auto"/>
        <w:rPr>
          <w:bCs/>
          <w:noProof/>
          <w:spacing w:val="-4"/>
          <w:sz w:val="24"/>
          <w:szCs w:val="24"/>
        </w:rPr>
      </w:pPr>
      <w:r>
        <w:rPr>
          <w:bCs/>
          <w:noProof/>
          <w:spacing w:val="-4"/>
          <w:sz w:val="24"/>
          <w:szCs w:val="24"/>
        </w:rPr>
        <w:t xml:space="preserve">Podniky pôsobiace v oblasti cestovného ruchu čelia </w:t>
      </w:r>
      <w:r>
        <w:rPr>
          <w:b/>
          <w:bCs/>
          <w:noProof/>
          <w:spacing w:val="-4"/>
          <w:sz w:val="24"/>
          <w:szCs w:val="24"/>
        </w:rPr>
        <w:t>akútnej kríze likvidity</w:t>
      </w:r>
      <w:r>
        <w:rPr>
          <w:bCs/>
          <w:noProof/>
          <w:spacing w:val="-4"/>
          <w:sz w:val="24"/>
          <w:szCs w:val="24"/>
        </w:rPr>
        <w:t>. Podľa odhadov tohto odvetvia dosiahli straty príjmov na európskej úrovni 85 % v prípade hotelov a reštaurácií, 85 % v prípade cestovných kancelárií a agentúr, 85 % v prípade diaľko</w:t>
      </w:r>
      <w:r>
        <w:rPr>
          <w:bCs/>
          <w:noProof/>
          <w:spacing w:val="-4"/>
          <w:sz w:val="24"/>
          <w:szCs w:val="24"/>
        </w:rPr>
        <w:t xml:space="preserve">vej železničnej dopravy a 90 % v prípade výletných plavieb a leteckých spoločností. V porovnaní so zodpovedajúcimi obdobiami v predchádzajúcich rokoch zaznamenalo odvetvie cestovania a cestovného ruchu v EÚ zníženie objemu rezervácií v rozmedzí od 60 % do </w:t>
      </w:r>
      <w:r>
        <w:rPr>
          <w:bCs/>
          <w:noProof/>
          <w:spacing w:val="-4"/>
          <w:sz w:val="24"/>
          <w:szCs w:val="24"/>
        </w:rPr>
        <w:t>90 %. Kríza zasiahla najviac malé a stredné podniky: majú nedostatočnú likviditu a čelia neistote, ťažko prežívajú a ťažko získavajú prístup k financovaniu a majú problém udržať si zamestnancov s potrebnými zručnosťami.</w:t>
      </w:r>
    </w:p>
    <w:p w:rsidR="00C73F2C" w:rsidRDefault="00C73F2C">
      <w:pPr>
        <w:pStyle w:val="Bodytext30"/>
        <w:spacing w:line="240" w:lineRule="auto"/>
        <w:rPr>
          <w:noProof/>
          <w:spacing w:val="-4"/>
          <w:sz w:val="14"/>
          <w:szCs w:val="14"/>
        </w:rPr>
      </w:pPr>
    </w:p>
    <w:p w:rsidR="00C73F2C" w:rsidRDefault="00164483">
      <w:pPr>
        <w:pStyle w:val="Bodytext30"/>
        <w:spacing w:line="240" w:lineRule="auto"/>
        <w:rPr>
          <w:noProof/>
          <w:spacing w:val="-4"/>
          <w:sz w:val="24"/>
          <w:szCs w:val="24"/>
        </w:rPr>
      </w:pPr>
      <w:r>
        <w:rPr>
          <w:noProof/>
          <w:spacing w:val="-4"/>
          <w:sz w:val="24"/>
          <w:szCs w:val="24"/>
        </w:rPr>
        <w:t>Bez prijatia naliehavých opatrení a</w:t>
      </w:r>
      <w:r>
        <w:rPr>
          <w:noProof/>
          <w:spacing w:val="-4"/>
          <w:sz w:val="24"/>
          <w:szCs w:val="24"/>
        </w:rPr>
        <w:t> poskytnutia núdzového financovania na preklenutie obdobia do obnovenia tokov cestovného ruchu by sa mnohé podniky mohli v nadchádzajúcich týždňoch alebo mesiacoch dostať do konkurzu.</w:t>
      </w:r>
    </w:p>
    <w:p w:rsidR="00C73F2C" w:rsidRDefault="00164483">
      <w:pPr>
        <w:rPr>
          <w:noProof/>
        </w:rPr>
      </w:pPr>
      <w:r>
        <w:rPr>
          <w:noProof/>
        </w:rPr>
        <w:br w:type="page"/>
      </w:r>
    </w:p>
    <w:p w:rsidR="00C73F2C" w:rsidRDefault="00C73F2C">
      <w:pPr>
        <w:pStyle w:val="Bodytext30"/>
        <w:spacing w:line="240" w:lineRule="auto"/>
        <w:rPr>
          <w:noProof/>
          <w:sz w:val="24"/>
          <w:szCs w:val="24"/>
        </w:rPr>
      </w:pPr>
    </w:p>
    <w:p w:rsidR="00C73F2C" w:rsidRDefault="00164483">
      <w:pPr>
        <w:pStyle w:val="Bodytext30"/>
        <w:spacing w:line="240" w:lineRule="auto"/>
        <w:rPr>
          <w:noProof/>
          <w:color w:val="auto"/>
          <w:sz w:val="24"/>
          <w:szCs w:val="24"/>
        </w:rPr>
      </w:pPr>
      <w:r>
        <w:rPr>
          <w:noProof/>
          <w:sz w:val="24"/>
          <w:szCs w:val="24"/>
        </w:rPr>
        <w:t xml:space="preserve">Ohrozené sú aj </w:t>
      </w:r>
      <w:r>
        <w:rPr>
          <w:b/>
          <w:noProof/>
          <w:sz w:val="24"/>
          <w:szCs w:val="24"/>
        </w:rPr>
        <w:t>pracovné miesta.</w:t>
      </w:r>
      <w:r>
        <w:rPr>
          <w:noProof/>
          <w:sz w:val="24"/>
          <w:szCs w:val="24"/>
        </w:rPr>
        <w:t xml:space="preserve"> </w:t>
      </w:r>
      <w:r>
        <w:rPr>
          <w:noProof/>
          <w:color w:val="auto"/>
          <w:sz w:val="24"/>
          <w:szCs w:val="24"/>
        </w:rPr>
        <w:t>Cestovný ruch je do veľkej miery závi</w:t>
      </w:r>
      <w:r>
        <w:rPr>
          <w:noProof/>
          <w:color w:val="auto"/>
          <w:sz w:val="24"/>
          <w:szCs w:val="24"/>
        </w:rPr>
        <w:t>slý od sezónnych a dočasných pracovníkov (23 %</w:t>
      </w:r>
      <w:r>
        <w:rPr>
          <w:rStyle w:val="FootnoteReference"/>
          <w:noProof/>
          <w:color w:val="auto"/>
          <w:sz w:val="24"/>
          <w:szCs w:val="24"/>
        </w:rPr>
        <w:footnoteReference w:id="17"/>
      </w:r>
      <w:r>
        <w:rPr>
          <w:noProof/>
          <w:color w:val="auto"/>
          <w:sz w:val="24"/>
          <w:szCs w:val="24"/>
        </w:rPr>
        <w:t>), mnohí z nich sú mladými ľuďmi (37 % pracovníkov v oblasti cestovného ruchu je mladších ako 35 rokov), väčšinou v tomto odvetví pracujú ženy (59 %) a ľudia pochádzajúci z iných krajín (15 % EÚ alebo mimo EÚ)</w:t>
      </w:r>
      <w:r>
        <w:rPr>
          <w:rStyle w:val="FootnoteReference"/>
          <w:noProof/>
          <w:color w:val="auto"/>
          <w:sz w:val="24"/>
          <w:szCs w:val="24"/>
        </w:rPr>
        <w:footnoteReference w:id="18"/>
      </w:r>
      <w:r>
        <w:rPr>
          <w:noProof/>
          <w:color w:val="auto"/>
          <w:sz w:val="24"/>
          <w:szCs w:val="24"/>
        </w:rPr>
        <w:t>. Tieto pracovné miesta sú často sústredené v regiónoch bez alternatívnych zdrojov zamestnanosti a zahŕňajú nízkokvalifikovaných pracovníkov, pričom cestovný ruch v mnohých z týchto regiónov, vrátane ostrovných, vzdialených a najvzdialenejších regiónov, p</w:t>
      </w:r>
      <w:r>
        <w:rPr>
          <w:noProof/>
          <w:color w:val="auto"/>
          <w:sz w:val="24"/>
          <w:szCs w:val="24"/>
        </w:rPr>
        <w:t>redstavuje 10 % až 50 % celkovej zamestnanosti. Cestovný ruch zahŕňa aj dôležitú časť aktérov sociálneho hospodárstva prispievajúcich k sociálnemu začleneniu. Bez prijatia naliehavých opatrení na podporu zamestnanosti by kríza mohla viesť k strate približn</w:t>
      </w:r>
      <w:r>
        <w:rPr>
          <w:noProof/>
          <w:color w:val="auto"/>
          <w:sz w:val="24"/>
          <w:szCs w:val="24"/>
        </w:rPr>
        <w:t>e 6 miliónov pracovných miest v Európe a mať negatívny dosah na živobytie mnohých ďalších ľudí v rôznych členských štátoch, ktorí patria medzi ekonomicky najzraniteľnejšie osoby.</w:t>
      </w:r>
    </w:p>
    <w:p w:rsidR="00C73F2C" w:rsidRDefault="00C73F2C">
      <w:pPr>
        <w:pStyle w:val="Bodytext30"/>
        <w:shd w:val="clear" w:color="auto" w:fill="auto"/>
        <w:spacing w:line="240" w:lineRule="auto"/>
        <w:rPr>
          <w:noProof/>
          <w:sz w:val="24"/>
          <w:szCs w:val="24"/>
        </w:rPr>
      </w:pPr>
    </w:p>
    <w:p w:rsidR="00C73F2C" w:rsidRDefault="00164483">
      <w:pPr>
        <w:pStyle w:val="Heading210"/>
        <w:keepNext/>
        <w:keepLines/>
        <w:shd w:val="clear" w:color="auto" w:fill="auto"/>
        <w:tabs>
          <w:tab w:val="left" w:pos="765"/>
        </w:tabs>
        <w:spacing w:before="0" w:after="0" w:line="240" w:lineRule="auto"/>
        <w:rPr>
          <w:b w:val="0"/>
          <w:noProof/>
        </w:rPr>
      </w:pPr>
      <w:r>
        <w:rPr>
          <w:noProof/>
        </w:rPr>
        <w:t xml:space="preserve">c) </w:t>
      </w:r>
      <w:r>
        <w:rPr>
          <w:noProof/>
        </w:rPr>
        <w:tab/>
        <w:t>Riešenie nedostatku likvidity</w:t>
      </w:r>
    </w:p>
    <w:p w:rsidR="00C73F2C" w:rsidRDefault="00C73F2C">
      <w:pPr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Viaceré členské štáty na základe </w:t>
      </w:r>
      <w:r>
        <w:rPr>
          <w:noProof/>
        </w:rPr>
        <w:t xml:space="preserve">dočasného rámca štátnej pomoci prijatého v marci 2020 už prijali opatrenia na poskytovanie priamych grantov do výšky 800 000 EUR alebo úverov či záruk za veľmi výhodných podmienok a týkajúcich sa väčších súm; alebo, v niektorých prípadoch, na poskytovanie </w:t>
      </w:r>
      <w:r>
        <w:rPr>
          <w:noProof/>
        </w:rPr>
        <w:t>náhrady škôd podnikom, ktoré im spôsobila pandémia.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EÚ uvoľnila prostriedky vo výške 1 mld. EUR ako záruku pre Európsky investičný fond, ktorý zmobilizuje záruku na úver vo výške 8 mld. EUR na pomoc 100 000 MSP v celej EÚ, pričom medzi nimi sú aj podniky </w:t>
      </w:r>
      <w:r>
        <w:rPr>
          <w:noProof/>
        </w:rPr>
        <w:t>v oblasti cestovného ruchu.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Investičná iniciatíva v reakcii na koronavírus umožňuje členským štátom značnú flexibilitu, pokiaľ ide o presmerovanie financovania z Kohézneho fondu na zabezpečenie okamžitej likvidity pre MSP v oblasti cestovného ruchu </w:t>
      </w:r>
      <w:r>
        <w:rPr>
          <w:noProof/>
        </w:rPr>
        <w:t>a poskytnutie pomoci pri príprave na letnú/zimnú sezónu 2020. Najmä financovanie prevádzkového kapitálu MSP môže pokryť náklady na pracovné sily, materiál a prevádzkové vstupy, zásoby a režijné náklady, náklady na nájomné a služby. Zahŕňalo by to aj možnos</w:t>
      </w:r>
      <w:r>
        <w:rPr>
          <w:noProof/>
        </w:rPr>
        <w:t>ť financovania pre podniky a regionálne orgány na účely dosiahnutia súladu s protokolmi o ochrane verejného zdravia vrátane udržiavania čistoty, ochranného vybavenia, prispôsobenia verejných priestorov, zdravotných a lekárskych kapacít s cieľom uspokojiť v</w:t>
      </w:r>
      <w:r>
        <w:rPr>
          <w:noProof/>
        </w:rPr>
        <w:t>yšší počet návštevníkov.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Okrem pomoci podnikom v odvetví cestovného ruchu pri prispôsobovaní sa požiadavkám v oblasti verejného zdravia by mala byť k dispozícii finančná podpora EÚ a členských štátov s cieľom stimulovať dodatočné investície na posilnenie </w:t>
      </w:r>
      <w:r>
        <w:rPr>
          <w:noProof/>
        </w:rPr>
        <w:t>odolnosti.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Aby sa pomohlo regiónom, ktoré kríza postihla najviac, členské štáty by mali vypracovať komplexné stratégie obnovy pre tieto regióny na základe existujúcej inteligentnej špecializácie a územných stratégií v rámci politiky súdržnosti. Takéto str</w:t>
      </w:r>
      <w:r>
        <w:rPr>
          <w:noProof/>
        </w:rPr>
        <w:t>atégie by mali prostredníctvom lepšieho prístupu k financovaniu v prvej fáze podporovať podniky pôsobiace v oblasti cestovného ruchu a súvisiacich služieb pri obnovovaní prevádzky. To by sa malo kombinovať s opatreniami na podporu digitalizácie, udržateľno</w:t>
      </w:r>
      <w:r>
        <w:rPr>
          <w:noProof/>
        </w:rPr>
        <w:t>sti a investícií do zručností prostredníctvom Európskeho fondu regionálneho rozvoja a Európskeho sociálneho fondu s cieľom podporovať udržateľný cestovný ruch a mobilitu a hospodársku diverzifikáciu s cieľom budovať odolnosť voči vonkajším otrasom.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Tieto </w:t>
      </w:r>
      <w:r>
        <w:rPr>
          <w:noProof/>
        </w:rPr>
        <w:t>stratégie by mali nasmerovať aj súčasné prostriedky v oblasti súdržnosti na investície, ktoré obnovia dôveru turistov, napríklad investície do správy verejných priestranstiev a implementácie zdravotných a bezpečnostných protokolov. Komisia zabezpečí, aby p</w:t>
      </w:r>
      <w:r>
        <w:rPr>
          <w:noProof/>
        </w:rPr>
        <w:t>odpora regiónov, ktoré sú silne závislé od cestovného ruchu, bola v rámci ďalšej generácie programov súdržnosti lepšie zameraná.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Komisia bude takisto podporovať spoluprácu medzi regiónmi s cieľom vypracovať inteligentné riešenia na oživenie v ekosystéme c</w:t>
      </w:r>
      <w:r>
        <w:rPr>
          <w:noProof/>
        </w:rPr>
        <w:t>estovného ruchu. Na základe nedávneho úspešného pilotného projektu Komisia vyhlási novú výzvu na vytvorenie medziregionálneho partnerstva v oblasti cestovného ruchu na zdieľanie, testovanie a realizáciu nových inteligentných riešení na účely obnovy, na vyt</w:t>
      </w:r>
      <w:r>
        <w:rPr>
          <w:noProof/>
        </w:rPr>
        <w:t>vorenie nového hodnotového reťazca inovatívneho, zodpovedného a udržateľného cestovného ruchu.</w:t>
      </w:r>
    </w:p>
    <w:p w:rsidR="00C73F2C" w:rsidRDefault="00C73F2C">
      <w:pPr>
        <w:jc w:val="both"/>
        <w:rPr>
          <w:noProof/>
        </w:rPr>
      </w:pPr>
    </w:p>
    <w:p w:rsidR="00C73F2C" w:rsidRDefault="00C73F2C">
      <w:pPr>
        <w:jc w:val="both"/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jc w:val="both"/>
              <w:rPr>
                <w:b/>
                <w:bCs/>
                <w:noProof/>
                <w:shd w:val="clear" w:color="auto" w:fill="FFFFFF"/>
              </w:rPr>
            </w:pPr>
            <w:r>
              <w:rPr>
                <w:i/>
                <w:noProof/>
                <w:color w:val="auto"/>
              </w:rPr>
              <w:t>Komisia bude nabádať členské štáty a regióny najviac zasiahnuté poklesom v odvetví cestovného ruchu, aby využili možnosti, ktoré ponúka Investičná iniciatíva v</w:t>
            </w:r>
            <w:r>
              <w:rPr>
                <w:i/>
                <w:noProof/>
                <w:color w:val="auto"/>
              </w:rPr>
              <w:t> reakcii na koronavírus, na podporu malých a stredných podnikov v odvetví cestovného ruchu v rámci prebiehajúceho preprogramovania prostriedkov určených pre oblasť súdržnosti.</w:t>
            </w:r>
          </w:p>
        </w:tc>
      </w:tr>
    </w:tbl>
    <w:p w:rsidR="00C73F2C" w:rsidRDefault="00C73F2C">
      <w:pPr>
        <w:tabs>
          <w:tab w:val="left" w:pos="427"/>
        </w:tabs>
        <w:ind w:left="720" w:right="20"/>
        <w:rPr>
          <w:noProof/>
          <w:shd w:val="clear" w:color="auto" w:fill="FFFFFF"/>
        </w:rPr>
      </w:pP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b/>
          <w:noProof/>
        </w:rPr>
      </w:pPr>
      <w:r>
        <w:rPr>
          <w:b/>
          <w:noProof/>
        </w:rPr>
        <w:t>d)</w:t>
      </w:r>
      <w:r>
        <w:rPr>
          <w:noProof/>
        </w:rPr>
        <w:tab/>
      </w:r>
      <w:r>
        <w:rPr>
          <w:b/>
          <w:noProof/>
        </w:rPr>
        <w:t>Atraktívne a dobrovoľné poukazy: prínosné pre podniky aj zákazníkov</w:t>
      </w:r>
    </w:p>
    <w:p w:rsidR="00C73F2C" w:rsidRDefault="00C73F2C">
      <w:pPr>
        <w:jc w:val="both"/>
        <w:rPr>
          <w:b/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Najväčším obmedzením likvidity pre odvetvie cestovania a cestovného ruchu je nedostatok nových rezervácií a bezprecedentný počet uplatňovaných nárokov na náhradu v prípade zrušenia. S cieľom objasniť uplatniteľné pravidlá Únie v tejto oblasti Komisia 18. m</w:t>
      </w:r>
      <w:r>
        <w:rPr>
          <w:noProof/>
        </w:rPr>
        <w:t>arca prijala výkladové usmernenia k predpisom EÚ o právach cestujúcich a 19. marca vydala neformálne usmernenie o uplatňovaní smernice o balíkoch cestovných služieb.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V súlade s </w:t>
      </w:r>
      <w:r>
        <w:rPr>
          <w:b/>
          <w:noProof/>
        </w:rPr>
        <w:t>odporúčaním týkajúcim sa poukazov ponúkaných pasažierom a cestujúcim ako alter</w:t>
      </w:r>
      <w:r>
        <w:rPr>
          <w:b/>
          <w:noProof/>
        </w:rPr>
        <w:t>natívnu náhradu za zrušené balíky cestovných služieb a dopravné služby v súvislosti s pandémiou COVID-19</w:t>
      </w:r>
      <w:r>
        <w:rPr>
          <w:rStyle w:val="FootnoteReference"/>
          <w:b/>
          <w:noProof/>
        </w:rPr>
        <w:footnoteReference w:id="19"/>
      </w:r>
      <w:r>
        <w:rPr>
          <w:noProof/>
        </w:rPr>
        <w:t xml:space="preserve"> má Komisia v úmysle zabezpečiť, aby sa poukazy pre cestujúcich stali životaschopnou a atraktívnou alternatívou k náhrade v prípade zrušených ciest. Do</w:t>
      </w:r>
      <w:r>
        <w:rPr>
          <w:noProof/>
        </w:rPr>
        <w:t>pravcovia a operátori v oblasti cestovného ruchu by mali uplatňovať spoločný prístup, ktorý cestujúcim poskytne atraktívnu a spoľahlivú možnosť voľby medzi hotovostnou náhradou – v súlade s ich zákonnými právami podľa práva EÚ – a akceptovaním poukazu.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S </w:t>
      </w:r>
      <w:r>
        <w:rPr>
          <w:noProof/>
        </w:rPr>
        <w:t>cieľom poskytnúť stimuly pre cestujúcich, aby akceptovali poukazy namiesto náhrady, by poukazy mali byť chránené pred platobnou neschopnosťou vydávajúceho a mali by byť refundovateľné po uplynutí najviac jedného roka, ak nie sú uplatnené. Operátori by mali</w:t>
      </w:r>
      <w:r>
        <w:rPr>
          <w:noProof/>
        </w:rPr>
        <w:t xml:space="preserve"> tiež kombinovať určité vlastnosti s cieľom zatraktívniť poukazy pre cestujúcich. Poukazy by mali napríklad poskytovať flexibilitu v súvislosti s rozsahom služieb, na ktoré sa môžu využívať, a mali by byť prevoditeľné na inú osobu. Cestujúci by tak mohli m</w:t>
      </w:r>
      <w:r>
        <w:rPr>
          <w:noProof/>
        </w:rPr>
        <w:t>ať väčšiu dôveru, pokiaľ ide o vykonávanie nových rezervácií. Široko dostupné a zabezpečené poukazy poskytujú operátorom nákladovo efektívne riešenie, než je poskytnutie náhrady cestujúcim.</w:t>
      </w:r>
    </w:p>
    <w:p w:rsidR="00C73F2C" w:rsidRDefault="00C73F2C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jc w:val="both"/>
              <w:rPr>
                <w:i/>
                <w:iCs/>
                <w:noProof/>
              </w:rPr>
            </w:pPr>
            <w:r>
              <w:rPr>
                <w:i/>
                <w:iCs/>
                <w:noProof/>
              </w:rPr>
              <w:t>Dopravcovia a organizátori by mali ponúknuť cestujúcim poukazy, k</w:t>
            </w:r>
            <w:r>
              <w:rPr>
                <w:i/>
                <w:iCs/>
                <w:noProof/>
              </w:rPr>
              <w:t>toré predstavujú atraktívnu a spoľahlivú alternatívu k hotovostnej náhrade a ktoré budú mať vlastnosti uvedené v odporúčaní Komisie. Poukazy by mali byť chránené pred platobnou neschopnosťou dopravcov a organizátorov a mali by byť refundovateľné po uplynut</w:t>
            </w:r>
            <w:r>
              <w:rPr>
                <w:i/>
                <w:iCs/>
                <w:noProof/>
              </w:rPr>
              <w:t>í jedného roka v prípade, že nie sú uplatnené.</w:t>
            </w:r>
          </w:p>
          <w:p w:rsidR="00C73F2C" w:rsidRDefault="00C73F2C">
            <w:pPr>
              <w:jc w:val="both"/>
              <w:rPr>
                <w:i/>
                <w:noProof/>
              </w:rPr>
            </w:pPr>
          </w:p>
          <w:p w:rsidR="00C73F2C" w:rsidRDefault="00164483">
            <w:pPr>
              <w:jc w:val="both"/>
              <w:rPr>
                <w:noProof/>
              </w:rPr>
            </w:pPr>
            <w:r>
              <w:rPr>
                <w:i/>
                <w:noProof/>
              </w:rPr>
              <w:t>Spotrebiteľské organizácie a organizácie na ochranu cestujúcich pôsobiace na úrovni Únie a na vnútroštátnej úrovni by mali cestujúcich nabádať k tomu, aby namiesto peňažnej refundácie prijímali poukazy, ktoré</w:t>
            </w:r>
            <w:r>
              <w:rPr>
                <w:i/>
                <w:noProof/>
              </w:rPr>
              <w:t xml:space="preserve"> majú vlastnosti opísané v uvedenom odporúčaní.</w:t>
            </w:r>
          </w:p>
          <w:p w:rsidR="00C73F2C" w:rsidRDefault="00C73F2C">
            <w:pPr>
              <w:jc w:val="both"/>
              <w:rPr>
                <w:noProof/>
              </w:rPr>
            </w:pPr>
          </w:p>
          <w:p w:rsidR="00C73F2C" w:rsidRDefault="00164483">
            <w:pPr>
              <w:jc w:val="both"/>
              <w:rPr>
                <w:noProof/>
              </w:rPr>
            </w:pPr>
            <w:r>
              <w:rPr>
                <w:i/>
                <w:noProof/>
              </w:rPr>
              <w:t>Podniky, spotrebiteľské organizácie a organizácie na ochranu cestujúcich pôsobiace na úrovni Únie a na vnútroštátnej úrovni a orgány členských štátov vrátane ich vnútroštátnych orgánov presadzovania práva by</w:t>
            </w:r>
            <w:r>
              <w:rPr>
                <w:i/>
                <w:noProof/>
              </w:rPr>
              <w:t xml:space="preserve"> mali prispieť k informovaniu všetkých dotknutých strán o tomto odporúčaní a spolupracovať pri jeho implementácii.</w:t>
            </w:r>
          </w:p>
        </w:tc>
      </w:tr>
    </w:tbl>
    <w:p w:rsidR="00C73F2C" w:rsidRDefault="00C73F2C">
      <w:pPr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b/>
          <w:noProof/>
        </w:rPr>
        <w:t>e)</w:t>
      </w:r>
      <w:r>
        <w:rPr>
          <w:noProof/>
        </w:rPr>
        <w:tab/>
      </w:r>
      <w:r>
        <w:rPr>
          <w:b/>
          <w:noProof/>
        </w:rPr>
        <w:t>Záchrana pracovných miest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Z Európskeho sociálneho fondu sa podporujú programy skráteného pracovného času, aby sa ochránili pracovné mie</w:t>
      </w:r>
      <w:r>
        <w:rPr>
          <w:noProof/>
        </w:rPr>
        <w:t xml:space="preserve">sta. Iniciatíva dočasnej podpory na zmiernenie rizík nezamestnanosti v núdzovej situácii (SURE) poskytne členským štátom finančnú podporu až do výšky 100 mld. EUR na pokrytie nákladov na vnútroštátne programy skráteného pracovného času a podobné opatrenia </w:t>
      </w:r>
      <w:r>
        <w:rPr>
          <w:noProof/>
        </w:rPr>
        <w:t>umožňujúce podnikom ochrániť pracovné miesta. Takéto verejné programy umožňujú podnikom skrátiť pracovný čas a zároveň poskytovať svojim pracovníkom podporu príjmu.</w:t>
      </w:r>
    </w:p>
    <w:p w:rsidR="00C73F2C" w:rsidRDefault="00C73F2C">
      <w:pPr>
        <w:jc w:val="both"/>
        <w:rPr>
          <w:b/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Kľúčovou prioritou je podpora pracovníkov, ktorí stratili prácu, aby si našli nové zamestn</w:t>
      </w:r>
      <w:r>
        <w:rPr>
          <w:noProof/>
        </w:rPr>
        <w:t>anie. Toto si vyžaduje partnerstvá medzi službami zamestnanosti, sociálnymi partnermi a podnikmi s cieľom umožniť rýchle umiestňovanie osôb do nových pracovných miest a ich rekvalifikáciu, a to so zameraním na mladých ľudí a vrátane podpory sezónnych praco</w:t>
      </w:r>
      <w:r>
        <w:rPr>
          <w:noProof/>
        </w:rPr>
        <w:t>vníkov.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S cieľom zvýšiť odolnosť a predísť budúcim nedostatkom zručností, ktoré sú potrebné na zelenú transformáciu a prechod na digitálne technológie</w:t>
      </w:r>
      <w:r>
        <w:rPr>
          <w:rStyle w:val="FootnoteReference"/>
          <w:noProof/>
        </w:rPr>
        <w:footnoteReference w:id="20"/>
      </w:r>
      <w:r>
        <w:rPr>
          <w:noProof/>
        </w:rPr>
        <w:t>, by členské štáty mali takisto zvýšiť existujúce príležitosti na zvyšovanie úrovne zručností, a to pros</w:t>
      </w:r>
      <w:r>
        <w:rPr>
          <w:noProof/>
        </w:rPr>
        <w:t>tredníctvom vnútroštátnych fondov a fondov EÚ (napr. Európskeho sociálneho fondu, Európskeho fondu regionálneho rozvoja, InvestEU a Európskeho poľnohospodárskeho fondu pre rozvoj vidieka).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Na úrovni EÚ sa v koncepcii sektorovej spolupráce v oblasti </w:t>
      </w:r>
      <w:r>
        <w:rPr>
          <w:noProof/>
        </w:rPr>
        <w:t>zručností poskytuje rámec pre strategickú spoluprácu medzi kľúčovými zainteresovanými stranami s cieľom riešiť krátkodobé a strednodobé potreby v oblasti zručností vo vybraných sektoroch, medzi ktorými je aj sektor cestovného ruchu</w:t>
      </w:r>
      <w:r>
        <w:rPr>
          <w:rStyle w:val="FootnoteReference"/>
          <w:noProof/>
        </w:rPr>
        <w:footnoteReference w:id="21"/>
      </w:r>
      <w:r>
        <w:rPr>
          <w:noProof/>
        </w:rPr>
        <w:t>. V nadchádzajúcom aktua</w:t>
      </w:r>
      <w:r>
        <w:rPr>
          <w:noProof/>
        </w:rPr>
        <w:t>lizovanom programe v oblasti zručností sa bude ďalej podporovať sektorová spolupráca s cieľom riešiť potreby v oblasti zručností, pričom dôraz sa bude klásť na zručnosti pre úspešný prechod na digitálne technológie a úspešnú zelenú transformáciu. Regióny s</w:t>
      </w:r>
      <w:r>
        <w:rPr>
          <w:noProof/>
        </w:rPr>
        <w:t>o stratégiami inteligentnej špecializácie, pokiaľ ide o cestovný ruch, a európske klastre pôsobiace v oblasti cestovného ruchu by s podporou programov Erasmus a Interreg mohli v tejto súvislosti spojiť sily.</w:t>
      </w:r>
    </w:p>
    <w:p w:rsidR="00C73F2C" w:rsidRDefault="00C73F2C">
      <w:pPr>
        <w:jc w:val="both"/>
        <w:rPr>
          <w:noProof/>
        </w:rPr>
      </w:pP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b/>
          <w:noProof/>
        </w:rPr>
      </w:pPr>
      <w:r>
        <w:rPr>
          <w:b/>
          <w:noProof/>
        </w:rPr>
        <w:t>f)</w:t>
      </w:r>
      <w:r>
        <w:rPr>
          <w:noProof/>
        </w:rPr>
        <w:tab/>
      </w:r>
      <w:r>
        <w:rPr>
          <w:b/>
          <w:noProof/>
        </w:rPr>
        <w:t>Podpora lokálneho cestovného ruchu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V krátk</w:t>
      </w:r>
      <w:r>
        <w:rPr>
          <w:noProof/>
        </w:rPr>
        <w:t>odobom horizonte bude prevládať domáci cestovný ruch a cestovný ruch v rámci EÚ. 267 miliónov Európanov (62 % obyvateľstva) absolvuje aspoň jeden súkromný turistický pobyt ročne a 78 % Európanov trávi dovolenky v domovskej krajine alebo v inej krajine EÚ</w:t>
      </w:r>
      <w:r>
        <w:rPr>
          <w:rStyle w:val="FootnoteReference"/>
          <w:noProof/>
        </w:rPr>
        <w:footnoteReference w:id="22"/>
      </w:r>
      <w:r>
        <w:rPr>
          <w:noProof/>
        </w:rPr>
        <w:t>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>Ak sa v danej situácii zvolí kreatívny prístup, potom po zrušení opatrení na obmedzenie pohybu ponúka kríza Európanom príležitosť vychutnať si bohatú kultúrnu a prírodnú rozmanitosť vo vlastnej krajine alebo v iných krajinách EÚ a zažívať nové skúsenosti</w:t>
      </w:r>
      <w:r>
        <w:rPr>
          <w:noProof/>
        </w:rPr>
        <w:t xml:space="preserve"> po celý rok.</w:t>
      </w:r>
    </w:p>
    <w:p w:rsidR="00C73F2C" w:rsidRDefault="00C73F2C">
      <w:pPr>
        <w:pStyle w:val="Bodytext20"/>
        <w:shd w:val="clear" w:color="auto" w:fill="auto"/>
        <w:spacing w:after="0" w:line="240" w:lineRule="auto"/>
        <w:ind w:firstLine="0"/>
        <w:rPr>
          <w:noProof/>
        </w:rPr>
      </w:pPr>
    </w:p>
    <w:p w:rsidR="00C73F2C" w:rsidRDefault="00164483">
      <w:pPr>
        <w:pStyle w:val="Bodytext20"/>
        <w:shd w:val="clear" w:color="auto" w:fill="auto"/>
        <w:spacing w:after="0" w:line="240" w:lineRule="auto"/>
        <w:ind w:firstLine="0"/>
        <w:rPr>
          <w:noProof/>
          <w:color w:val="auto"/>
        </w:rPr>
      </w:pPr>
      <w:r>
        <w:rPr>
          <w:noProof/>
        </w:rPr>
        <w:t xml:space="preserve">Mnohé európske regióny a mestá sú vo veľkej miere závislé od </w:t>
      </w:r>
      <w:r>
        <w:rPr>
          <w:b/>
          <w:noProof/>
        </w:rPr>
        <w:t>kultúrneho cestovného ruchu</w:t>
      </w:r>
      <w:r>
        <w:rPr>
          <w:rStyle w:val="FootnoteReference"/>
          <w:noProof/>
        </w:rPr>
        <w:footnoteReference w:id="23"/>
      </w:r>
      <w:r>
        <w:rPr>
          <w:noProof/>
        </w:rPr>
        <w:t>. Technológie prispeli k transformácii kultúrneho cestovného ruchu počas tejto pandémie tým, že otvorili nové príležitosti pre tvorivé prejavy a rozšíri</w:t>
      </w:r>
      <w:r>
        <w:rPr>
          <w:noProof/>
        </w:rPr>
        <w:t>li publikum.</w:t>
      </w:r>
      <w:r>
        <w:rPr>
          <w:noProof/>
          <w:color w:val="auto"/>
        </w:rPr>
        <w:t xml:space="preserve"> </w:t>
      </w:r>
      <w:r>
        <w:rPr>
          <w:b/>
          <w:noProof/>
          <w:color w:val="auto"/>
        </w:rPr>
        <w:t>Cestovný ruch na pobrežných</w:t>
      </w:r>
      <w:r>
        <w:rPr>
          <w:rStyle w:val="FootnoteReference"/>
          <w:b/>
          <w:noProof/>
        </w:rPr>
        <w:footnoteReference w:id="24"/>
      </w:r>
      <w:r>
        <w:rPr>
          <w:b/>
          <w:noProof/>
          <w:color w:val="auto"/>
        </w:rPr>
        <w:t>, námorných a vnútrozemských vodných cestách, ako aj agroturistika</w:t>
      </w:r>
      <w:r>
        <w:rPr>
          <w:rStyle w:val="FootnoteReference"/>
          <w:b/>
          <w:noProof/>
        </w:rPr>
        <w:footnoteReference w:id="25"/>
      </w:r>
      <w:r>
        <w:rPr>
          <w:noProof/>
          <w:color w:val="auto"/>
        </w:rPr>
        <w:t xml:space="preserve"> sú zastúpené v mnohých regiónoch EÚ, vytvárajú inovatívne, lokalizované ponuky v oblasti cestovného ruchu pre mimosezónne obdobia a možnosti pre re</w:t>
      </w:r>
      <w:r>
        <w:rPr>
          <w:noProof/>
          <w:color w:val="auto"/>
        </w:rPr>
        <w:t xml:space="preserve">kreáciu. </w:t>
      </w:r>
      <w:r>
        <w:rPr>
          <w:noProof/>
        </w:rPr>
        <w:t>Vznikajú nové príležitosti na objavovanie skrytých alebo zabudnutých prírodných a kultúrnych pokladov, ktoré sú bližšie k domovu, a príležitosti ochutnať výrobky miestnej produkcie. Navrhovaný Európsky rok železníc 2021 by sa mohol zamerať na tent</w:t>
      </w:r>
      <w:r>
        <w:rPr>
          <w:noProof/>
        </w:rPr>
        <w:t>o špecifický spôsob cestovania s cieľom podporiť cestovný ruch v rámci EÚ.</w:t>
      </w:r>
    </w:p>
    <w:p w:rsidR="00C73F2C" w:rsidRDefault="00C73F2C">
      <w:pPr>
        <w:jc w:val="both"/>
        <w:rPr>
          <w:noProof/>
        </w:rPr>
      </w:pPr>
    </w:p>
    <w:p w:rsidR="00C73F2C" w:rsidRDefault="00164483">
      <w:pPr>
        <w:jc w:val="both"/>
        <w:rPr>
          <w:noProof/>
        </w:rPr>
      </w:pPr>
      <w:r>
        <w:rPr>
          <w:noProof/>
        </w:rPr>
        <w:t xml:space="preserve">V členských štátoch, v ktorých boli vytvorené </w:t>
      </w:r>
      <w:r>
        <w:rPr>
          <w:b/>
          <w:noProof/>
        </w:rPr>
        <w:t>systémy rekreačných poukazov</w:t>
      </w:r>
      <w:r>
        <w:rPr>
          <w:noProof/>
        </w:rPr>
        <w:t>, zákazníci s potešením podporili svoje obľúbené hotely alebo reštaurácie. Takéto systémy by sa mohli rozš</w:t>
      </w:r>
      <w:r>
        <w:rPr>
          <w:noProof/>
        </w:rPr>
        <w:t>íriť aj na iné podniky v oblasti cestovného ruchu, napríklad v oblasti kultúry a zábavy. Komisia poskytne informačný portál na ich prezentáciu. Portál prepojí dodávateľov so všetkými iniciatívami a platformami ponúkajúcimi takéto systémy. Pomôže občanom ná</w:t>
      </w:r>
      <w:r>
        <w:rPr>
          <w:noProof/>
        </w:rPr>
        <w:t>jsť všetky iniciatívy a ponuky v celej EÚ. Komisia v spolupráci s členskými štátmi vyzve lokálne organizácie cestovného ruchu, ale aj účastníkov trhu pôsobiacich v odvetví cestovného ruchu, ako sú malé a veľké online platformy (prostredníctvom ktorých sa m</w:t>
      </w:r>
      <w:r>
        <w:rPr>
          <w:noProof/>
        </w:rPr>
        <w:t>noho podnikov v oblasti cestovného ruchu spája s klientmi), ďalej spoločnosti vydávajúce kreditné karty a poskytovateľov platobných systémov, aby sa zaviazali vytvárať systémy rekreačných poukazov.</w:t>
      </w:r>
    </w:p>
    <w:p w:rsidR="00C73F2C" w:rsidRDefault="00C73F2C">
      <w:pPr>
        <w:rPr>
          <w:noProof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E7E6E6" w:themeFill="background2"/>
          </w:tcPr>
          <w:p w:rsidR="00C73F2C" w:rsidRDefault="0016448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  <w:r>
              <w:rPr>
                <w:rFonts w:ascii="UICTFontTextStyleTallBody" w:hAnsi="UICTFontTextStyleTallBody"/>
                <w:i/>
                <w:noProof/>
              </w:rPr>
              <w:t>Komisia v spolupráci s členskými štátmi vyzve na prijatie</w:t>
            </w:r>
            <w:r>
              <w:rPr>
                <w:rFonts w:ascii="UICTFontTextStyleTallBody" w:hAnsi="UICTFontTextStyleTallBody"/>
                <w:i/>
                <w:noProof/>
              </w:rPr>
              <w:t xml:space="preserve"> záväzkov vytvárať systémy rekreačných poukazov a zriadi online platformu na prepojenie subjektov, ktoré takéto záväzky ponúkli, s dodávateľmi v odvetví cestovného ruchu.</w:t>
            </w:r>
          </w:p>
          <w:p w:rsidR="00C73F2C" w:rsidRDefault="00C73F2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</w:p>
          <w:p w:rsidR="00C73F2C" w:rsidRDefault="0016448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</w:rPr>
            </w:pPr>
            <w:r>
              <w:rPr>
                <w:rFonts w:ascii="UICTFontTextStyleTallBody" w:hAnsi="UICTFontTextStyleTallBody"/>
                <w:i/>
                <w:noProof/>
              </w:rPr>
              <w:t>Komisia bude podporovať prechod na udržateľnejší model pobrežného a námorného cestov</w:t>
            </w:r>
            <w:r>
              <w:rPr>
                <w:rFonts w:ascii="UICTFontTextStyleTallBody" w:hAnsi="UICTFontTextStyleTallBody"/>
                <w:i/>
                <w:noProof/>
              </w:rPr>
              <w:t>ného ruchu ako súčasť svojho strategického prístupu k udržateľnému modrému hospodárstvu. Podporí aj agroturistiku ako udržateľný model cestovného ruchu vo vidieckych oblastiach.</w:t>
            </w:r>
          </w:p>
          <w:p w:rsidR="00C73F2C" w:rsidRDefault="00C73F2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</w:p>
          <w:p w:rsidR="00C73F2C" w:rsidRDefault="0016448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  <w:r>
              <w:rPr>
                <w:rFonts w:ascii="UICTFontTextStyleTallBody" w:hAnsi="UICTFontTextStyleTallBody"/>
                <w:i/>
                <w:noProof/>
                <w:color w:val="auto"/>
              </w:rPr>
              <w:t>Europeana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6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, Európska platforma pre digitálne kultúrne dedičstvo, od júna ešte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viac rozvinie svoju činnosť v oblasti cestovného ruchu, v rámci ktorej prezentuje európske kultúrne a skryté poklady. V rámci sprievodnej webovej aplikácie Cultural gems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7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sa v druhej polovici roka spustí kampaň vyslanca občanov na podporu rozvoja lokálneh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o cestovného ruchu.</w:t>
            </w:r>
          </w:p>
          <w:p w:rsidR="00C73F2C" w:rsidRDefault="00C73F2C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</w:p>
          <w:p w:rsidR="00C73F2C" w:rsidRDefault="00164483">
            <w:pPr>
              <w:shd w:val="clear" w:color="auto" w:fill="D9D9D9" w:themeFill="background1" w:themeFillShade="D9"/>
              <w:jc w:val="both"/>
              <w:rPr>
                <w:rFonts w:ascii="UICTFontTextStyleTallBody" w:hAnsi="UICTFontTextStyleTallBody"/>
                <w:i/>
                <w:noProof/>
                <w:color w:val="auto"/>
              </w:rPr>
            </w:pP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V spolupráci s členskými štátmi bude Komisia pokračovať v podpore zdieľania informácií a podnecovaní Európanov k tomu, aby objavovali rozmanitosť krajiny a kultúr a nadobudli skúsenosti v Európe, a to vrátane Európskych hlavných miest </w:t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inteligentného cestovného ruchu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8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 xml:space="preserve"> a Európskych vysokokvalitných destinácií (EDEN)</w:t>
            </w:r>
            <w:r>
              <w:rPr>
                <w:rStyle w:val="FootnoteReference"/>
                <w:rFonts w:ascii="UICTFontTextStyleTallBody" w:hAnsi="UICTFontTextStyleTallBody"/>
                <w:i/>
                <w:noProof/>
                <w:color w:val="auto"/>
              </w:rPr>
              <w:footnoteReference w:id="29"/>
            </w:r>
            <w:r>
              <w:rPr>
                <w:rFonts w:ascii="UICTFontTextStyleTallBody" w:hAnsi="UICTFontTextStyleTallBody"/>
                <w:i/>
                <w:noProof/>
                <w:color w:val="auto"/>
              </w:rPr>
              <w:t>.</w:t>
            </w:r>
          </w:p>
          <w:p w:rsidR="00C73F2C" w:rsidRDefault="00C73F2C">
            <w:pPr>
              <w:shd w:val="clear" w:color="auto" w:fill="D9D9D9" w:themeFill="background1" w:themeFillShade="D9"/>
              <w:jc w:val="both"/>
              <w:rPr>
                <w:noProof/>
              </w:rPr>
            </w:pPr>
          </w:p>
        </w:tc>
      </w:tr>
    </w:tbl>
    <w:p w:rsidR="00C73F2C" w:rsidRDefault="00164483">
      <w:pPr>
        <w:pStyle w:val="Bodytext20"/>
        <w:numPr>
          <w:ilvl w:val="0"/>
          <w:numId w:val="22"/>
        </w:numPr>
        <w:shd w:val="clear" w:color="auto" w:fill="auto"/>
        <w:tabs>
          <w:tab w:val="left" w:pos="758"/>
        </w:tabs>
        <w:spacing w:before="240" w:after="0" w:line="240" w:lineRule="auto"/>
        <w:rPr>
          <w:b/>
          <w:noProof/>
        </w:rPr>
      </w:pPr>
      <w:r>
        <w:rPr>
          <w:b/>
          <w:noProof/>
        </w:rPr>
        <w:t>SPOLUPRÁCA</w:t>
      </w:r>
    </w:p>
    <w:p w:rsidR="00C73F2C" w:rsidRDefault="00C73F2C">
      <w:pPr>
        <w:pStyle w:val="Bodytext20"/>
        <w:shd w:val="clear" w:color="auto" w:fill="auto"/>
        <w:tabs>
          <w:tab w:val="left" w:pos="758"/>
        </w:tabs>
        <w:spacing w:before="240" w:after="0" w:line="240" w:lineRule="auto"/>
        <w:ind w:firstLine="0"/>
        <w:rPr>
          <w:b/>
          <w:noProof/>
          <w:sz w:val="16"/>
          <w:szCs w:val="16"/>
        </w:rPr>
      </w:pPr>
    </w:p>
    <w:p w:rsidR="00C73F2C" w:rsidRDefault="00164483">
      <w:pPr>
        <w:pStyle w:val="Bodytext20"/>
        <w:tabs>
          <w:tab w:val="left" w:pos="758"/>
        </w:tabs>
        <w:rPr>
          <w:noProof/>
        </w:rPr>
      </w:pPr>
      <w:r>
        <w:rPr>
          <w:noProof/>
        </w:rPr>
        <w:tab/>
        <w:t xml:space="preserve">Otázky týkajúce sa cestovného ruchu, dopravy a hraníc podliehajú komplexnému súboru politických rámcov, ktoré sa vyvíjajú a vykonávajú oddelene na rôznych </w:t>
      </w:r>
      <w:r>
        <w:rPr>
          <w:noProof/>
        </w:rPr>
        <w:t>úrovniach – miestnej, regionálnej, vnútroštátnej a na úrovni EÚ. Mestá a niekedy aj regióny uplatňujú širokú škálu politík v oblasti cestovného ruchu a dopravy. Rozmanitosť ekosystému cestovného ruchu sa odráža aj v jeho riadení, ale prináša so sebou aj vý</w:t>
      </w:r>
      <w:r>
        <w:rPr>
          <w:noProof/>
        </w:rPr>
        <w:t>zvy, pretože politické opatrenia vykonávané na rôznych úrovniach bez koordinácie sa môžu navzájom neutralizovať alebo si dokonca navzájom škodiť.</w:t>
      </w:r>
    </w:p>
    <w:p w:rsidR="00C73F2C" w:rsidRDefault="00164483">
      <w:pPr>
        <w:pStyle w:val="Bodytext20"/>
        <w:tabs>
          <w:tab w:val="left" w:pos="758"/>
        </w:tabs>
        <w:rPr>
          <w:noProof/>
        </w:rPr>
      </w:pPr>
      <w:r>
        <w:rPr>
          <w:noProof/>
        </w:rPr>
        <w:tab/>
        <w:t>Tieto opatrenia a usmernenia tohto balíka spolu a v spojení s miestnymi, regionálnymi a vnútroštátnymi opatre</w:t>
      </w:r>
      <w:r>
        <w:rPr>
          <w:noProof/>
        </w:rPr>
        <w:t>niami by mali prispieť k vytvoreniu stabilného ekosystému cestovného ruchu. Ale na to, aby všetko mohlo fungovať, je potrebná skutočná spolupráca naprieč viacerými politickými rámcami a medzi aktérmi relevantnými pre oblasť cestovného ruchu:</w:t>
      </w:r>
    </w:p>
    <w:p w:rsidR="00C73F2C" w:rsidRDefault="00164483">
      <w:pPr>
        <w:pStyle w:val="Bodytext20"/>
        <w:tabs>
          <w:tab w:val="left" w:pos="758"/>
        </w:tabs>
        <w:ind w:left="360"/>
        <w:rPr>
          <w:noProof/>
        </w:rPr>
      </w:pPr>
      <w:r>
        <w:rPr>
          <w:noProof/>
        </w:rPr>
        <w:t>•</w:t>
      </w:r>
      <w:r>
        <w:rPr>
          <w:noProof/>
        </w:rPr>
        <w:tab/>
        <w:t>Horizontálne</w:t>
      </w:r>
      <w:r>
        <w:rPr>
          <w:noProof/>
        </w:rPr>
        <w:t xml:space="preserve"> – medzi miestnymi, regionálnymi a vnútroštátnymi orgánmi a s Komisiou.</w:t>
      </w:r>
    </w:p>
    <w:p w:rsidR="00C73F2C" w:rsidRDefault="00164483">
      <w:pPr>
        <w:pStyle w:val="Bodytext20"/>
        <w:tabs>
          <w:tab w:val="left" w:pos="758"/>
        </w:tabs>
        <w:ind w:left="360"/>
        <w:rPr>
          <w:noProof/>
        </w:rPr>
      </w:pPr>
      <w:r>
        <w:rPr>
          <w:noProof/>
        </w:rPr>
        <w:t>•</w:t>
      </w:r>
      <w:r>
        <w:rPr>
          <w:noProof/>
        </w:rPr>
        <w:tab/>
        <w:t>Vertikálne – medzi colnými úradníkmi, poskytovateľmi dopravy, poskytovateľmi ubytovania a všetkými ostatnými aktérmi pôsobiacimi v rámci ekosystému, a to s cieľom sfunkčniť usmerneni</w:t>
      </w:r>
      <w:r>
        <w:rPr>
          <w:noProof/>
        </w:rPr>
        <w:t>a, uviesť ich do praxe a implementovať ich.</w:t>
      </w:r>
    </w:p>
    <w:p w:rsidR="00C73F2C" w:rsidRDefault="0016448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>Aby sa zaistila primeraná a včasná koordinácia medzi všetkými aktérmi na báze etablovaných kanálov, Komisia vytvorí koordinačné mechanizmy, ktoré prepoja všetky agentúry a orgány EÚ zapojené do prípravy usmernení</w:t>
      </w:r>
      <w:r>
        <w:rPr>
          <w:noProof/>
        </w:rPr>
        <w:t xml:space="preserve"> týkajúcich sa COVID-19 v úzkej koordinácii s existujúcim systémom riadenia rizika.</w:t>
      </w:r>
    </w:p>
    <w:p w:rsidR="00C73F2C" w:rsidRDefault="00C73F2C">
      <w:pPr>
        <w:rPr>
          <w:noProof/>
        </w:rPr>
      </w:pPr>
    </w:p>
    <w:p w:rsidR="00C73F2C" w:rsidRDefault="00C73F2C">
      <w:pPr>
        <w:rPr>
          <w:noProof/>
        </w:rPr>
      </w:pPr>
    </w:p>
    <w:p w:rsidR="00C73F2C" w:rsidRDefault="00164483">
      <w:pPr>
        <w:pStyle w:val="ListParagraph"/>
        <w:numPr>
          <w:ilvl w:val="0"/>
          <w:numId w:val="22"/>
        </w:numPr>
        <w:rPr>
          <w:noProof/>
        </w:rPr>
      </w:pPr>
      <w:r>
        <w:rPr>
          <w:b/>
          <w:noProof/>
        </w:rPr>
        <w:t>NOVÉ HORIZONTY – NA CESTE K UDRŽATEĽNEJ BUDÚCNOSTI</w:t>
      </w:r>
    </w:p>
    <w:p w:rsidR="00C73F2C" w:rsidRDefault="00C73F2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b/>
          <w:noProof/>
        </w:rPr>
      </w:pPr>
    </w:p>
    <w:p w:rsidR="00C73F2C" w:rsidRDefault="00164483">
      <w:pPr>
        <w:pStyle w:val="Bodytext20"/>
        <w:tabs>
          <w:tab w:val="left" w:pos="758"/>
        </w:tabs>
        <w:spacing w:after="0" w:line="240" w:lineRule="auto"/>
        <w:rPr>
          <w:noProof/>
        </w:rPr>
      </w:pPr>
      <w:r>
        <w:rPr>
          <w:noProof/>
        </w:rPr>
        <w:tab/>
        <w:t xml:space="preserve">Okrem okamžitých krokov na poskytnutie pomoci by sme sa mali zamerať na budúcnosť cestovného ruchu a dopravy v EÚ </w:t>
      </w:r>
      <w:r>
        <w:rPr>
          <w:noProof/>
        </w:rPr>
        <w:t>a na to, ako sa zvýšila ich odolnosť a udržateľnosť, mali by sme sa poučiť z krízy a predvídať súvisiace nové trendy a návyky spotrebiteľov.</w:t>
      </w:r>
    </w:p>
    <w:p w:rsidR="00C73F2C" w:rsidRDefault="00C73F2C">
      <w:pPr>
        <w:pStyle w:val="Bodytext20"/>
        <w:tabs>
          <w:tab w:val="left" w:pos="758"/>
        </w:tabs>
        <w:spacing w:after="0" w:line="240" w:lineRule="auto"/>
        <w:rPr>
          <w:noProof/>
        </w:rPr>
      </w:pPr>
    </w:p>
    <w:p w:rsidR="00C73F2C" w:rsidRDefault="00164483">
      <w:pPr>
        <w:pStyle w:val="Bodytext20"/>
        <w:tabs>
          <w:tab w:val="left" w:pos="758"/>
        </w:tabs>
        <w:ind w:firstLine="0"/>
        <w:rPr>
          <w:noProof/>
        </w:rPr>
      </w:pPr>
      <w:r>
        <w:rPr>
          <w:noProof/>
        </w:rPr>
        <w:t xml:space="preserve">Našou spoločnou ambíciou by malo byť udržať Európu ako poprednú svetovú turistickú destináciu z hľadiska hodnoty, </w:t>
      </w:r>
      <w:r>
        <w:rPr>
          <w:noProof/>
        </w:rPr>
        <w:t>kvality, udržateľnosti a inovácií. Táto vízia by mala usmerňovať využívanie finančných zdrojov a investícií na európskej, národnej, regionálnej a miestnej úrovni.</w:t>
      </w:r>
    </w:p>
    <w:p w:rsidR="00C73F2C" w:rsidRDefault="0016448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  <w:spacing w:val="-4"/>
        </w:rPr>
      </w:pPr>
      <w:r>
        <w:rPr>
          <w:noProof/>
          <w:spacing w:val="-4"/>
        </w:rPr>
        <w:t xml:space="preserve">Stredobodom tohto nového cieľa je </w:t>
      </w:r>
      <w:r>
        <w:rPr>
          <w:b/>
          <w:noProof/>
          <w:spacing w:val="-4"/>
        </w:rPr>
        <w:t>udržateľnosť</w:t>
      </w:r>
      <w:r>
        <w:rPr>
          <w:noProof/>
          <w:spacing w:val="-4"/>
        </w:rPr>
        <w:t>, ktorá prispieva k európskej zelenej dohode a </w:t>
      </w:r>
      <w:r>
        <w:rPr>
          <w:noProof/>
          <w:spacing w:val="-4"/>
        </w:rPr>
        <w:t>posilňuje komunity. Naším cieľom by malo byť umožniť cenovo dostupnú a udržateľnejšiu dopravu a lepšie prepojenie, podporiť inteligentné riadenie tokov cestovného ruchu na základe spoľahlivých meraní a nástrojov, diverzifikovať ponuku cestovného ruchu a ro</w:t>
      </w:r>
      <w:r>
        <w:rPr>
          <w:noProof/>
          <w:spacing w:val="-4"/>
        </w:rPr>
        <w:t>zšíriť možnosti mimo sezónu, rozvíjať zručnosti pracovníkov v oblasti cestovného ruchu, zhodnocovať krajinnú a kultúrnu rozmanitosť v celej Európe a zároveň chrániť a obnovovať európsky suchozemský a morský prírodný kapitál v súlade so strategickým prístup</w:t>
      </w:r>
      <w:r>
        <w:rPr>
          <w:noProof/>
          <w:spacing w:val="-4"/>
        </w:rPr>
        <w:t>om k udržateľnému modrému a ekologickému hospodárstvu. Sem by mala byť zahrnutá aj podpora udržateľného ubytovania pre turistov (prostredníctvom dobrovoľných schém, ako sú environmentálna značka EÚ a EMAS). Táto ambícia vybudovať udržateľný cestovný ruch b</w:t>
      </w:r>
      <w:r>
        <w:rPr>
          <w:noProof/>
          <w:spacing w:val="-4"/>
        </w:rPr>
        <w:t>y mala usmerňovať investičné rozhodnutia na úrovni EÚ, ale môže fungovať len v kombinácii so silným záväzkom na regionálnej a miestnej úrovni.</w:t>
      </w:r>
    </w:p>
    <w:p w:rsidR="00C73F2C" w:rsidRDefault="00C73F2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  <w:spacing w:val="-4"/>
        </w:rPr>
      </w:pPr>
    </w:p>
    <w:p w:rsidR="00C73F2C" w:rsidRDefault="0016448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  <w:spacing w:val="-4"/>
        </w:rPr>
      </w:pPr>
      <w:r>
        <w:rPr>
          <w:noProof/>
          <w:spacing w:val="-4"/>
        </w:rPr>
        <w:t>Cestovný ruch môže takisto profitovať z </w:t>
      </w:r>
      <w:r>
        <w:rPr>
          <w:b/>
          <w:noProof/>
          <w:spacing w:val="-4"/>
        </w:rPr>
        <w:t>prechodu na digitálne technológie</w:t>
      </w:r>
      <w:r>
        <w:rPr>
          <w:noProof/>
          <w:spacing w:val="-4"/>
        </w:rPr>
        <w:t>, ktoré poskytujú nové spôsoby riadenia</w:t>
      </w:r>
      <w:r>
        <w:rPr>
          <w:noProof/>
          <w:spacing w:val="-4"/>
        </w:rPr>
        <w:t xml:space="preserve"> cestovných tokov a tokov turistov, príležitosti a väčší výber, ako aj efektívnejšie využívanie vzácnych zdrojov. Využívanie analýzy veľkých dát môže umožniť vytvárať a zdieľať presné segmenty profilu turistov a pomôcť pochopiť trendy a potreby cestujúcich</w:t>
      </w:r>
      <w:r>
        <w:rPr>
          <w:noProof/>
          <w:spacing w:val="-4"/>
        </w:rPr>
        <w:t xml:space="preserve">. Môže oblasti cestovného ruchu umožniť, aby okamžite reagovala na zmeny v dopyte zákazníkov, a poskytnúť analýzu predikatívneho modelovania. Uplatňovaním technológie blockchainu by sa operátorom v oblasti cestovného ruchu umožnilo mať k dispozícii všetky </w:t>
      </w:r>
      <w:r>
        <w:rPr>
          <w:noProof/>
          <w:spacing w:val="-4"/>
        </w:rPr>
        <w:t>dostupné informácie o bezpečných transakciách.</w:t>
      </w:r>
    </w:p>
    <w:p w:rsidR="00C73F2C" w:rsidRDefault="00C73F2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C73F2C" w:rsidRDefault="00164483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  <w:r>
        <w:rPr>
          <w:noProof/>
        </w:rPr>
        <w:t>Digitálne nástroje môžu takisto predstavovať aj opatrenia na budovanie dôvery s cieľom uistiť ľudí, že cestovanie a cestovný ruch môžu byť bezpečné. Zahŕňa to investície do digitálnych zručností vrátane kyber</w:t>
      </w:r>
      <w:r>
        <w:rPr>
          <w:noProof/>
        </w:rPr>
        <w:t>netickej bezpečnosti a podpory digitálnych inovácií, ďalej prepájanie podnikov a aktérov v oblasti cestovného ruchu s existujúcimi dátovými priestormi na miestnej a regionálnej úrovni (napríklad prostredníctvom prebiehajúcej práce na európskom dátovom prie</w:t>
      </w:r>
      <w:r>
        <w:rPr>
          <w:noProof/>
        </w:rPr>
        <w:t>store pre mobilitu). Je to obzvlášť dôležité vo vidieckych, odľahlých oblastiach a najvzdialenejších regiónoch, kde je cestovný ruch fragmentovaný a silne závislý od dostupnosti informácií, dopravy a možnosti cestovať.</w:t>
      </w:r>
    </w:p>
    <w:p w:rsidR="00C73F2C" w:rsidRDefault="00C73F2C">
      <w:pPr>
        <w:pStyle w:val="Bodytext20"/>
        <w:shd w:val="clear" w:color="auto" w:fill="auto"/>
        <w:tabs>
          <w:tab w:val="left" w:pos="758"/>
        </w:tabs>
        <w:spacing w:after="0" w:line="240" w:lineRule="auto"/>
        <w:ind w:firstLine="0"/>
        <w:rPr>
          <w:noProof/>
        </w:rPr>
      </w:pPr>
    </w:p>
    <w:p w:rsidR="00C73F2C" w:rsidRDefault="00164483">
      <w:pPr>
        <w:pStyle w:val="Bodytext20"/>
        <w:ind w:firstLine="0"/>
        <w:rPr>
          <w:noProof/>
        </w:rPr>
      </w:pPr>
      <w:r>
        <w:rPr>
          <w:noProof/>
        </w:rPr>
        <w:t>V rámci tohto prechodu bude potrebné</w:t>
      </w:r>
      <w:r>
        <w:rPr>
          <w:noProof/>
        </w:rPr>
        <w:t xml:space="preserve"> venovať osobitnú pozornosť MSP. Ako sa uvádza v nedávnej stratégii pre MSP, Komisia bude spolupracovať so sieťami v celej Európe, ako sú napríklad Enterprise Europe Network, Európska klastrová aliancia a európske centrá digitálnych inovácií, s cieľom podp</w:t>
      </w:r>
      <w:r>
        <w:rPr>
          <w:noProof/>
        </w:rPr>
        <w:t>oriť udržateľnosť a digitalizáciu a pomôcť miestnym cestovným kanceláriám stať sa odolnejšími a konkurencieschopnejšími. To si vyžaduje medzisektorové prepojenia, interdisciplinárne toky znalostí, silnejšie prepojenia a budovanie kapacít, aby sa zabezpečil</w:t>
      </w:r>
      <w:r>
        <w:rPr>
          <w:noProof/>
        </w:rPr>
        <w:t>o rýchlejšie zavádzanie inovácií produktov, služieb a procesov. Tieto siete zároveň prepoja cestovný ruch s inými odvetviami s cieľom urýchliť zavádzanie nových riešení, podporiť medziodvetvové investície do ekosystému cestovného ruchu prostredníctvom IKT,</w:t>
      </w:r>
      <w:r>
        <w:rPr>
          <w:noProof/>
        </w:rPr>
        <w:t xml:space="preserve"> do energie z obnoviteľných zdrojov, zdravotníctva a biologických vied, agropotravinárstva, námorného odvetvia, kultúrneho a kreatívneho priemyslu vrátane mediálneho sektora.</w:t>
      </w:r>
    </w:p>
    <w:p w:rsidR="00C73F2C" w:rsidRDefault="00164483">
      <w:pPr>
        <w:jc w:val="both"/>
        <w:rPr>
          <w:noProof/>
        </w:rPr>
      </w:pPr>
      <w:r>
        <w:rPr>
          <w:noProof/>
        </w:rPr>
        <w:t>Situácia si vyžaduje koordinovanú reakciu na európskej úrovni, aby sa dosiahlo pr</w:t>
      </w:r>
      <w:r>
        <w:rPr>
          <w:noProof/>
        </w:rPr>
        <w:t>ekonanie krízy v krátkom čase, ale aj na účely formovania oživenia a na riešenie spoločných výziev v dlhodobejšom horizonte.</w:t>
      </w:r>
    </w:p>
    <w:p w:rsidR="00C73F2C" w:rsidRDefault="00C73F2C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8"/>
      </w:tblGrid>
      <w:tr w:rsidR="00C73F2C">
        <w:tc>
          <w:tcPr>
            <w:tcW w:w="8838" w:type="dxa"/>
            <w:shd w:val="clear" w:color="auto" w:fill="D9D9D9" w:themeFill="background1" w:themeFillShade="D9"/>
          </w:tcPr>
          <w:p w:rsidR="00C73F2C" w:rsidRDefault="00164483">
            <w:pPr>
              <w:pStyle w:val="Bodytext20"/>
              <w:shd w:val="clear" w:color="auto" w:fill="auto"/>
              <w:tabs>
                <w:tab w:val="left" w:pos="758"/>
              </w:tabs>
              <w:spacing w:after="0" w:line="240" w:lineRule="auto"/>
              <w:ind w:firstLine="0"/>
              <w:rPr>
                <w:noProof/>
              </w:rPr>
            </w:pPr>
            <w:r>
              <w:rPr>
                <w:i/>
                <w:noProof/>
              </w:rPr>
              <w:t>Hneď, ako to situácia v oblasti zdravia umožní, Európska komisia zorganizuje stretnutie o európskom cestovnom ruchu s cieľom disku</w:t>
            </w:r>
            <w:r>
              <w:rPr>
                <w:i/>
                <w:noProof/>
              </w:rPr>
              <w:t>tovať s inštitúciami EÚ, zástupcami odvetvia, regiónov a miest a zainteresovanými stranami o budúcnosti európskeho cestovného ruchu a spoločne začať vypracúvať plán na vybudovanie udržateľného, inovatívneho a odolného európskeho ekosystému cestovného ruchu</w:t>
            </w:r>
            <w:r>
              <w:rPr>
                <w:i/>
                <w:noProof/>
              </w:rPr>
              <w:t xml:space="preserve"> do roku 2050 („Európsky program pre cestovný ruch 2050“).</w:t>
            </w:r>
          </w:p>
        </w:tc>
      </w:tr>
    </w:tbl>
    <w:p w:rsidR="00C73F2C" w:rsidRDefault="00C73F2C">
      <w:pPr>
        <w:rPr>
          <w:noProof/>
        </w:rPr>
      </w:pPr>
    </w:p>
    <w:p w:rsidR="00C73F2C" w:rsidRPr="00164483" w:rsidRDefault="00C73F2C">
      <w:pPr>
        <w:jc w:val="both"/>
        <w:rPr>
          <w:noProof/>
        </w:rPr>
      </w:pPr>
    </w:p>
    <w:sectPr w:rsidR="00C73F2C" w:rsidRPr="0016448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188" w:right="1614" w:bottom="1289" w:left="15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F2C" w:rsidRDefault="00164483">
      <w:r>
        <w:separator/>
      </w:r>
    </w:p>
  </w:endnote>
  <w:endnote w:type="continuationSeparator" w:id="0">
    <w:p w:rsidR="00C73F2C" w:rsidRDefault="00164483">
      <w:r>
        <w:continuationSeparator/>
      </w:r>
    </w:p>
  </w:endnote>
  <w:endnote w:type="continuationNotice" w:id="1">
    <w:p w:rsidR="00C73F2C" w:rsidRDefault="00C73F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ICTFontTextStyleTall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483" w:rsidRPr="00164483" w:rsidRDefault="00164483" w:rsidP="001644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483" w:rsidRPr="00164483" w:rsidRDefault="00164483" w:rsidP="00164483">
    <w:pPr>
      <w:pStyle w:val="FooterCoverPage"/>
      <w:rPr>
        <w:rFonts w:ascii="Arial" w:hAnsi="Arial" w:cs="Arial"/>
        <w:b/>
        <w:sz w:val="48"/>
      </w:rPr>
    </w:pPr>
    <w:r w:rsidRPr="00164483">
      <w:rPr>
        <w:rFonts w:ascii="Arial" w:hAnsi="Arial" w:cs="Arial"/>
        <w:b/>
        <w:sz w:val="48"/>
      </w:rPr>
      <w:t>SK</w:t>
    </w:r>
    <w:r w:rsidRPr="00164483">
      <w:rPr>
        <w:rFonts w:ascii="Arial" w:hAnsi="Arial" w:cs="Arial"/>
        <w:b/>
        <w:sz w:val="48"/>
      </w:rPr>
      <w:tab/>
    </w:r>
    <w:r w:rsidRPr="00164483">
      <w:rPr>
        <w:rFonts w:ascii="Arial" w:hAnsi="Arial" w:cs="Arial"/>
        <w:b/>
        <w:sz w:val="48"/>
      </w:rPr>
      <w:tab/>
    </w:r>
    <w:r w:rsidRPr="00164483">
      <w:tab/>
    </w:r>
    <w:r w:rsidRPr="00164483">
      <w:rPr>
        <w:rFonts w:ascii="Arial" w:hAnsi="Arial" w:cs="Arial"/>
        <w:b/>
        <w:sz w:val="48"/>
      </w:rPr>
      <w:t>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483" w:rsidRPr="00164483" w:rsidRDefault="00164483" w:rsidP="00164483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2C" w:rsidRDefault="00C73F2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2C" w:rsidRDefault="0016448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4.45pt;margin-top:780.75pt;width:3.6pt;height:5.5pt;z-index:-2516582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73F2C" w:rsidRDefault="00164483">
                <w:pPr>
                  <w:pStyle w:val="Headerorfooter1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164483">
                  <w:rPr>
                    <w:rStyle w:val="Headerorfooter18pt"/>
                    <w:noProof/>
                  </w:rPr>
                  <w:t>1</w:t>
                </w:r>
                <w:r>
                  <w:rPr>
                    <w:rStyle w:val="Headerorfooter18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2C" w:rsidRDefault="0016448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9.25pt;margin-top:695.3pt;width:224.65pt;height:8.65pt;z-index:-25165823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C73F2C" w:rsidRDefault="00164483">
                <w:pPr>
                  <w:pStyle w:val="Headerorfooter11"/>
                  <w:shd w:val="clear" w:color="auto" w:fill="auto"/>
                  <w:tabs>
                    <w:tab w:val="right" w:pos="4493"/>
                  </w:tabs>
                  <w:spacing w:line="240" w:lineRule="auto"/>
                </w:pPr>
                <w:r>
                  <w:t>Adresáti:</w:t>
                </w:r>
                <w:r>
                  <w:tab/>
                  <w:t>členovia Komisie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F2C" w:rsidRDefault="00164483">
      <w:r>
        <w:separator/>
      </w:r>
    </w:p>
  </w:footnote>
  <w:footnote w:type="continuationSeparator" w:id="0">
    <w:p w:rsidR="00C73F2C" w:rsidRDefault="00164483">
      <w:r>
        <w:continuationSeparator/>
      </w:r>
    </w:p>
  </w:footnote>
  <w:footnote w:type="continuationNotice" w:id="1">
    <w:p w:rsidR="00C73F2C" w:rsidRDefault="00C73F2C"/>
  </w:footnote>
  <w:footnote w:id="2">
    <w:p w:rsidR="00C73F2C" w:rsidRDefault="0016448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Svetová organizácia OSN pre cestovný ruch (UNWTO). </w:t>
      </w:r>
    </w:p>
  </w:footnote>
  <w:footnote w:id="3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Eurostat – Príchody do ubytovacích zariadení cestovného ruchu –</w:t>
      </w:r>
      <w:r>
        <w:t xml:space="preserve"> mesačné údaje (2019).</w:t>
      </w:r>
    </w:p>
  </w:footnote>
  <w:footnote w:id="4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Spoločný európsky plán na zrušenie opatrení na zamedzenie šírenia COVID-19, Ú. v. EÚ C 126, 17.4.2020.</w:t>
      </w:r>
    </w:p>
  </w:footnote>
  <w:footnote w:id="5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Podľa UNWTO „Cestovný ruch zahŕňa činnosti osôb, ktoré cestujú na miesta mimo svojho obvyklého prostredia na voľnočasové, </w:t>
      </w:r>
      <w:r>
        <w:t>obchodné a iné účely, pričom ich pobyt nepresiahne jeden súvislý rok“.</w:t>
      </w:r>
    </w:p>
  </w:footnote>
  <w:footnote w:id="6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C(2020) 3250.</w:t>
      </w:r>
    </w:p>
  </w:footnote>
  <w:footnote w:id="7">
    <w:p w:rsidR="00C73F2C" w:rsidRDefault="00164483">
      <w:pPr>
        <w:pStyle w:val="FootnoteText"/>
        <w:tabs>
          <w:tab w:val="left" w:pos="567"/>
          <w:tab w:val="left" w:pos="709"/>
        </w:tabs>
      </w:pPr>
      <w:r>
        <w:rPr>
          <w:rStyle w:val="FootnoteReference"/>
        </w:rPr>
        <w:footnoteRef/>
      </w:r>
      <w:r>
        <w:t xml:space="preserve"> </w:t>
      </w:r>
      <w:r>
        <w:tab/>
        <w:t>Pod podmienkou osobitných opatrení uplatniteľných na zraniteľné skupiny.</w:t>
      </w:r>
    </w:p>
  </w:footnote>
  <w:footnote w:id="8">
    <w:p w:rsidR="00C73F2C" w:rsidRDefault="00164483">
      <w:pPr>
        <w:pStyle w:val="FootnoteText"/>
        <w:tabs>
          <w:tab w:val="left" w:pos="567"/>
        </w:tabs>
        <w:rPr>
          <w:b/>
        </w:rPr>
      </w:pPr>
      <w:r>
        <w:rPr>
          <w:rStyle w:val="FootnoteReference"/>
          <w:b/>
        </w:rPr>
        <w:footnoteRef/>
      </w:r>
      <w:r>
        <w:t xml:space="preserve"> </w:t>
      </w:r>
      <w:r>
        <w:tab/>
        <w:t>C(2020) 3139.</w:t>
      </w:r>
      <w:r>
        <w:rPr>
          <w:b/>
        </w:rPr>
        <w:t xml:space="preserve"> </w:t>
      </w:r>
    </w:p>
  </w:footnote>
  <w:footnote w:id="9">
    <w:p w:rsidR="00C73F2C" w:rsidRDefault="00164483">
      <w:pPr>
        <w:pStyle w:val="FootnoteText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COVID-19: NÁVRAT NA PRACOVISKO – Prispôsobenie pracoviska a ochrana pra</w:t>
      </w:r>
      <w:r>
        <w:t xml:space="preserve">covníkov, </w:t>
      </w:r>
      <w:r>
        <w:rPr>
          <w:rStyle w:val="Hyperlink"/>
        </w:rPr>
        <w:t>https://osha.europa.eu/en/publications/covid-19-back-workplace-adapting-workplaces-and-protecting-workers/view</w:t>
      </w:r>
      <w:r>
        <w:t>.</w:t>
      </w:r>
    </w:p>
  </w:footnote>
  <w:footnote w:id="10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C(2020) 3251.</w:t>
      </w:r>
    </w:p>
  </w:footnote>
  <w:footnote w:id="11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Vrátane priestorov s exteriérovou obsluhou, jedální, marín.</w:t>
      </w:r>
    </w:p>
  </w:footnote>
  <w:footnote w:id="12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https://ec.europa.eu/digital-single-market/en/digit</w:t>
      </w:r>
      <w:r>
        <w:t>al-innovation-hubs.</w:t>
      </w:r>
    </w:p>
  </w:footnote>
  <w:footnote w:id="13">
    <w:p w:rsidR="00C73F2C" w:rsidRDefault="00164483">
      <w:pPr>
        <w:pStyle w:val="FootnoteText"/>
        <w:ind w:left="567" w:hanging="567"/>
        <w:jc w:val="both"/>
        <w:rPr>
          <w:spacing w:val="-4"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>
        <w:rPr>
          <w:spacing w:val="-4"/>
        </w:rPr>
        <w:t xml:space="preserve">Údaje siete ESC týkajúce sa COVID-19 možno nájsť na adrese: </w:t>
      </w:r>
      <w:hyperlink r:id="rId1" w:history="1">
        <w:r>
          <w:rPr>
            <w:rStyle w:val="Hyperlink"/>
            <w:spacing w:val="-4"/>
          </w:rPr>
          <w:t>https://ec.europa.eu/inf</w:t>
        </w:r>
        <w:r>
          <w:rPr>
            <w:rStyle w:val="Hyperlink"/>
            <w:spacing w:val="-4"/>
          </w:rPr>
          <w:t>o/live-work-travel-eu/consumers/resolve-your-consumer-complaint/european-consumer-centres-network-ecc-net_sk</w:t>
        </w:r>
      </w:hyperlink>
      <w:r>
        <w:rPr>
          <w:spacing w:val="-4"/>
        </w:rPr>
        <w:t xml:space="preserve">. </w:t>
      </w:r>
    </w:p>
    <w:p w:rsidR="00C73F2C" w:rsidRDefault="00164483">
      <w:pPr>
        <w:pStyle w:val="FootnoteText"/>
        <w:ind w:left="567"/>
        <w:jc w:val="both"/>
        <w:rPr>
          <w:spacing w:val="-4"/>
        </w:rPr>
      </w:pPr>
      <w:r>
        <w:rPr>
          <w:spacing w:val="-4"/>
        </w:rPr>
        <w:t>Otázky spotrebiteľov sa týkajú prevažne osobnej leteckej dopravy, ubytovacích služieb a balíkov dovolenkových služieb.</w:t>
      </w:r>
    </w:p>
  </w:footnote>
  <w:footnote w:id="14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https://ec.europa.eu/</w:t>
        </w:r>
        <w:r>
          <w:rPr>
            <w:rStyle w:val="Hyperlink"/>
          </w:rPr>
          <w:t>info/live-work-travel-eu/consumers/resolve-your-consumer-complaint/european-consumer-centres-network-ecc-net/faq-cancellations-individually-booked-accommodations-car-rental-and-events-due-covid-19_sk</w:t>
        </w:r>
      </w:hyperlink>
      <w:r>
        <w:rPr>
          <w:rStyle w:val="Hyperlink"/>
        </w:rPr>
        <w:t>.</w:t>
      </w:r>
      <w:r>
        <w:t xml:space="preserve"> </w:t>
      </w:r>
    </w:p>
  </w:footnote>
  <w:footnote w:id="15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Najvzdialenejšie regióny EÚ, ako sú vymedzené v člá</w:t>
      </w:r>
      <w:r>
        <w:t>nku 349 ZFEÚ – ide o 9 regiónov EÚ, ktoré sa nachádzajú v Atlantickom oceáne, v Indickom oceáne, v Karibskej oblasti a v Latinskej Amerike, pričom všetky tieto regióny s výnimkou jedného sú ostrovy závislé od cestovného ruchu. V zmluve sa stanovujú cielené</w:t>
      </w:r>
      <w:r>
        <w:t xml:space="preserve"> opatrenia EÚ na podporu týchto regiónov.</w:t>
      </w:r>
    </w:p>
  </w:footnote>
  <w:footnote w:id="16">
    <w:p w:rsidR="00C73F2C" w:rsidRDefault="0016448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Francúzsko, Španielsko, Taliansko, Nemecko. </w:t>
      </w:r>
    </w:p>
  </w:footnote>
  <w:footnote w:id="17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V rámci celej Európskej únie existujú veľké rozdiely (od 5 % dočasných pracovných zmlúv v oblasti cestovného ruchu na Malte až po 45 % v Grécku). Existujú aj veľké</w:t>
      </w:r>
      <w:r>
        <w:t xml:space="preserve"> rozdiely medzi rôznymi segmentmi odvetvia cestovného ruchu (27 % dočasných pracovných miest v ubytovacích zariadeniach, 12 % v prípade cestovných agentúr a kancelárií, 9 % v oblasti leteckej dopravy). Zdroj: https://ec.europa.eu/eurostat/statistics-explai</w:t>
      </w:r>
      <w:r>
        <w:t xml:space="preserve">ned/index.php?title=Tourism_industries_-_employment#Characteristics_of_jobs_in_tourism_industries. </w:t>
      </w:r>
    </w:p>
  </w:footnote>
  <w:footnote w:id="18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Eurostat: https://ec.europa.eu/eurostat/statistics-explained/index.php?title=Tourism_industries_-_employment#Characteristics_of_jobs_in_tourism_industries</w:t>
      </w:r>
      <w:r>
        <w:t>.</w:t>
      </w:r>
    </w:p>
  </w:footnote>
  <w:footnote w:id="19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C(2020) 3125.</w:t>
      </w:r>
    </w:p>
  </w:footnote>
  <w:footnote w:id="20">
    <w:p w:rsidR="00C73F2C" w:rsidRDefault="0016448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ab/>
      </w:r>
      <w:hyperlink r:id="rId3" w:history="1">
        <w:r>
          <w:rPr>
            <w:rStyle w:val="Hyperlink"/>
          </w:rPr>
          <w:t>https://ec.europa.eu/growth/sectors/tourism/support-business/skills_en</w:t>
        </w:r>
      </w:hyperlink>
      <w:r>
        <w:rPr>
          <w:rStyle w:val="Hyperlink"/>
        </w:rPr>
        <w:t>.</w:t>
      </w:r>
    </w:p>
  </w:footnote>
  <w:footnote w:id="21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https://nexttourismgeneration.eu/.</w:t>
      </w:r>
    </w:p>
  </w:footnote>
  <w:footnote w:id="22">
    <w:p w:rsidR="00C73F2C" w:rsidRDefault="0016448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Eurostat, Ľudia v pohybe. Štatisti</w:t>
      </w:r>
      <w:r>
        <w:t>ka o mobilite v Európe, 2019.</w:t>
      </w:r>
    </w:p>
  </w:footnote>
  <w:footnote w:id="23">
    <w:p w:rsidR="00C73F2C" w:rsidRDefault="00164483">
      <w:pPr>
        <w:pStyle w:val="FootnoteText"/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Kultúrny cestovný ruch, ktorý predstavuje 40 % cestovného ruchu v Európe, je zvlášť zasiahnutý touto situáciou, keďže bola zrušená väčšina kultúrnych aktivít, ako sú veľtrhy a festivaly, a inštitúcie, ako sú múzeá, boli zat</w:t>
      </w:r>
      <w:r>
        <w:t>vorené (92 %).</w:t>
      </w:r>
    </w:p>
  </w:footnote>
  <w:footnote w:id="24">
    <w:p w:rsidR="00C73F2C" w:rsidRDefault="00164483">
      <w:pPr>
        <w:pStyle w:val="FootnoteText"/>
        <w:tabs>
          <w:tab w:val="left" w:pos="567"/>
        </w:tabs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Viac ako polovica (51,7 %) ubytovacích zariadení pre turistov v EÚ sa nachádza v pobrežných oblastiach a 30 % prenocovaní Európanov sa realizuje v plážových letoviskách.</w:t>
      </w:r>
    </w:p>
  </w:footnote>
  <w:footnote w:id="25">
    <w:p w:rsidR="00C73F2C" w:rsidRDefault="00164483">
      <w:pPr>
        <w:pStyle w:val="FootnoteText"/>
        <w:tabs>
          <w:tab w:val="left" w:pos="567"/>
        </w:tabs>
        <w:ind w:left="567" w:hanging="567"/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V roku 2018 sa na základe údajov Eurostatu 45 % ubytovacích </w:t>
      </w:r>
      <w:r>
        <w:t>kapacít pre turistov (merané na základe počtu lôžok) v EÚ27 nachádzalo vo vidieckych oblastiach.</w:t>
      </w:r>
    </w:p>
  </w:footnote>
  <w:footnote w:id="26">
    <w:p w:rsidR="00C73F2C" w:rsidRDefault="00164483">
      <w:pPr>
        <w:pStyle w:val="FootnoteText"/>
        <w:tabs>
          <w:tab w:val="left" w:pos="567"/>
        </w:tabs>
        <w:jc w:val="both"/>
      </w:pPr>
      <w:r>
        <w:rPr>
          <w:rStyle w:val="FootnoteReference"/>
        </w:rPr>
        <w:footnoteRef/>
      </w:r>
      <w:r>
        <w:t xml:space="preserve"> </w:t>
      </w:r>
      <w:r>
        <w:tab/>
        <w:t>https://www.europeana.eu/.</w:t>
      </w:r>
    </w:p>
  </w:footnote>
  <w:footnote w:id="27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https://culturalgems.jrc.ec.europa.eu/.</w:t>
      </w:r>
    </w:p>
  </w:footnote>
  <w:footnote w:id="28">
    <w:p w:rsidR="00C73F2C" w:rsidRDefault="00164483">
      <w:pPr>
        <w:pStyle w:val="FootnoteText"/>
        <w:ind w:left="567" w:hanging="567"/>
      </w:pPr>
      <w:r>
        <w:rPr>
          <w:rStyle w:val="FootnoteReference"/>
        </w:rPr>
        <w:footnoteRef/>
      </w:r>
      <w:r>
        <w:t xml:space="preserve"> </w:t>
      </w:r>
      <w:r>
        <w:tab/>
        <w:t>https://smarttourismcapital.eu/. Göteborg a Malaga sú Európskymi hlavnými mestami i</w:t>
      </w:r>
      <w:r>
        <w:t>nteligentného cestovného ruchu pre rok 2020.</w:t>
      </w:r>
    </w:p>
  </w:footnote>
  <w:footnote w:id="29">
    <w:p w:rsidR="00C73F2C" w:rsidRDefault="00164483">
      <w:pPr>
        <w:pStyle w:val="FootnoteText"/>
        <w:tabs>
          <w:tab w:val="left" w:pos="567"/>
        </w:tabs>
      </w:pPr>
      <w:r>
        <w:rPr>
          <w:rStyle w:val="FootnoteReference"/>
        </w:rPr>
        <w:footnoteRef/>
      </w:r>
      <w:r>
        <w:t xml:space="preserve"> </w:t>
      </w:r>
      <w:r>
        <w:tab/>
        <w:t>https://ec.europa.eu/growth/sectors/tourism/eden/destinations_en.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483" w:rsidRPr="00164483" w:rsidRDefault="00164483" w:rsidP="001644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483" w:rsidRPr="00164483" w:rsidRDefault="00164483" w:rsidP="00164483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483" w:rsidRPr="00164483" w:rsidRDefault="00164483" w:rsidP="00164483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2C" w:rsidRDefault="00C73F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2C" w:rsidRDefault="00C73F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2C" w:rsidRDefault="00C73F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736"/>
    <w:multiLevelType w:val="hybridMultilevel"/>
    <w:tmpl w:val="0B343E78"/>
    <w:lvl w:ilvl="0" w:tplc="43A0DD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1655"/>
    <w:multiLevelType w:val="hybridMultilevel"/>
    <w:tmpl w:val="FA02EA82"/>
    <w:lvl w:ilvl="0" w:tplc="2A68506E">
      <w:start w:val="1"/>
      <w:numFmt w:val="lowerRoman"/>
      <w:lvlText w:val="(%1)"/>
      <w:lvlJc w:val="left"/>
      <w:pPr>
        <w:ind w:left="11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1153435B"/>
    <w:multiLevelType w:val="multilevel"/>
    <w:tmpl w:val="83A604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9B7EC5"/>
    <w:multiLevelType w:val="hybridMultilevel"/>
    <w:tmpl w:val="186E89F4"/>
    <w:lvl w:ilvl="0" w:tplc="575240F2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1EFF562E"/>
    <w:multiLevelType w:val="hybridMultilevel"/>
    <w:tmpl w:val="7318C4BC"/>
    <w:lvl w:ilvl="0" w:tplc="CF2A26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055F4"/>
    <w:multiLevelType w:val="hybridMultilevel"/>
    <w:tmpl w:val="95A8F2FE"/>
    <w:lvl w:ilvl="0" w:tplc="9F16A330">
      <w:start w:val="2"/>
      <w:numFmt w:val="bullet"/>
      <w:lvlText w:val="–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404BF"/>
    <w:multiLevelType w:val="hybridMultilevel"/>
    <w:tmpl w:val="8C9A7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03743"/>
    <w:multiLevelType w:val="hybridMultilevel"/>
    <w:tmpl w:val="0CEE5CE8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 w15:restartNumberingAfterBreak="0">
    <w:nsid w:val="330875A4"/>
    <w:multiLevelType w:val="hybridMultilevel"/>
    <w:tmpl w:val="76A8A2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47DE7"/>
    <w:multiLevelType w:val="hybridMultilevel"/>
    <w:tmpl w:val="19A42F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72E85"/>
    <w:multiLevelType w:val="hybridMultilevel"/>
    <w:tmpl w:val="C19888BA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3BC23FC3"/>
    <w:multiLevelType w:val="multilevel"/>
    <w:tmpl w:val="DB2004F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46617A"/>
    <w:multiLevelType w:val="hybridMultilevel"/>
    <w:tmpl w:val="01905C96"/>
    <w:lvl w:ilvl="0" w:tplc="FC8AE198">
      <w:numFmt w:val="bullet"/>
      <w:lvlText w:val="-"/>
      <w:lvlJc w:val="left"/>
      <w:pPr>
        <w:ind w:left="1480" w:hanging="360"/>
      </w:pPr>
      <w:rPr>
        <w:rFonts w:ascii="Times New Roman" w:eastAsia="Times New Roman" w:hAnsi="Times New Roman" w:cs="Times New Roman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 w15:restartNumberingAfterBreak="0">
    <w:nsid w:val="43D046F6"/>
    <w:multiLevelType w:val="multilevel"/>
    <w:tmpl w:val="3CE461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46E6670"/>
    <w:multiLevelType w:val="hybridMultilevel"/>
    <w:tmpl w:val="DF625C2A"/>
    <w:lvl w:ilvl="0" w:tplc="E968EE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B5468"/>
    <w:multiLevelType w:val="multilevel"/>
    <w:tmpl w:val="E5CC7C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919106C"/>
    <w:multiLevelType w:val="hybridMultilevel"/>
    <w:tmpl w:val="1EFA9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86258"/>
    <w:multiLevelType w:val="hybridMultilevel"/>
    <w:tmpl w:val="71B49E48"/>
    <w:lvl w:ilvl="0" w:tplc="1C0A238C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8A19F5"/>
    <w:multiLevelType w:val="hybridMultilevel"/>
    <w:tmpl w:val="F73A2FF2"/>
    <w:lvl w:ilvl="0" w:tplc="8A1CCDD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9" w15:restartNumberingAfterBreak="0">
    <w:nsid w:val="4D2B1E61"/>
    <w:multiLevelType w:val="hybridMultilevel"/>
    <w:tmpl w:val="32462E8E"/>
    <w:lvl w:ilvl="0" w:tplc="ED30019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40CB7"/>
    <w:multiLevelType w:val="hybridMultilevel"/>
    <w:tmpl w:val="9B4AF3C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D06A2"/>
    <w:multiLevelType w:val="hybridMultilevel"/>
    <w:tmpl w:val="515E19E0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667B4"/>
    <w:multiLevelType w:val="hybridMultilevel"/>
    <w:tmpl w:val="81B47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36597"/>
    <w:multiLevelType w:val="hybridMultilevel"/>
    <w:tmpl w:val="1FDEE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9164F"/>
    <w:multiLevelType w:val="multilevel"/>
    <w:tmpl w:val="AC90821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0EA1368"/>
    <w:multiLevelType w:val="hybridMultilevel"/>
    <w:tmpl w:val="1C1CCE8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F79AC"/>
    <w:multiLevelType w:val="hybridMultilevel"/>
    <w:tmpl w:val="30C6A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A26DEA"/>
    <w:multiLevelType w:val="hybridMultilevel"/>
    <w:tmpl w:val="E57EAEE0"/>
    <w:lvl w:ilvl="0" w:tplc="9FF8858C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8" w15:restartNumberingAfterBreak="0">
    <w:nsid w:val="77C63422"/>
    <w:multiLevelType w:val="hybridMultilevel"/>
    <w:tmpl w:val="69683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8259A"/>
    <w:multiLevelType w:val="hybridMultilevel"/>
    <w:tmpl w:val="4E80E6E0"/>
    <w:lvl w:ilvl="0" w:tplc="75EA2E6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3F2216"/>
    <w:multiLevelType w:val="hybridMultilevel"/>
    <w:tmpl w:val="B4E0A352"/>
    <w:lvl w:ilvl="0" w:tplc="074651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24"/>
  </w:num>
  <w:num w:numId="4">
    <w:abstractNumId w:val="15"/>
  </w:num>
  <w:num w:numId="5">
    <w:abstractNumId w:val="18"/>
  </w:num>
  <w:num w:numId="6">
    <w:abstractNumId w:val="25"/>
  </w:num>
  <w:num w:numId="7">
    <w:abstractNumId w:val="19"/>
  </w:num>
  <w:num w:numId="8">
    <w:abstractNumId w:val="8"/>
  </w:num>
  <w:num w:numId="9">
    <w:abstractNumId w:val="1"/>
  </w:num>
  <w:num w:numId="10">
    <w:abstractNumId w:val="0"/>
  </w:num>
  <w:num w:numId="11">
    <w:abstractNumId w:val="30"/>
  </w:num>
  <w:num w:numId="12">
    <w:abstractNumId w:val="14"/>
  </w:num>
  <w:num w:numId="13">
    <w:abstractNumId w:val="12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13"/>
  </w:num>
  <w:num w:numId="17">
    <w:abstractNumId w:val="7"/>
  </w:num>
  <w:num w:numId="18">
    <w:abstractNumId w:val="3"/>
  </w:num>
  <w:num w:numId="19">
    <w:abstractNumId w:val="10"/>
  </w:num>
  <w:num w:numId="20">
    <w:abstractNumId w:val="27"/>
  </w:num>
  <w:num w:numId="21">
    <w:abstractNumId w:val="9"/>
  </w:num>
  <w:num w:numId="22">
    <w:abstractNumId w:val="20"/>
  </w:num>
  <w:num w:numId="23">
    <w:abstractNumId w:val="4"/>
  </w:num>
  <w:num w:numId="24">
    <w:abstractNumId w:val="17"/>
  </w:num>
  <w:num w:numId="25">
    <w:abstractNumId w:val="28"/>
  </w:num>
  <w:num w:numId="26">
    <w:abstractNumId w:val="5"/>
  </w:num>
  <w:num w:numId="27">
    <w:abstractNumId w:val="6"/>
  </w:num>
  <w:num w:numId="28">
    <w:abstractNumId w:val="21"/>
  </w:num>
  <w:num w:numId="29">
    <w:abstractNumId w:val="23"/>
  </w:num>
  <w:num w:numId="30">
    <w:abstractNumId w:val="26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hideSpellingErrors/>
  <w:hideGrammaticalErrors/>
  <w:defaultTabStop w:val="720"/>
  <w:hyphenationZone w:val="425"/>
  <w:drawingGridHorizontalSpacing w:val="181"/>
  <w:drawingGridVerticalSpacing w:val="181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2"/>
  </w:compat>
  <w:docVars>
    <w:docVar w:name="DocStatus" w:val="Green"/>
    <w:docVar w:name="LW_CORRIGENDUM" w:val="CORRIGENDUM_x000b_This document corrects document COM(2020) 550 final of 13.05.2020._x000b_Concerns the Slovak language version._x000b_In point III. (a), the graph on 'Tourism total contribution to GDP 2018' has been replaced._x000b_The text shall read as follows: "/>
    <w:docVar w:name="LW_COVERPAGE_EXISTS" w:val="True"/>
    <w:docVar w:name="LW_COVERPAGE_GUID" w:val="B04C3FBF-9EA0-4EDD-8653-77DB8A96CB0A"/>
    <w:docVar w:name="LW_COVERPAGE_TYPE" w:val="1"/>
    <w:docVar w:name="LW_CROSSREFERENCE" w:val="&lt;UNUSED&gt;"/>
    <w:docVar w:name="LW_DocType" w:val="NORMAL"/>
    <w:docVar w:name="LW_EMISSION" w:val="29.6.2020"/>
    <w:docVar w:name="LW_EMISSION_ISODATE" w:val="2020-06-29"/>
    <w:docVar w:name="LW_EMISSION_LOCATION" w:val="BRX"/>
    <w:docVar w:name="LW_EMISSION_PREFIX" w:val="V Bruseli"/>
    <w:docVar w:name="LW_EMISSION_SUFFIX" w:val=" "/>
    <w:docVar w:name="LW_ID_DOCTYPE_NONLW" w:val="CP-014"/>
    <w:docVar w:name="LW_LANGUE" w:val="SK"/>
    <w:docVar w:name="LW_LEVEL_OF_SENSITIVITY" w:val="Standard treatment"/>
    <w:docVar w:name="LW_NOM.INST" w:val="EURÓPSKA KOMISIA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/2"/>
    <w:docVar w:name="LW_REF.INST.NEW_TEXT" w:val="(2020) 550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Cestovný ruch a doprava v roku 2020 a v \u271?al\u353?om období"/>
    <w:docVar w:name="LW_TYPE.DOC.CP" w:val="OZNÁMENIE KOMISIE EURÓPSKEMU PARLAMENTU, RADE, EURÓPSKEMU HOSPODÁRSKEMU A SOCIÁLNEMU VÝBORU A VÝBORU REGIÓNOV"/>
    <w:docVar w:name="LW_TYPE.DOC.CP.USERTEXT" w:val="&lt;EMPTY&gt;"/>
  </w:docVars>
  <w:rsids>
    <w:rsidRoot w:val="00C73F2C"/>
    <w:rsid w:val="00164483"/>
    <w:rsid w:val="00C7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DB311A15-36A3-43EC-8708-DD4F0F2FE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widowControl/>
      <w:spacing w:before="200" w:line="276" w:lineRule="auto"/>
      <w:outlineLvl w:val="1"/>
    </w:pPr>
    <w:rPr>
      <w:rFonts w:ascii="Cambria" w:hAnsi="Cambria"/>
      <w:b/>
      <w:bCs/>
      <w:color w:val="auto"/>
      <w:sz w:val="26"/>
      <w:szCs w:val="26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2">
    <w:name w:val="Footnote|2_"/>
    <w:basedOn w:val="DefaultParagraphFont"/>
    <w:link w:val="Footnote20"/>
    <w:rPr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Footnote2NotItalic">
    <w:name w:val="Footnote|2 + Not Italic"/>
    <w:basedOn w:val="Footnote2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en-US" w:bidi="en-US"/>
    </w:rPr>
  </w:style>
  <w:style w:type="character" w:customStyle="1" w:styleId="Footnote1">
    <w:name w:val="Footnote|1_"/>
    <w:basedOn w:val="DefaultParagraphFont"/>
    <w:link w:val="Footnote1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Footnote1Italic">
    <w:name w:val="Footnote|1 + Italic"/>
    <w:basedOn w:val="Footnote1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en-US" w:bidi="en-US"/>
    </w:rPr>
  </w:style>
  <w:style w:type="character" w:customStyle="1" w:styleId="Bodytext2">
    <w:name w:val="Body text|2_"/>
    <w:basedOn w:val="DefaultParagraphFont"/>
    <w:link w:val="Bodytext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1">
    <w:name w:val="Header or footer|1_"/>
    <w:basedOn w:val="DefaultParagraphFont"/>
    <w:link w:val="Headerorfooter11"/>
    <w:rPr>
      <w:b w:val="0"/>
      <w:bCs w:val="0"/>
      <w:i w:val="0"/>
      <w:iCs w:val="0"/>
      <w:smallCaps w:val="0"/>
      <w:strike w:val="0"/>
      <w:u w:val="none"/>
      <w:lang w:val="sk-SK" w:eastAsia="fr-FR" w:bidi="fr-FR"/>
    </w:rPr>
  </w:style>
  <w:style w:type="character" w:customStyle="1" w:styleId="Headerorfooter10">
    <w:name w:val="Header or footer|1"/>
    <w:basedOn w:val="Headerorfooter1"/>
    <w:semiHidden/>
    <w:unhideWhenUs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fr-FR" w:bidi="fr-FR"/>
    </w:rPr>
  </w:style>
  <w:style w:type="character" w:customStyle="1" w:styleId="Bodytext2Bold">
    <w:name w:val="Body text|2 + Bold"/>
    <w:basedOn w:val="Bodytext2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en-US" w:bidi="en-US"/>
    </w:rPr>
  </w:style>
  <w:style w:type="character" w:customStyle="1" w:styleId="Bodytext3">
    <w:name w:val="Body text|3_"/>
    <w:basedOn w:val="DefaultParagraphFont"/>
    <w:link w:val="Bodytext3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11">
    <w:name w:val="Heading #1|1_"/>
    <w:basedOn w:val="DefaultParagraphFont"/>
    <w:link w:val="Heading110"/>
    <w:rPr>
      <w:b/>
      <w:bCs/>
      <w:i w:val="0"/>
      <w:iCs w:val="0"/>
      <w:smallCaps w:val="0"/>
      <w:strike w:val="0"/>
      <w:sz w:val="28"/>
      <w:szCs w:val="28"/>
      <w:u w:val="none"/>
      <w:lang w:val="sk-SK" w:eastAsia="fr-FR" w:bidi="fr-FR"/>
    </w:rPr>
  </w:style>
  <w:style w:type="character" w:customStyle="1" w:styleId="Heading11NotBoldItalic">
    <w:name w:val="Heading #1|1 + Not Bold;Italic"/>
    <w:basedOn w:val="Heading11"/>
    <w:semiHidden/>
    <w:unhideWhenUsed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sk-SK" w:eastAsia="fr-FR" w:bidi="fr-FR"/>
    </w:rPr>
  </w:style>
  <w:style w:type="character" w:customStyle="1" w:styleId="Heading21">
    <w:name w:val="Heading #2|1_"/>
    <w:basedOn w:val="DefaultParagraphFont"/>
    <w:link w:val="Heading210"/>
    <w:rPr>
      <w:b/>
      <w:bCs/>
      <w:i w:val="0"/>
      <w:iCs w:val="0"/>
      <w:smallCaps w:val="0"/>
      <w:strike w:val="0"/>
      <w:u w:val="none"/>
    </w:rPr>
  </w:style>
  <w:style w:type="character" w:customStyle="1" w:styleId="Bodytext4">
    <w:name w:val="Body text|4_"/>
    <w:basedOn w:val="DefaultParagraphFont"/>
    <w:link w:val="Bodytext40"/>
    <w:rPr>
      <w:b/>
      <w:bCs/>
      <w:i w:val="0"/>
      <w:iCs w:val="0"/>
      <w:smallCaps w:val="0"/>
      <w:strike w:val="0"/>
      <w:sz w:val="20"/>
      <w:szCs w:val="20"/>
      <w:u w:val="none"/>
      <w:lang w:val="sk-SK" w:eastAsia="fr-FR" w:bidi="fr-FR"/>
    </w:rPr>
  </w:style>
  <w:style w:type="character" w:customStyle="1" w:styleId="Bodytext412pt">
    <w:name w:val="Body text|4 + 12 pt"/>
    <w:basedOn w:val="Bodytext4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fr-FR" w:bidi="fr-FR"/>
    </w:rPr>
  </w:style>
  <w:style w:type="character" w:customStyle="1" w:styleId="Bodytext4SmallCaps">
    <w:name w:val="Body text|4 + Small Caps"/>
    <w:basedOn w:val="Bodytext4"/>
    <w:semiHidden/>
    <w:unhideWhenUsed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sk-SK" w:eastAsia="fr-FR" w:bidi="fr-FR"/>
    </w:rPr>
  </w:style>
  <w:style w:type="character" w:customStyle="1" w:styleId="Headerorfooter18pt">
    <w:name w:val="Header or footer|1 + 8 pt"/>
    <w:basedOn w:val="Headerorfooter1"/>
    <w:semiHidden/>
    <w:unhideWhenUsed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sk-SK" w:eastAsia="en-US" w:bidi="en-US"/>
    </w:rPr>
  </w:style>
  <w:style w:type="character" w:customStyle="1" w:styleId="Bodytext5">
    <w:name w:val="Body text|5_"/>
    <w:basedOn w:val="DefaultParagraphFont"/>
    <w:link w:val="Bodytext50"/>
    <w:rPr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10pt">
    <w:name w:val="Body text|5 + 10 pt"/>
    <w:basedOn w:val="Bodytext5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en-US" w:bidi="en-US"/>
    </w:rPr>
  </w:style>
  <w:style w:type="character" w:customStyle="1" w:styleId="Bodytext5SmallCaps">
    <w:name w:val="Body text|5 + Small Caps"/>
    <w:basedOn w:val="Bodytext5"/>
    <w:semiHidden/>
    <w:unhideWhenUsed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sk-SK" w:eastAsia="en-US" w:bidi="en-US"/>
    </w:rPr>
  </w:style>
  <w:style w:type="character" w:customStyle="1" w:styleId="Heading21NotBold">
    <w:name w:val="Heading #2|1 + Not Bold"/>
    <w:basedOn w:val="Heading21"/>
    <w:semiHidden/>
    <w:unhideWhenUsed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sk-SK" w:eastAsia="en-US" w:bidi="en-US"/>
    </w:rPr>
  </w:style>
  <w:style w:type="character" w:customStyle="1" w:styleId="Bodytext6">
    <w:name w:val="Body text|6_"/>
    <w:basedOn w:val="DefaultParagraphFont"/>
    <w:link w:val="Bodytext60"/>
    <w:rPr>
      <w:b w:val="0"/>
      <w:bCs w:val="0"/>
      <w:i/>
      <w:iCs/>
      <w:smallCaps w:val="0"/>
      <w:strike w:val="0"/>
      <w:u w:val="none"/>
    </w:rPr>
  </w:style>
  <w:style w:type="character" w:customStyle="1" w:styleId="Bodytext69ptNotItalic">
    <w:name w:val="Body text|6 + 9 pt;Not Italic"/>
    <w:basedOn w:val="Bodytext6"/>
    <w:semiHidden/>
    <w:unhideWhenUsed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 w:eastAsia="en-US" w:bidi="en-US"/>
    </w:rPr>
  </w:style>
  <w:style w:type="character" w:customStyle="1" w:styleId="Picturecaption1">
    <w:name w:val="Picture caption|1_"/>
    <w:basedOn w:val="DefaultParagraphFont"/>
    <w:link w:val="Picturecaption10"/>
    <w:rPr>
      <w:b/>
      <w:bCs/>
      <w:i w:val="0"/>
      <w:iCs w:val="0"/>
      <w:smallCaps w:val="0"/>
      <w:strike w:val="0"/>
      <w:sz w:val="20"/>
      <w:szCs w:val="20"/>
      <w:u w:val="none"/>
      <w:lang w:val="sk-SK" w:eastAsia="de-DE" w:bidi="de-DE"/>
    </w:rPr>
  </w:style>
  <w:style w:type="paragraph" w:customStyle="1" w:styleId="Footnote20">
    <w:name w:val="Footnote|2"/>
    <w:basedOn w:val="Normal"/>
    <w:link w:val="Footnote2"/>
    <w:pPr>
      <w:shd w:val="clear" w:color="auto" w:fill="FFFFFF"/>
      <w:spacing w:line="230" w:lineRule="exact"/>
      <w:ind w:hanging="320"/>
    </w:pPr>
    <w:rPr>
      <w:i/>
      <w:iCs/>
      <w:sz w:val="20"/>
      <w:szCs w:val="20"/>
    </w:rPr>
  </w:style>
  <w:style w:type="paragraph" w:customStyle="1" w:styleId="Footnote10">
    <w:name w:val="Footnote|1"/>
    <w:basedOn w:val="Normal"/>
    <w:link w:val="Footnote1"/>
    <w:qFormat/>
    <w:pPr>
      <w:shd w:val="clear" w:color="auto" w:fill="FFFFFF"/>
      <w:spacing w:line="230" w:lineRule="exact"/>
      <w:ind w:hanging="380"/>
    </w:pPr>
    <w:rPr>
      <w:sz w:val="20"/>
      <w:szCs w:val="20"/>
    </w:rPr>
  </w:style>
  <w:style w:type="paragraph" w:customStyle="1" w:styleId="Bodytext20">
    <w:name w:val="Body text|2"/>
    <w:basedOn w:val="Normal"/>
    <w:link w:val="Bodytext2"/>
    <w:qFormat/>
    <w:pPr>
      <w:shd w:val="clear" w:color="auto" w:fill="FFFFFF"/>
      <w:spacing w:after="400" w:line="266" w:lineRule="exact"/>
      <w:ind w:hanging="360"/>
      <w:jc w:val="both"/>
    </w:pPr>
  </w:style>
  <w:style w:type="paragraph" w:customStyle="1" w:styleId="Headerorfooter11">
    <w:name w:val="Header or footer|11"/>
    <w:basedOn w:val="Normal"/>
    <w:link w:val="Headerorfooter1"/>
    <w:qFormat/>
    <w:pPr>
      <w:shd w:val="clear" w:color="auto" w:fill="FFFFFF"/>
      <w:spacing w:line="266" w:lineRule="exact"/>
    </w:pPr>
    <w:rPr>
      <w:lang w:eastAsia="fr-FR" w:bidi="fr-FR"/>
    </w:rPr>
  </w:style>
  <w:style w:type="paragraph" w:customStyle="1" w:styleId="Bodytext30">
    <w:name w:val="Body text|3"/>
    <w:basedOn w:val="Normal"/>
    <w:link w:val="Bodytext3"/>
    <w:pPr>
      <w:shd w:val="clear" w:color="auto" w:fill="FFFFFF"/>
      <w:spacing w:line="235" w:lineRule="exact"/>
      <w:jc w:val="both"/>
    </w:pPr>
    <w:rPr>
      <w:sz w:val="20"/>
      <w:szCs w:val="20"/>
    </w:rPr>
  </w:style>
  <w:style w:type="paragraph" w:customStyle="1" w:styleId="Heading110">
    <w:name w:val="Heading #1|1"/>
    <w:basedOn w:val="Normal"/>
    <w:link w:val="Heading11"/>
    <w:qFormat/>
    <w:pPr>
      <w:shd w:val="clear" w:color="auto" w:fill="FFFFFF"/>
      <w:spacing w:before="180" w:after="640" w:line="310" w:lineRule="exact"/>
      <w:outlineLvl w:val="0"/>
    </w:pPr>
    <w:rPr>
      <w:b/>
      <w:bCs/>
      <w:sz w:val="28"/>
      <w:szCs w:val="28"/>
      <w:lang w:eastAsia="fr-FR" w:bidi="fr-FR"/>
    </w:rPr>
  </w:style>
  <w:style w:type="paragraph" w:customStyle="1" w:styleId="Heading210">
    <w:name w:val="Heading #2|1"/>
    <w:basedOn w:val="Normal"/>
    <w:link w:val="Heading21"/>
    <w:qFormat/>
    <w:pPr>
      <w:shd w:val="clear" w:color="auto" w:fill="FFFFFF"/>
      <w:spacing w:before="640" w:after="2060" w:line="266" w:lineRule="exact"/>
      <w:outlineLvl w:val="1"/>
    </w:pPr>
    <w:rPr>
      <w:b/>
      <w:bCs/>
    </w:rPr>
  </w:style>
  <w:style w:type="paragraph" w:customStyle="1" w:styleId="Bodytext40">
    <w:name w:val="Body text|4"/>
    <w:basedOn w:val="Normal"/>
    <w:link w:val="Bodytext4"/>
    <w:pPr>
      <w:shd w:val="clear" w:color="auto" w:fill="FFFFFF"/>
      <w:spacing w:before="2060" w:after="100" w:line="266" w:lineRule="exact"/>
      <w:jc w:val="center"/>
    </w:pPr>
    <w:rPr>
      <w:b/>
      <w:bCs/>
      <w:sz w:val="20"/>
      <w:szCs w:val="20"/>
      <w:lang w:eastAsia="fr-FR" w:bidi="fr-FR"/>
    </w:rPr>
  </w:style>
  <w:style w:type="paragraph" w:customStyle="1" w:styleId="Bodytext50">
    <w:name w:val="Body text|5"/>
    <w:basedOn w:val="Normal"/>
    <w:link w:val="Bodytext5"/>
    <w:pPr>
      <w:shd w:val="clear" w:color="auto" w:fill="FFFFFF"/>
      <w:spacing w:before="240" w:after="240" w:line="222" w:lineRule="exact"/>
      <w:jc w:val="both"/>
    </w:pPr>
    <w:rPr>
      <w:b/>
      <w:bCs/>
      <w:sz w:val="19"/>
      <w:szCs w:val="19"/>
    </w:rPr>
  </w:style>
  <w:style w:type="paragraph" w:customStyle="1" w:styleId="Bodytext60">
    <w:name w:val="Body text|6"/>
    <w:basedOn w:val="Normal"/>
    <w:link w:val="Bodytext6"/>
    <w:pPr>
      <w:shd w:val="clear" w:color="auto" w:fill="FFFFFF"/>
      <w:spacing w:before="240" w:after="240" w:line="274" w:lineRule="exact"/>
      <w:ind w:hanging="360"/>
      <w:jc w:val="both"/>
    </w:pPr>
    <w:rPr>
      <w:i/>
      <w:iCs/>
    </w:rPr>
  </w:style>
  <w:style w:type="paragraph" w:customStyle="1" w:styleId="Picturecaption10">
    <w:name w:val="Picture caption|1"/>
    <w:basedOn w:val="Normal"/>
    <w:link w:val="Picturecaption1"/>
    <w:qFormat/>
    <w:pPr>
      <w:shd w:val="clear" w:color="auto" w:fill="FFFFFF"/>
      <w:spacing w:line="222" w:lineRule="exact"/>
    </w:pPr>
    <w:rPr>
      <w:b/>
      <w:bCs/>
      <w:sz w:val="20"/>
      <w:szCs w:val="20"/>
      <w:lang w:eastAsia="de-DE" w:bidi="de-DE"/>
    </w:rPr>
  </w:style>
  <w:style w:type="paragraph" w:styleId="FootnoteText">
    <w:name w:val="footnote text"/>
    <w:aliases w:val="Note de bas de page Car1 Car Car,Note de bas de page1,stile 1,Footnote,Footnote1,Footnote2,Footnote3,Footnote4,Footnote5,Footnote6,Footnote7,Footnote8,Footnote9,Footnote10,Footnote11,Footnote21,Footnote31,Footnote41,Footnote51,Plonk"/>
    <w:basedOn w:val="Normal"/>
    <w:link w:val="FootnoteTextChar"/>
    <w:unhideWhenUsed/>
    <w:rPr>
      <w:sz w:val="20"/>
      <w:szCs w:val="20"/>
    </w:rPr>
  </w:style>
  <w:style w:type="character" w:customStyle="1" w:styleId="FootnoteTextChar">
    <w:name w:val="Footnote Text Char"/>
    <w:aliases w:val="Note de bas de page Car1 Car Car Char1,Note de bas de page1 Char1,stile 1 Char1,Footnote Char1,Footnote1 Char1,Footnote2 Char1,Footnote3 Char1,Footnote4 Char1,Footnote5 Char1,Footnote6 Char1,Footnote7 Char1,Footnote8 Char1,Plonk Char"/>
    <w:basedOn w:val="DefaultParagraphFont"/>
    <w:link w:val="FootnoteText"/>
    <w:rPr>
      <w:color w:val="000000"/>
      <w:sz w:val="20"/>
      <w:szCs w:val="20"/>
    </w:rPr>
  </w:style>
  <w:style w:type="character" w:styleId="FootnoteReference">
    <w:name w:val="footnote reference"/>
    <w:aliases w:val="Footnote Reference Superscript,BVI fnr,Footnote symbol,number,Footnote reference number,note TESI,-E Fußnotenzeichen,SUPERS,stylish,Odwołanie przypisu,Times 10 Point,Exposant 3 Point,Voetnootverwijzing,EN Footnote Reference"/>
    <w:basedOn w:val="DefaultParagraphFont"/>
    <w:link w:val="FootnotesymbolCarZchn"/>
    <w:uiPriority w:val="99"/>
    <w:unhideWhenUsed/>
    <w:qFormat/>
    <w:rPr>
      <w:vertAlign w:val="superscript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color w:val="000000"/>
    </w:rPr>
  </w:style>
  <w:style w:type="paragraph" w:customStyle="1" w:styleId="Default">
    <w:name w:val="Default"/>
    <w:pPr>
      <w:widowControl/>
      <w:autoSpaceDE w:val="0"/>
      <w:autoSpaceDN w:val="0"/>
      <w:adjustRightInd w:val="0"/>
    </w:pPr>
    <w:rPr>
      <w:color w:val="000000"/>
      <w:lang w:bidi="ar-SA"/>
    </w:rPr>
  </w:style>
  <w:style w:type="paragraph" w:styleId="Revision">
    <w:name w:val="Revision"/>
    <w:hidden/>
    <w:uiPriority w:val="99"/>
    <w:semiHidden/>
    <w:pPr>
      <w:widowControl/>
    </w:pPr>
    <w:rPr>
      <w:color w:val="00000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widowControl/>
      <w:jc w:val="both"/>
    </w:pPr>
    <w:rPr>
      <w:rFonts w:eastAsiaTheme="minorHAnsi"/>
      <w:color w:val="auto"/>
      <w:szCs w:val="22"/>
      <w:lang w:bidi="ar-SA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/>
      <w:ind w:left="-850" w:right="-850"/>
    </w:pPr>
  </w:style>
  <w:style w:type="character" w:customStyle="1" w:styleId="FooterCoverPageChar">
    <w:name w:val="Footer Cover Page Char"/>
    <w:basedOn w:val="Bodytext4"/>
    <w:link w:val="FooterCoverPage"/>
    <w:rPr>
      <w:b w:val="0"/>
      <w:bCs w:val="0"/>
      <w:i w:val="0"/>
      <w:iCs w:val="0"/>
      <w:smallCaps w:val="0"/>
      <w:strike w:val="0"/>
      <w:color w:val="000000"/>
      <w:sz w:val="20"/>
      <w:szCs w:val="20"/>
      <w:u w:val="none"/>
      <w:lang w:val="sk-SK" w:eastAsia="fr-FR" w:bidi="fr-FR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/>
      <w:ind w:left="113" w:right="113"/>
      <w:jc w:val="center"/>
    </w:pPr>
    <w:rPr>
      <w:b/>
      <w:sz w:val="32"/>
    </w:rPr>
  </w:style>
  <w:style w:type="character" w:customStyle="1" w:styleId="FooterSensitivityChar">
    <w:name w:val="Footer Sensitivity Char"/>
    <w:basedOn w:val="Bodytext4"/>
    <w:link w:val="FooterSensitivity"/>
    <w:rPr>
      <w:b/>
      <w:bCs w:val="0"/>
      <w:i w:val="0"/>
      <w:iCs w:val="0"/>
      <w:smallCaps w:val="0"/>
      <w:strike w:val="0"/>
      <w:color w:val="000000"/>
      <w:sz w:val="32"/>
      <w:szCs w:val="20"/>
      <w:u w:val="none"/>
      <w:lang w:val="sk-SK" w:eastAsia="fr-FR" w:bidi="fr-FR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  <w:jc w:val="both"/>
    </w:pPr>
  </w:style>
  <w:style w:type="character" w:customStyle="1" w:styleId="HeaderCoverPageChar">
    <w:name w:val="Header Cover Page Char"/>
    <w:basedOn w:val="Bodytext4"/>
    <w:link w:val="HeaderCoverPage"/>
    <w:rPr>
      <w:b w:val="0"/>
      <w:bCs w:val="0"/>
      <w:i w:val="0"/>
      <w:iCs w:val="0"/>
      <w:smallCaps w:val="0"/>
      <w:strike w:val="0"/>
      <w:color w:val="000000"/>
      <w:sz w:val="20"/>
      <w:szCs w:val="20"/>
      <w:u w:val="none"/>
      <w:lang w:val="sk-SK" w:eastAsia="fr-FR" w:bidi="fr-FR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113" w:right="113"/>
      <w:jc w:val="center"/>
    </w:pPr>
    <w:rPr>
      <w:b/>
      <w:sz w:val="32"/>
    </w:rPr>
  </w:style>
  <w:style w:type="character" w:customStyle="1" w:styleId="HeaderSensitivityChar">
    <w:name w:val="Header Sensitivity Char"/>
    <w:basedOn w:val="Bodytext4"/>
    <w:link w:val="HeaderSensitivity"/>
    <w:rPr>
      <w:b/>
      <w:bCs w:val="0"/>
      <w:i w:val="0"/>
      <w:iCs w:val="0"/>
      <w:smallCaps w:val="0"/>
      <w:strike w:val="0"/>
      <w:color w:val="000000"/>
      <w:sz w:val="32"/>
      <w:szCs w:val="20"/>
      <w:u w:val="none"/>
      <w:lang w:val="sk-SK" w:eastAsia="fr-FR" w:bidi="fr-FR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/>
      <w:jc w:val="right"/>
    </w:pPr>
    <w:rPr>
      <w:sz w:val="28"/>
    </w:rPr>
  </w:style>
  <w:style w:type="character" w:customStyle="1" w:styleId="HeaderSensitivityRightChar">
    <w:name w:val="Header Sensitivity Right Char"/>
    <w:basedOn w:val="Bodytext4"/>
    <w:link w:val="HeaderSensitivityRight"/>
    <w:rPr>
      <w:b w:val="0"/>
      <w:bCs w:val="0"/>
      <w:i w:val="0"/>
      <w:iCs w:val="0"/>
      <w:smallCaps w:val="0"/>
      <w:strike w:val="0"/>
      <w:color w:val="000000"/>
      <w:sz w:val="28"/>
      <w:szCs w:val="20"/>
      <w:u w:val="none"/>
      <w:lang w:val="sk-SK" w:eastAsia="fr-FR" w:bidi="fr-FR"/>
    </w:rPr>
  </w:style>
  <w:style w:type="paragraph" w:customStyle="1" w:styleId="Typedudocument">
    <w:name w:val="Type du document"/>
    <w:basedOn w:val="Normal"/>
    <w:next w:val="Normal"/>
    <w:pPr>
      <w:widowControl/>
      <w:spacing w:before="360"/>
      <w:jc w:val="center"/>
    </w:pPr>
    <w:rPr>
      <w:rFonts w:eastAsiaTheme="minorHAnsi"/>
      <w:b/>
      <w:color w:val="auto"/>
      <w:szCs w:val="22"/>
      <w:lang w:bidi="ar-SA"/>
    </w:rPr>
  </w:style>
  <w:style w:type="paragraph" w:customStyle="1" w:styleId="IIntroductionIIntroduction">
    <w:name w:val="I. IntroductionI. Introduction"/>
    <w:basedOn w:val="Normal"/>
    <w:pPr>
      <w:ind w:right="20"/>
      <w:jc w:val="both"/>
    </w:pPr>
    <w:rPr>
      <w:rFonts w:eastAsiaTheme="minorHAnsi"/>
      <w:bCs/>
      <w:shd w:val="clear" w:color="auto" w:fill="FFFFFF"/>
      <w:lang w:eastAsia="fr-FR" w:bidi="fr-FR"/>
    </w:rPr>
  </w:style>
  <w:style w:type="paragraph" w:customStyle="1" w:styleId="Titreobjet">
    <w:name w:val="Titre objet"/>
    <w:basedOn w:val="Normal"/>
    <w:next w:val="Normal"/>
    <w:pPr>
      <w:widowControl/>
      <w:spacing w:before="360" w:after="360"/>
      <w:jc w:val="center"/>
    </w:pPr>
    <w:rPr>
      <w:rFonts w:eastAsiaTheme="minorHAnsi"/>
      <w:b/>
      <w:color w:val="auto"/>
      <w:szCs w:val="22"/>
      <w:lang w:bidi="ar-SA"/>
    </w:rPr>
  </w:style>
  <w:style w:type="character" w:customStyle="1" w:styleId="FootnoteTextChar1">
    <w:name w:val="Footnote Text Char1"/>
    <w:aliases w:val="Note de bas de page Car1 Car Car Char,Note de bas de page1 Char,stile 1 Char,Footnote Char,Footnote1 Char,Footnote2 Char,Footnote3 Char,Footnote4 Char,Footnote5 Char,Footnote6 Char,Footnote7 Char,Footnote8 Char,Footnote9 Char"/>
    <w:basedOn w:val="DefaultParagraphFont"/>
    <w:uiPriority w:val="99"/>
    <w:semiHidden/>
    <w:locked/>
    <w:rPr>
      <w:rFonts w:ascii="EC Square Sans Pro" w:eastAsiaTheme="minorEastAsia" w:hAnsi="EC Square Sans Pro"/>
      <w:sz w:val="16"/>
      <w:szCs w:val="20"/>
      <w:lang w:val="sk-SK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pPr>
      <w:widowControl/>
      <w:spacing w:after="160" w:line="240" w:lineRule="exact"/>
      <w:jc w:val="both"/>
    </w:pPr>
    <w:rPr>
      <w:color w:val="auto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hAnsi="Cambria"/>
      <w:b/>
      <w:bCs/>
      <w:sz w:val="26"/>
      <w:szCs w:val="26"/>
      <w:lang w:val="sk-SK" w:bidi="ar-SA"/>
    </w:rPr>
  </w:style>
  <w:style w:type="character" w:styleId="BookTitle">
    <w:name w:val="Book Title"/>
    <w:uiPriority w:val="33"/>
    <w:qFormat/>
    <w:rPr>
      <w:i/>
      <w:iCs/>
      <w:smallCaps/>
      <w:spacing w:val="5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Titrearticle">
    <w:name w:val="Titre article"/>
    <w:basedOn w:val="Normal"/>
    <w:next w:val="Normal"/>
    <w:pPr>
      <w:keepNext/>
      <w:widowControl/>
      <w:spacing w:before="360" w:after="120"/>
      <w:jc w:val="center"/>
    </w:pPr>
    <w:rPr>
      <w:rFonts w:eastAsiaTheme="minorHAnsi"/>
      <w:i/>
      <w:color w:val="auto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6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emf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growth/sectors/tourism/support-business/skills_en" TargetMode="External"/><Relationship Id="rId2" Type="http://schemas.openxmlformats.org/officeDocument/2006/relationships/hyperlink" Target="https://ec.europa.eu/info/live-work-travel-eu/consumers/resolve-your-consumer-complaint/european-consumer-centres-network-ecc-net/faq-cancellations-individually-booked-accommodations-car-rental-and-events-due-covid-19_sk" TargetMode="External"/><Relationship Id="rId1" Type="http://schemas.openxmlformats.org/officeDocument/2006/relationships/hyperlink" Target="https://ec.europa.eu/info/live-work-travel-eu/consumers/resolve-your-consumer-complaint/european-consumer-centres-network-ecc-net_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9D253F4E7D1A5D4EAB3B14550A2387C9" ma:contentTypeVersion="0" ma:contentTypeDescription="Create a new document in this library." ma:contentTypeScope="" ma:versionID="8efb7d394ed9b44c0df291953b2684e1">
  <xsd:schema xmlns:xsd="http://www.w3.org/2001/XMLSchema" xmlns:xs="http://www.w3.org/2001/XMLSchema" xmlns:p="http://schemas.microsoft.com/office/2006/metadata/properties" xmlns:ns2="http://schemas.microsoft.com/sharepoint/v3/fields" xmlns:ns3="cd4b0d26-17b0-441a-9123-295e825b02c5" targetNamespace="http://schemas.microsoft.com/office/2006/metadata/properties" ma:root="true" ma:fieldsID="7e9f2751c1d7c9dba87ed81f9cab97b0" ns2:_="" ns3:_="">
    <xsd:import namespace="http://schemas.microsoft.com/sharepoint/v3/fields"/>
    <xsd:import namespace="cd4b0d26-17b0-441a-9123-295e825b02c5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b0d26-17b0-441a-9123-295e825b02c5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D5D7052343E4C64FB9FEA532927F351D" ma:contentTypeVersion="0" ma:contentTypeDescription="Create a new document in this library." ma:contentTypeScope="" ma:versionID="00199defa1de9724334fed49c12dd900">
  <xsd:schema xmlns:xsd="http://www.w3.org/2001/XMLSchema" xmlns:xs="http://www.w3.org/2001/XMLSchema" xmlns:p="http://schemas.microsoft.com/office/2006/metadata/properties" xmlns:ns2="http://schemas.microsoft.com/sharepoint/v3/fields" xmlns:ns3="ef8c33be-31c6-44a3-a94b-46b5171e72d5" targetNamespace="http://schemas.microsoft.com/office/2006/metadata/properties" ma:root="true" ma:fieldsID="1a5ffaf68e696724b4b1e5469bfdc29d" ns2:_="" ns3:_="">
    <xsd:import namespace="http://schemas.microsoft.com/sharepoint/v3/fields"/>
    <xsd:import namespace="ef8c33be-31c6-44a3-a94b-46b5171e72d5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c33be-31c6-44a3-a94b-46b5171e72d5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EC_Collab_DocumentLanguage xmlns="ef8c33be-31c6-44a3-a94b-46b5171e72d5">EN</EC_Collab_DocumentLanguage>
    <EC_Collab_Reference xmlns="ef8c33be-31c6-44a3-a94b-46b5171e72d5" xsi:nil="true"/>
    <EC_Collab_Status xmlns="ef8c33be-31c6-44a3-a94b-46b5171e72d5">Draft</EC_Collab_Statu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6B222-D010-4796-97E5-5C60B68039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cd4b0d26-17b0-441a-9123-295e825b0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DC18D6-E91B-4C20-AFD7-FD75C927C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ef8c33be-31c6-44a3-a94b-46b5171e7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7277AD-FD44-4E84-9FC2-616E4774A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FCFCD7-242B-47E8-AA9E-C2F30A86640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ef8c33be-31c6-44a3-a94b-46b5171e72d5"/>
  </ds:schemaRefs>
</ds:datastoreItem>
</file>

<file path=customXml/itemProps5.xml><?xml version="1.0" encoding="utf-8"?>
<ds:datastoreItem xmlns:ds="http://schemas.openxmlformats.org/officeDocument/2006/customXml" ds:itemID="{0132F612-57D7-4569-B3B2-DFDB443EC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5626</Words>
  <Characters>35056</Characters>
  <Application>Microsoft Office Word</Application>
  <DocSecurity>0</DocSecurity>
  <Lines>674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 Tourism and COVID-19 pandemic: an EU response to exit and recovery</vt:lpstr>
    </vt:vector>
  </TitlesOfParts>
  <Manager/>
  <Company/>
  <LinksUpToDate>false</LinksUpToDate>
  <CharactersWithSpaces>40541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 Tourism and COVID-19 pandemic: an EU response to exit and recovery</dc:title>
  <dc:subject/>
  <dc:creator/>
  <cp:keywords/>
  <dc:description/>
  <cp:lastModifiedBy>PAREDES ECHAURI Cristina (SG)</cp:lastModifiedBy>
  <cp:revision>15</cp:revision>
  <dcterms:created xsi:type="dcterms:W3CDTF">2020-06-02T14:44:00Z</dcterms:created>
  <dcterms:modified xsi:type="dcterms:W3CDTF">2020-06-29T19:15:00Z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Part">
    <vt:lpwstr>1</vt:lpwstr>
  </property>
  <property fmtid="{D5CDD505-2E9C-101B-9397-08002B2CF9AE}" pid="4" name="Total parts">
    <vt:lpwstr>1</vt:lpwstr>
  </property>
  <property fmtid="{D5CDD505-2E9C-101B-9397-08002B2CF9AE}" pid="5" name="CPTemplateID">
    <vt:lpwstr>CP-014</vt:lpwstr>
  </property>
  <property fmtid="{D5CDD505-2E9C-101B-9397-08002B2CF9AE}" pid="6" name="Last edited using">
    <vt:lpwstr>LW 7.0, Build 20190717</vt:lpwstr>
  </property>
  <property fmtid="{D5CDD505-2E9C-101B-9397-08002B2CF9AE}" pid="7" name="Created using">
    <vt:lpwstr>LW 7.0, Build 20190717</vt:lpwstr>
  </property>
  <property fmtid="{D5CDD505-2E9C-101B-9397-08002B2CF9AE}" pid="8" name="DocStatus">
    <vt:lpwstr>Green</vt:lpwstr>
  </property>
  <property fmtid="{D5CDD505-2E9C-101B-9397-08002B2CF9AE}" pid="9" name="_LW_INVALIDATED__LW_INVALIDATED__LW_INVALIDATED__LW_INVALIDATED__LW_INVALIDATED__LW_INVALIDATED__LW_INVALIDATED__LW_INVALIDATED__LW_INVALIDATED__LW_INVALIDATED__LW_INVALIDATED_ContentTypeId">
    <vt:lpwstr>0x010100692B299078F434498DE0F0A996C78641</vt:lpwstr>
  </property>
  <property fmtid="{D5CDD505-2E9C-101B-9397-08002B2CF9AE}" pid="10" name="_LW_INVALIDATED__LW_INVALIDATED__LW_INVALIDATED__LW_INVALIDATED__LW_INVALIDATED__LW_INVALIDATED__LW_INVALIDATED__LW_INVALIDATED__LW_INVALIDATED_ContentTypeId">
    <vt:lpwstr>0x010100258AA79CEB83498886A3A08681123250009D253F4E7D1A5D4EAB3B14550A2387C9</vt:lpwstr>
  </property>
  <property fmtid="{D5CDD505-2E9C-101B-9397-08002B2CF9AE}" pid="11" name="_LW_INVALIDATED__LW_INVALIDATED__LW_INVALIDATED__LW_INVALIDATED__LW_INVALIDATED__LW_INVALIDATED__LW_INVALIDATED__LW_INVALIDATED_ContentTypeId">
    <vt:lpwstr>0x010100258AA79CEB83498886A3A08681123250009D253F4E7D1A5D4EAB3B14550A2387C9</vt:lpwstr>
  </property>
  <property fmtid="{D5CDD505-2E9C-101B-9397-08002B2CF9AE}" pid="12" name="_LW_INVALIDATED__LW_INVALIDATED__LW_INVALIDATED__LW_INVALIDATED__LW_INVALIDATED__LW_INVALIDATED_ContentTypeId">
    <vt:lpwstr>0x010100258AA79CEB83498886A3A0868112325000D5D7052343E4C64FB9FEA532927F351D</vt:lpwstr>
  </property>
</Properties>
</file>