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91" w:rsidRDefault="0098050F" w:rsidP="0098050F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A7CD6F1D-0F57-44F5-8637-ABB5E9A8727F" style="width:451.55pt;height:401.15pt">
            <v:imagedata r:id="rId12" o:title=""/>
          </v:shape>
        </w:pict>
      </w:r>
    </w:p>
    <w:bookmarkEnd w:id="0"/>
    <w:p w:rsidR="00764E91" w:rsidRDefault="00764E91">
      <w:pPr>
        <w:rPr>
          <w:noProof/>
        </w:rPr>
        <w:sectPr w:rsidR="00764E91" w:rsidSect="0098050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64E91" w:rsidRDefault="0098050F">
      <w:pPr>
        <w:pStyle w:val="Typedudocument"/>
        <w:rPr>
          <w:noProof/>
        </w:rPr>
      </w:pPr>
      <w:r>
        <w:rPr>
          <w:noProof/>
        </w:rPr>
        <w:lastRenderedPageBreak/>
        <w:t>KOMUNIKAZZJONI TAL-KUMMISSJONI LILL-PARLAMENT EWROPEW, LILL-KUNSILL, LILL-KUMITAT EKONOMIKU U SOĊJALI EWROPEW U LILL-KUMITAT TAR-REĠJUNI</w:t>
      </w:r>
    </w:p>
    <w:p w:rsidR="00764E91" w:rsidRDefault="0098050F">
      <w:pPr>
        <w:pStyle w:val="Titreobjet"/>
        <w:rPr>
          <w:noProof/>
        </w:rPr>
      </w:pPr>
      <w:r>
        <w:rPr>
          <w:noProof/>
        </w:rPr>
        <w:t xml:space="preserve">It-turiżmu </w:t>
      </w:r>
      <w:r>
        <w:rPr>
          <w:noProof/>
        </w:rPr>
        <w:t>u t-trasport fl-2020 u lil hinn</w:t>
      </w:r>
    </w:p>
    <w:p w:rsidR="00764E91" w:rsidRDefault="0098050F">
      <w:pPr>
        <w:pStyle w:val="Bodytext40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jc w:val="left"/>
        <w:rPr>
          <w:rStyle w:val="Bodytext412pt"/>
          <w:b/>
          <w:bCs/>
          <w:noProof/>
        </w:rPr>
      </w:pPr>
      <w:r>
        <w:rPr>
          <w:rStyle w:val="Bodytext412pt"/>
          <w:b/>
          <w:bCs/>
          <w:noProof/>
        </w:rPr>
        <w:t>INTRODUZZJONI</w:t>
      </w:r>
    </w:p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rPr>
          <w:rStyle w:val="Bodytext412pt"/>
          <w:b/>
          <w:bCs/>
          <w:noProof/>
        </w:rPr>
      </w:pPr>
    </w:p>
    <w:p w:rsidR="00764E91" w:rsidRDefault="0098050F">
      <w:pPr>
        <w:ind w:right="20"/>
        <w:jc w:val="both"/>
        <w:rPr>
          <w:rFonts w:eastAsiaTheme="minorHAnsi"/>
          <w:bCs/>
          <w:noProof/>
          <w:shd w:val="clear" w:color="auto" w:fill="FFFFFF"/>
        </w:rPr>
      </w:pPr>
      <w:r>
        <w:rPr>
          <w:bCs/>
          <w:noProof/>
          <w:shd w:val="clear" w:color="auto" w:fill="FFFFFF"/>
        </w:rPr>
        <w:t>L-aħħar xhur tal-kriżi tal-COVID-19 ma affettwawx biss lil dawk infettati u l-familji tagħhom, iżda kienu wkoll ta’ piż finanzjarju fuq in-negozji, l-intraprendituri u l-ħaddiema. Kważi kulħadd kellu jagħmel i</w:t>
      </w:r>
      <w:r>
        <w:rPr>
          <w:bCs/>
          <w:noProof/>
          <w:shd w:val="clear" w:color="auto" w:fill="FFFFFF"/>
        </w:rPr>
        <w:t xml:space="preserve">s-sagrifiċċji. Dawk il-ħaddiema li jinsabu fuq quddiem nett fil-kura tas-saħħa jew dawk f’forom aktar intensi ta’ iżolament fiżiku huma fost l-aktar li sofrew. </w:t>
      </w:r>
    </w:p>
    <w:p w:rsidR="00764E91" w:rsidRDefault="00764E91">
      <w:pPr>
        <w:ind w:right="20"/>
        <w:jc w:val="both"/>
        <w:rPr>
          <w:rFonts w:eastAsiaTheme="minorHAnsi"/>
          <w:bCs/>
          <w:noProof/>
          <w:shd w:val="clear" w:color="auto" w:fill="FFFFFF"/>
        </w:rPr>
      </w:pPr>
    </w:p>
    <w:p w:rsidR="00764E91" w:rsidRDefault="0098050F">
      <w:pPr>
        <w:ind w:right="20"/>
        <w:jc w:val="both"/>
        <w:rPr>
          <w:rFonts w:eastAsiaTheme="minorHAnsi"/>
          <w:bCs/>
          <w:noProof/>
          <w:shd w:val="clear" w:color="auto" w:fill="FFFFFF"/>
        </w:rPr>
      </w:pPr>
      <w:r>
        <w:rPr>
          <w:b/>
          <w:noProof/>
          <w:shd w:val="clear" w:color="auto" w:fill="FFFFFF"/>
        </w:rPr>
        <w:t xml:space="preserve">Jekk jiġu ġestiti b’mod korrett, b’mod sikur u b’mod koordinat, ix-xhur li ġejjin jistgħu </w:t>
      </w:r>
      <w:r>
        <w:rPr>
          <w:b/>
          <w:noProof/>
          <w:shd w:val="clear" w:color="auto" w:fill="FFFFFF"/>
        </w:rPr>
        <w:t>jservu ta’ opportunità għall-Ewropej biex igawdu ftit ħin ta’ mistrieħ, ta’ rilassament jew arja friska, tabilħaqq meħtieġa, u biex jiltaqgħu mal-ħbieb u l-familji tagħhom, fl-Istati Membri tagħhom stess jew f’pajjiżi oħra.</w:t>
      </w:r>
      <w:r>
        <w:rPr>
          <w:bCs/>
          <w:noProof/>
          <w:shd w:val="clear" w:color="auto" w:fill="FFFFFF"/>
        </w:rPr>
        <w:t xml:space="preserve"> Dak il-ħsieb waħdu kien biżżejje</w:t>
      </w:r>
      <w:r>
        <w:rPr>
          <w:bCs/>
          <w:noProof/>
          <w:shd w:val="clear" w:color="auto" w:fill="FFFFFF"/>
        </w:rPr>
        <w:t>d biex iżomm lil ħafna nies għaddejjin, iżda dawn iridu wkoll iserrħu rashom li se jkollhom lukandi, siti tal-kampeġġ u ristoranti fejn imorru, mogħdijiet tat-trekking, meded max-xatt u mogħdijiet għaċ-ċikliżmu aċċessibbli, attrazzjonijiet miftuħa xi jżuru</w:t>
      </w:r>
      <w:r>
        <w:rPr>
          <w:bCs/>
          <w:noProof/>
          <w:shd w:val="clear" w:color="auto" w:fill="FFFFFF"/>
        </w:rPr>
        <w:t xml:space="preserve">, trasport biex wieħed jasal mingħajr restrizzjonijiet, u fuq kollox li jsir dak kollu possibbli biex kemm jista’ jkun jiġi żgurat li ma jkunx hemm infezzjonijiet. </w:t>
      </w:r>
    </w:p>
    <w:p w:rsidR="00764E91" w:rsidRDefault="00764E91">
      <w:pPr>
        <w:ind w:right="20"/>
        <w:jc w:val="both"/>
        <w:rPr>
          <w:rFonts w:eastAsiaTheme="minorHAnsi"/>
          <w:bCs/>
          <w:noProof/>
          <w:shd w:val="clear" w:color="auto" w:fill="FFFFFF"/>
        </w:rPr>
      </w:pPr>
    </w:p>
    <w:p w:rsidR="00764E91" w:rsidRDefault="0098050F">
      <w:pPr>
        <w:jc w:val="both"/>
        <w:rPr>
          <w:noProof/>
        </w:rPr>
      </w:pPr>
      <w:r>
        <w:rPr>
          <w:b/>
          <w:bCs/>
          <w:noProof/>
          <w:shd w:val="clear" w:color="auto" w:fill="FFFFFF"/>
        </w:rPr>
        <w:t>Ix-xhur li ġejjin ma għandhomx jintilfu għall-ekosistema tat-turiżmu tant vibranti Ewropea</w:t>
      </w:r>
      <w:r>
        <w:rPr>
          <w:b/>
          <w:bCs/>
          <w:noProof/>
          <w:shd w:val="clear" w:color="auto" w:fill="FFFFFF"/>
        </w:rPr>
        <w:t xml:space="preserve"> li tkopri firxa ta’ attivitajiet bħall-ivvjaġġar, it-trasport, l-akkomodazzjoni, l-ikel, ir-rikreazzjoni fuq l-art u l-ilma, il-kultura u n-natura</w:t>
      </w:r>
      <w:r>
        <w:rPr>
          <w:noProof/>
          <w:shd w:val="clear" w:color="auto" w:fill="FFFFFF"/>
        </w:rPr>
        <w:t>. Direttament u indirettament, din tikkontribwixxi kważi 10 % tal-PDG tal-UE u għamlet lill-UE d-destinazzjon</w:t>
      </w:r>
      <w:r>
        <w:rPr>
          <w:noProof/>
          <w:shd w:val="clear" w:color="auto" w:fill="FFFFFF"/>
        </w:rPr>
        <w:t>i ewlenija tat-turiżmu fid-dinja, b’563 miljun persuna jaslu minn ajruporti internazzjonali u bi 30 % tad-dħul globali fl-2018</w:t>
      </w:r>
      <w:r>
        <w:rPr>
          <w:rStyle w:val="FootnoteReference"/>
          <w:rFonts w:eastAsiaTheme="minorHAnsi"/>
          <w:noProof/>
          <w:shd w:val="clear" w:color="auto" w:fill="FFFFFF"/>
        </w:rPr>
        <w:footnoteReference w:id="2"/>
      </w:r>
      <w:r>
        <w:rPr>
          <w:noProof/>
          <w:shd w:val="clear" w:color="auto" w:fill="FFFFFF"/>
        </w:rPr>
        <w:t>.</w:t>
      </w:r>
      <w:r>
        <w:rPr>
          <w:noProof/>
        </w:rPr>
        <w:t xml:space="preserve"> </w:t>
      </w:r>
    </w:p>
    <w:p w:rsidR="00764E91" w:rsidRDefault="00764E91">
      <w:pPr>
        <w:jc w:val="both"/>
        <w:rPr>
          <w:noProof/>
          <w:color w:val="auto"/>
        </w:rPr>
      </w:pPr>
    </w:p>
    <w:p w:rsidR="00764E91" w:rsidRDefault="0098050F">
      <w:pPr>
        <w:ind w:right="20"/>
        <w:jc w:val="both"/>
        <w:rPr>
          <w:rFonts w:eastAsiaTheme="minorHAnsi"/>
          <w:bCs/>
          <w:noProof/>
          <w:shd w:val="clear" w:color="auto" w:fill="FFFFFF"/>
        </w:rPr>
      </w:pPr>
      <w:r>
        <w:rPr>
          <w:noProof/>
          <w:shd w:val="clear" w:color="auto" w:fill="FFFFFF"/>
        </w:rPr>
        <w:t>Għal ħafna Stati Membri, reġjuni u bliet Ewropej, it-turiżmu huwa kontributur ewlieni għan-nisġa ekonomika u soċjali</w:t>
      </w:r>
      <w:r>
        <w:rPr>
          <w:noProof/>
        </w:rPr>
        <w:t xml:space="preserve">. </w:t>
      </w:r>
      <w:r>
        <w:rPr>
          <w:bCs/>
          <w:noProof/>
          <w:shd w:val="clear" w:color="auto" w:fill="FFFFFF"/>
        </w:rPr>
        <w:t xml:space="preserve">Aktar </w:t>
      </w:r>
      <w:r>
        <w:rPr>
          <w:bCs/>
          <w:noProof/>
          <w:shd w:val="clear" w:color="auto" w:fill="FFFFFF"/>
        </w:rPr>
        <w:t>minn hekk, jipprovdi impjiegi u dħul li huma tant meħtieġa, ħafna drabi kkonċentrati f’reġjuni li ma jkollhomx sorsi alternattivi ta’ impjieg u li jinvolvu ħaddiema b’livell baxx ta’ ħiliet. Iżda din l-ekosistema ntlaqtet ħażin.</w:t>
      </w:r>
      <w:r>
        <w:rPr>
          <w:b/>
          <w:noProof/>
        </w:rPr>
        <w:t xml:space="preserve"> </w:t>
      </w:r>
      <w:r>
        <w:rPr>
          <w:bCs/>
          <w:noProof/>
          <w:shd w:val="clear" w:color="auto" w:fill="FFFFFF"/>
        </w:rPr>
        <w:t>L-Organizzazzjoni Dinjija t</w:t>
      </w:r>
      <w:r>
        <w:rPr>
          <w:bCs/>
          <w:noProof/>
          <w:shd w:val="clear" w:color="auto" w:fill="FFFFFF"/>
        </w:rPr>
        <w:t xml:space="preserve">at-Turiżmu (UNWTO) qed tipprevedi tnaqqis fit-turiżmu internazzjonali ta’ 60 % sa 80 % meta mqabbel mas-sena l-oħra, li jammonta għal telf ta’ bejn EUR 840 biljun sa </w:t>
      </w:r>
      <w:r>
        <w:rPr>
          <w:bCs/>
          <w:noProof/>
          <w:u w:val="single"/>
          <w:shd w:val="clear" w:color="auto" w:fill="FFFFFF"/>
        </w:rPr>
        <w:t xml:space="preserve">EUR 1.100 biljun </w:t>
      </w:r>
      <w:r>
        <w:rPr>
          <w:bCs/>
          <w:noProof/>
          <w:shd w:val="clear" w:color="auto" w:fill="FFFFFF"/>
        </w:rPr>
        <w:t xml:space="preserve"> fi dħul mill-esportazzjonijiet madwar id-dinja. U x-xhur li ġejjin huma </w:t>
      </w:r>
      <w:r>
        <w:rPr>
          <w:bCs/>
          <w:noProof/>
          <w:shd w:val="clear" w:color="auto" w:fill="FFFFFF"/>
        </w:rPr>
        <w:t>kruċjali:</w:t>
      </w:r>
      <w:r>
        <w:rPr>
          <w:noProof/>
          <w:shd w:val="clear" w:color="auto" w:fill="FFFFFF"/>
        </w:rPr>
        <w:t xml:space="preserve"> </w:t>
      </w:r>
      <w:r>
        <w:rPr>
          <w:noProof/>
        </w:rPr>
        <w:t xml:space="preserve">matul </w:t>
      </w:r>
      <w:r>
        <w:rPr>
          <w:bCs/>
          <w:noProof/>
          <w:shd w:val="clear" w:color="auto" w:fill="FFFFFF"/>
        </w:rPr>
        <w:t>staġun normali tas-sajf (Ġunju-Awwissu) ir-residenti tal-UE jagħmlu 385 miljun vjaġġ turistiku u jonfqu EUR190 biljun</w:t>
      </w:r>
      <w:r>
        <w:rPr>
          <w:rStyle w:val="FootnoteReference"/>
          <w:rFonts w:eastAsiaTheme="minorHAnsi"/>
          <w:bCs/>
          <w:noProof/>
          <w:shd w:val="clear" w:color="auto" w:fill="FFFFFF"/>
        </w:rPr>
        <w:footnoteReference w:id="3"/>
      </w:r>
      <w:r>
        <w:rPr>
          <w:noProof/>
        </w:rPr>
        <w:t>.</w:t>
      </w:r>
      <w:r>
        <w:rPr>
          <w:bCs/>
          <w:noProof/>
          <w:shd w:val="clear" w:color="auto" w:fill="FFFFFF"/>
        </w:rPr>
        <w:t xml:space="preserve">  </w:t>
      </w:r>
    </w:p>
    <w:p w:rsidR="00764E91" w:rsidRDefault="00764E91">
      <w:pPr>
        <w:ind w:right="20"/>
        <w:jc w:val="both"/>
        <w:rPr>
          <w:rFonts w:eastAsiaTheme="minorHAnsi"/>
          <w:bCs/>
          <w:noProof/>
          <w:shd w:val="clear" w:color="auto" w:fill="FFFFFF"/>
        </w:rPr>
      </w:pPr>
    </w:p>
    <w:p w:rsidR="00764E91" w:rsidRDefault="0098050F">
      <w:pPr>
        <w:ind w:right="20"/>
        <w:jc w:val="both"/>
        <w:rPr>
          <w:rFonts w:eastAsiaTheme="minorHAnsi"/>
          <w:bCs/>
          <w:noProof/>
          <w:shd w:val="clear" w:color="auto" w:fill="FFFFFF"/>
        </w:rPr>
      </w:pPr>
      <w:r>
        <w:rPr>
          <w:bCs/>
          <w:noProof/>
          <w:shd w:val="clear" w:color="auto" w:fill="FFFFFF"/>
        </w:rPr>
        <w:t xml:space="preserve">Din il-Komunikazzjoni u l-inizjattivi li jakkumpanjawha jistabbilixxu </w:t>
      </w:r>
      <w:r>
        <w:rPr>
          <w:b/>
          <w:bCs/>
          <w:noProof/>
          <w:shd w:val="clear" w:color="auto" w:fill="FFFFFF"/>
        </w:rPr>
        <w:t>qafas koordinat biex l-Ewropa tkun tista’ tibbe</w:t>
      </w:r>
      <w:r>
        <w:rPr>
          <w:b/>
          <w:bCs/>
          <w:noProof/>
          <w:shd w:val="clear" w:color="auto" w:fill="FFFFFF"/>
        </w:rPr>
        <w:t>nefika minn staġun turistiku ta' mistrieħ u fuq kollox, wieħed sikur</w:t>
      </w:r>
      <w:r>
        <w:rPr>
          <w:bCs/>
          <w:noProof/>
          <w:shd w:val="clear" w:color="auto" w:fill="FFFFFF"/>
        </w:rPr>
        <w:t>, b’mod gradwali dan is-sajf u fix-xitwa ta' wara u iktar ’il quddiem. B’hekk, hija għandha wkoll l-għan li tappoġġa s-sostenibbiltà tal-ekosistema tat-turiżmu prezzjuża tagħna għall-ġener</w:t>
      </w:r>
      <w:r>
        <w:rPr>
          <w:bCs/>
          <w:noProof/>
          <w:shd w:val="clear" w:color="auto" w:fill="FFFFFF"/>
        </w:rPr>
        <w:t xml:space="preserve">azzjonijiet li ġejjin. </w:t>
      </w:r>
    </w:p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Fonts w:eastAsiaTheme="minorHAnsi"/>
          <w:noProof/>
          <w:sz w:val="24"/>
          <w:szCs w:val="24"/>
          <w:shd w:val="clear" w:color="auto" w:fill="FFFFFF"/>
        </w:rPr>
      </w:pPr>
    </w:p>
    <w:p w:rsidR="00764E91" w:rsidRDefault="0098050F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Fonts w:eastAsiaTheme="minorHAnsi"/>
          <w:b w:val="0"/>
          <w:noProof/>
          <w:sz w:val="24"/>
          <w:szCs w:val="24"/>
          <w:shd w:val="clear" w:color="auto" w:fill="FFFFFF"/>
        </w:rPr>
      </w:pPr>
      <w:r>
        <w:rPr>
          <w:b w:val="0"/>
          <w:noProof/>
          <w:shd w:val="clear" w:color="auto" w:fill="FFFFFF"/>
        </w:rPr>
        <w:t xml:space="preserve">L-għan huwa li tingħata għajnuna lill-Istati Membri biex ineħħu l-miżuri ta’ konfinament biex in-negozji, ix-xogħol u l-ħajja soċjali jerġgħu jibdew f’konformità mal-kriterji epidemjoloġiċi u tas-saħħa pubblika. </w:t>
      </w:r>
    </w:p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Fonts w:eastAsiaTheme="minorHAnsi"/>
          <w:b w:val="0"/>
          <w:noProof/>
          <w:sz w:val="24"/>
          <w:szCs w:val="24"/>
          <w:shd w:val="clear" w:color="auto" w:fill="FFFFFF"/>
        </w:rPr>
      </w:pPr>
    </w:p>
    <w:p w:rsidR="00764E91" w:rsidRDefault="0098050F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Fonts w:eastAsiaTheme="minorHAnsi"/>
          <w:b w:val="0"/>
          <w:noProof/>
          <w:sz w:val="24"/>
          <w:szCs w:val="24"/>
          <w:shd w:val="clear" w:color="auto" w:fill="FFFFFF"/>
        </w:rPr>
      </w:pPr>
      <w:r>
        <w:rPr>
          <w:b w:val="0"/>
          <w:noProof/>
        </w:rPr>
        <w:t xml:space="preserve">Filwaqt li jibni </w:t>
      </w:r>
      <w:r>
        <w:rPr>
          <w:b w:val="0"/>
          <w:noProof/>
        </w:rPr>
        <w:t>fuq il-</w:t>
      </w:r>
      <w:r>
        <w:rPr>
          <w:b w:val="0"/>
          <w:noProof/>
          <w:shd w:val="clear" w:color="auto" w:fill="FFFFFF"/>
        </w:rPr>
        <w:t>Pjan Direzzjonali Konġunt Ewropew lejn it-tneħħija tal-miżuri ta’ konteniment tal-coronavirus</w:t>
      </w:r>
      <w:r>
        <w:rPr>
          <w:rStyle w:val="FootnoteReference"/>
          <w:rFonts w:eastAsiaTheme="minorHAnsi"/>
          <w:b w:val="0"/>
          <w:noProof/>
        </w:rPr>
        <w:footnoteReference w:id="4"/>
      </w:r>
      <w:r>
        <w:rPr>
          <w:b w:val="0"/>
          <w:noProof/>
          <w:shd w:val="clear" w:color="auto" w:fill="FFFFFF"/>
        </w:rPr>
        <w:t>, dan il-qafas koordinat huwa bbażat fuq prinċipji, kriterji u rakkomandazzjonijiet komuni, oġġettivi u nondiskriminatorji biex jiggwida lill-Istati Membri</w:t>
      </w:r>
      <w:r>
        <w:rPr>
          <w:b w:val="0"/>
          <w:noProof/>
          <w:shd w:val="clear" w:color="auto" w:fill="FFFFFF"/>
        </w:rPr>
        <w:t xml:space="preserve">, lill-awtoritajiet kompetenti, lill-korpi tal-industrija, lill-operaturi ekonomiċi u liċ-ċittadini permezz tal-passi li jmiss tal-proċess ta’ dekonfinament. </w:t>
      </w:r>
    </w:p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Fonts w:eastAsiaTheme="minorHAnsi"/>
          <w:noProof/>
          <w:sz w:val="24"/>
          <w:szCs w:val="24"/>
          <w:shd w:val="clear" w:color="auto" w:fill="FFFFFF"/>
        </w:rPr>
      </w:pPr>
    </w:p>
    <w:p w:rsidR="00764E91" w:rsidRDefault="0098050F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Fonts w:eastAsiaTheme="minorHAnsi"/>
          <w:noProof/>
          <w:shd w:val="clear" w:color="auto" w:fill="FFFFFF"/>
        </w:rPr>
      </w:pPr>
      <w:r>
        <w:rPr>
          <w:rStyle w:val="Bodytext412pt"/>
          <w:noProof/>
        </w:rPr>
        <w:t>Madankollu, it-tneħħija tal-miżuri malajr wisq tista’ twassal biex jiżdiedu ħesrem l-għadd ta’ i</w:t>
      </w:r>
      <w:r>
        <w:rPr>
          <w:rStyle w:val="Bodytext412pt"/>
          <w:noProof/>
        </w:rPr>
        <w:t>nfezzjonijiet. Sakemm ikun hemm vaċċin jew trattament disponibbli, il-ħtiġijiet u l-benefiċċji tal-ivvjaġġar u t-turiżmu jridu jintiżnu kontra r-riskji li jiġi ffaċilitat it-tixrid tal-virus u li jfeġġu mill-ġdid il-każijiet, li jistgħu jirrikjedu l-introd</w:t>
      </w:r>
      <w:r>
        <w:rPr>
          <w:rStyle w:val="Bodytext412pt"/>
          <w:noProof/>
        </w:rPr>
        <w:t>uzzjoni mill-ġdid tal-miżuri ta’ konfinament.</w:t>
      </w:r>
      <w:r>
        <w:rPr>
          <w:rStyle w:val="Bodytext412pt"/>
          <w:b/>
          <w:noProof/>
        </w:rPr>
        <w:t xml:space="preserve"> </w:t>
      </w:r>
      <w:r>
        <w:rPr>
          <w:rStyle w:val="Bodytext412pt"/>
          <w:noProof/>
        </w:rPr>
        <w:t xml:space="preserve">Għal din ir-raġuni, il-pjanijiet ta’ tħejjija għandhom ikunu fis-seħħ fil-livelli kollha — mil-livelli tal-UE u dawk nazzjonali ’l isfel sal-livell tal-istabbilimenti individwali, l-operaturi tat-trasport, u </w:t>
      </w:r>
      <w:r>
        <w:rPr>
          <w:rStyle w:val="Bodytext412pt"/>
          <w:noProof/>
        </w:rPr>
        <w:t>segmenti oħra tas-settur tat-turiżmu — sabiex tkun tista’ tittieħed azzjoni xierqa, malajr u b’mod koordinat, fuq il-bażi ta’ kriterji espliċiti.</w:t>
      </w:r>
    </w:p>
    <w:p w:rsidR="00764E91" w:rsidRDefault="00764E91">
      <w:pPr>
        <w:pStyle w:val="Bodytext40"/>
        <w:spacing w:before="0" w:after="0" w:line="240" w:lineRule="auto"/>
        <w:ind w:right="23"/>
        <w:jc w:val="both"/>
        <w:rPr>
          <w:rStyle w:val="Bodytext412pt"/>
          <w:noProof/>
        </w:rPr>
      </w:pPr>
    </w:p>
    <w:p w:rsidR="00764E91" w:rsidRDefault="0098050F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Style w:val="Bodytext412pt"/>
          <w:bCs/>
          <w:noProof/>
        </w:rPr>
      </w:pPr>
      <w:r>
        <w:rPr>
          <w:rStyle w:val="Bodytext412pt"/>
          <w:bCs/>
          <w:noProof/>
        </w:rPr>
        <w:t>Din il-Komunikazzjoni hija akkumpanjata minn pakkett li jipprovdi riassigurazzjoni u ċarezza għan-nies kif uk</w:t>
      </w:r>
      <w:r>
        <w:rPr>
          <w:rStyle w:val="Bodytext412pt"/>
          <w:bCs/>
          <w:noProof/>
        </w:rPr>
        <w:t xml:space="preserve">oll perkors għall-irkupru fil-każ tat-turiżmu u t-trasport, biex jiġi żgurat li l-UE żżomm il-pożizzjoni tagħha bħala l-mexxej dinji għal turiżmu sostenibbli u innovattiv. </w:t>
      </w:r>
    </w:p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Style w:val="Bodytext412pt"/>
          <w:bCs/>
          <w:noProof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38"/>
      </w:tblGrid>
      <w:tr w:rsidR="00764E91">
        <w:tc>
          <w:tcPr>
            <w:tcW w:w="8838" w:type="dxa"/>
            <w:shd w:val="clear" w:color="auto" w:fill="E7E6E6" w:themeFill="background2"/>
          </w:tcPr>
          <w:p w:rsidR="00764E91" w:rsidRDefault="0098050F">
            <w:pPr>
              <w:rPr>
                <w:rStyle w:val="Bodytext412pt"/>
                <w:b w:val="0"/>
                <w:bCs w:val="0"/>
                <w:noProof/>
              </w:rPr>
            </w:pPr>
            <w:r>
              <w:rPr>
                <w:rStyle w:val="Bodytext412pt"/>
                <w:b w:val="0"/>
                <w:bCs w:val="0"/>
                <w:noProof/>
              </w:rPr>
              <w:t>Il-pakkett jiġbor flimkien gwida u rakkomandazzjonijiet biex:</w:t>
            </w:r>
          </w:p>
          <w:p w:rsidR="00764E91" w:rsidRDefault="00764E91">
            <w:pPr>
              <w:rPr>
                <w:rStyle w:val="Bodytext412pt"/>
                <w:b w:val="0"/>
                <w:bCs w:val="0"/>
                <w:noProof/>
              </w:rPr>
            </w:pPr>
          </w:p>
          <w:p w:rsidR="00764E91" w:rsidRDefault="0098050F">
            <w:pPr>
              <w:pStyle w:val="ListParagraph"/>
              <w:numPr>
                <w:ilvl w:val="0"/>
                <w:numId w:val="26"/>
              </w:numPr>
              <w:rPr>
                <w:rStyle w:val="Bodytext412pt"/>
                <w:b w:val="0"/>
                <w:bCs w:val="0"/>
                <w:noProof/>
              </w:rPr>
            </w:pPr>
            <w:r>
              <w:rPr>
                <w:rStyle w:val="Bodytext412pt"/>
                <w:b w:val="0"/>
                <w:bCs w:val="0"/>
                <w:noProof/>
              </w:rPr>
              <w:t>Ir-ritorn tal-movim</w:t>
            </w:r>
            <w:r>
              <w:rPr>
                <w:rStyle w:val="Bodytext412pt"/>
                <w:b w:val="0"/>
                <w:bCs w:val="0"/>
                <w:noProof/>
              </w:rPr>
              <w:t xml:space="preserve">ent liberu mingħajr restrizzjonijiet u l-ftuħ mill-ġdid tal-fruntieri interni b’mod sikur: Gwida dwar ir-ritorn tal-libertà ta’ moviment u t-tneħħija tal-kontrolli fil-fruntieri interni </w:t>
            </w:r>
          </w:p>
          <w:p w:rsidR="00764E91" w:rsidRDefault="0098050F">
            <w:pPr>
              <w:pStyle w:val="ListParagraph"/>
              <w:numPr>
                <w:ilvl w:val="0"/>
                <w:numId w:val="26"/>
              </w:numPr>
              <w:rPr>
                <w:rStyle w:val="Bodytext412pt"/>
                <w:b w:val="0"/>
                <w:bCs w:val="0"/>
                <w:noProof/>
              </w:rPr>
            </w:pPr>
            <w:r>
              <w:rPr>
                <w:rStyle w:val="Bodytext412pt"/>
                <w:b w:val="0"/>
                <w:bCs w:val="0"/>
                <w:noProof/>
              </w:rPr>
              <w:t xml:space="preserve">It-trasport u l-konnettività jerġgħu jibdew jitħaddmu b’mod sikur: </w:t>
            </w:r>
            <w:r>
              <w:rPr>
                <w:rStyle w:val="Bodytext412pt"/>
                <w:b w:val="0"/>
                <w:bCs w:val="0"/>
                <w:noProof/>
              </w:rPr>
              <w:t>Gwida dwar it-trasport</w:t>
            </w:r>
          </w:p>
          <w:p w:rsidR="00764E91" w:rsidRDefault="0098050F">
            <w:pPr>
              <w:pStyle w:val="ListParagraph"/>
              <w:numPr>
                <w:ilvl w:val="0"/>
                <w:numId w:val="26"/>
              </w:numPr>
              <w:rPr>
                <w:rStyle w:val="Bodytext412pt"/>
                <w:b w:val="0"/>
                <w:bCs w:val="0"/>
                <w:noProof/>
              </w:rPr>
            </w:pPr>
            <w:r>
              <w:rPr>
                <w:rStyle w:val="Bodytext412pt"/>
                <w:b w:val="0"/>
                <w:bCs w:val="0"/>
                <w:noProof/>
              </w:rPr>
              <w:t>Jerġgħu jibdew is-servizzi tat-turiżmu b’mod sikur: Gwida dwar it-turiżmu, b’mod partikolari l-ospitalità</w:t>
            </w:r>
          </w:p>
          <w:p w:rsidR="00764E91" w:rsidRDefault="0098050F">
            <w:pPr>
              <w:pStyle w:val="ListParagraph"/>
              <w:numPr>
                <w:ilvl w:val="0"/>
                <w:numId w:val="26"/>
              </w:numPr>
              <w:rPr>
                <w:rStyle w:val="Bodytext412pt"/>
                <w:bCs w:val="0"/>
                <w:noProof/>
              </w:rPr>
            </w:pPr>
            <w:r>
              <w:rPr>
                <w:rStyle w:val="Bodytext412pt"/>
                <w:b w:val="0"/>
                <w:bCs w:val="0"/>
                <w:noProof/>
              </w:rPr>
              <w:t>Tiġi indirizzata l-kriżi tal-likwidità u tinbena mill-ġdid il-fiduċja tal-konsumatur: Rakkomandazzjoni dwar il-vouchers</w:t>
            </w:r>
          </w:p>
        </w:tc>
      </w:tr>
    </w:tbl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Style w:val="Bodytext412pt"/>
          <w:bCs/>
          <w:noProof/>
        </w:rPr>
      </w:pPr>
    </w:p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Style w:val="Bodytext412pt"/>
          <w:bCs/>
          <w:noProof/>
        </w:rPr>
      </w:pPr>
    </w:p>
    <w:p w:rsidR="00764E91" w:rsidRDefault="0098050F">
      <w:pPr>
        <w:pStyle w:val="Bodytext40"/>
        <w:numPr>
          <w:ilvl w:val="0"/>
          <w:numId w:val="22"/>
        </w:numPr>
        <w:shd w:val="clear" w:color="auto" w:fill="auto"/>
        <w:spacing w:before="0" w:after="0" w:line="240" w:lineRule="auto"/>
        <w:ind w:right="20"/>
        <w:jc w:val="left"/>
        <w:rPr>
          <w:rStyle w:val="Bodytext412pt"/>
          <w:b/>
          <w:noProof/>
        </w:rPr>
      </w:pPr>
      <w:r>
        <w:rPr>
          <w:rStyle w:val="Bodytext412pt"/>
          <w:b/>
          <w:noProof/>
        </w:rPr>
        <w:t>NAGĦ</w:t>
      </w:r>
      <w:r>
        <w:rPr>
          <w:rStyle w:val="Bodytext412pt"/>
          <w:b/>
          <w:noProof/>
        </w:rPr>
        <w:t>TU LIN-NIES IL-KAPAĊITÀ, IL-FIDUĊJA U S-SIKUREZZA LI JIVVJAĠĠAW MILL-ĠDID</w:t>
      </w:r>
    </w:p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jc w:val="left"/>
        <w:rPr>
          <w:rStyle w:val="Bodytext412pt"/>
          <w:b/>
          <w:noProof/>
        </w:rPr>
      </w:pPr>
    </w:p>
    <w:p w:rsidR="00764E91" w:rsidRDefault="0098050F">
      <w:pPr>
        <w:pStyle w:val="Heading210"/>
        <w:keepNext/>
        <w:keepLines/>
        <w:shd w:val="clear" w:color="auto" w:fill="auto"/>
        <w:tabs>
          <w:tab w:val="left" w:pos="765"/>
        </w:tabs>
        <w:spacing w:before="0" w:after="0" w:line="240" w:lineRule="auto"/>
        <w:jc w:val="both"/>
        <w:rPr>
          <w:b w:val="0"/>
          <w:noProof/>
        </w:rPr>
      </w:pPr>
      <w:r>
        <w:rPr>
          <w:b w:val="0"/>
          <w:noProof/>
        </w:rPr>
        <w:t xml:space="preserve">Ħafna Ewropej huma ħerqana li jsiefru u li jieħdu pawża matul ix-xhur tas-sajf iżda jridu jkunu żguri wkoll li jkunu jistgħu jivvjaġġaw u jqattgħu l-vaganzi tagħhom b’mod sikur. </w:t>
      </w:r>
    </w:p>
    <w:p w:rsidR="00764E91" w:rsidRDefault="00764E91">
      <w:pPr>
        <w:pStyle w:val="Heading210"/>
        <w:keepNext/>
        <w:keepLines/>
        <w:shd w:val="clear" w:color="auto" w:fill="auto"/>
        <w:tabs>
          <w:tab w:val="left" w:pos="765"/>
        </w:tabs>
        <w:spacing w:before="0" w:after="0" w:line="240" w:lineRule="auto"/>
        <w:jc w:val="both"/>
        <w:rPr>
          <w:b w:val="0"/>
          <w:noProof/>
        </w:rPr>
      </w:pPr>
    </w:p>
    <w:p w:rsidR="00764E91" w:rsidRDefault="0098050F">
      <w:pPr>
        <w:pStyle w:val="Bodytext50"/>
        <w:shd w:val="clear" w:color="auto" w:fill="auto"/>
        <w:tabs>
          <w:tab w:val="left" w:pos="422"/>
        </w:tabs>
        <w:spacing w:before="0" w:after="0" w:line="240" w:lineRule="auto"/>
        <w:rPr>
          <w:b w:val="0"/>
          <w:noProof/>
          <w:sz w:val="24"/>
          <w:szCs w:val="24"/>
        </w:rPr>
      </w:pPr>
      <w:r>
        <w:rPr>
          <w:noProof/>
        </w:rPr>
        <w:t>a.</w:t>
      </w:r>
      <w:r>
        <w:rPr>
          <w:noProof/>
        </w:rPr>
        <w:tab/>
        <w:t xml:space="preserve">Ir-ritorn tal-moviment liberu mingħajr restrizzjonijiet u l-ftuħ mill-ġdid tal-fruntieri interni b’mod sikur </w:t>
      </w:r>
    </w:p>
    <w:p w:rsidR="00764E91" w:rsidRDefault="0098050F">
      <w:pPr>
        <w:pStyle w:val="Bodytext30"/>
        <w:shd w:val="clear" w:color="auto" w:fill="auto"/>
        <w:spacing w:line="240" w:lineRule="auto"/>
        <w:rPr>
          <w:rStyle w:val="Bodytext412pt"/>
          <w:b w:val="0"/>
          <w:bCs w:val="0"/>
          <w:noProof/>
        </w:rPr>
      </w:pPr>
      <w:r>
        <w:rPr>
          <w:noProof/>
        </w:rPr>
        <w:t>Sa mill-bidu tal-pandemija, prattikament l-Istati Membri kollha implimentaw restrizzjonijiet fuq l-ivvjaġġar mhux essenzjali, spiss akkumpanjat</w:t>
      </w:r>
      <w:r>
        <w:rPr>
          <w:noProof/>
        </w:rPr>
        <w:t>i minn rekwiżiti għal vjaġġaturi transfruntiera biex jibqgħu fi kwarantina. Il-fruntieri esterni tal-UE ngħalqu għall-vjaġġi mhux essenzjali u ħafna Stati Membri reġgħu daħħlu temporanjament il-kontrolli fil-fruntieri interni. Dan fisser li miljuni ta’ ċit</w:t>
      </w:r>
      <w:r>
        <w:rPr>
          <w:noProof/>
        </w:rPr>
        <w:t xml:space="preserve">tadini Ewropej f’daqqa </w:t>
      </w:r>
      <w:r>
        <w:rPr>
          <w:noProof/>
        </w:rPr>
        <w:lastRenderedPageBreak/>
        <w:t>waħda ma setgħux jivvjaġġaw għal xogħol, edukazzjoni jew divertiment</w:t>
      </w:r>
      <w:r>
        <w:rPr>
          <w:rStyle w:val="FootnoteReference"/>
          <w:noProof/>
        </w:rPr>
        <w:footnoteReference w:id="5"/>
      </w:r>
      <w:r>
        <w:rPr>
          <w:noProof/>
        </w:rPr>
        <w:t>, u ħafna minnhom ġew isseparati mill-familji u l-ħbieb tagħhom għal xhur.</w:t>
      </w:r>
    </w:p>
    <w:p w:rsidR="00764E91" w:rsidRDefault="00764E91">
      <w:pPr>
        <w:pStyle w:val="Bodytext50"/>
        <w:shd w:val="clear" w:color="auto" w:fill="auto"/>
        <w:tabs>
          <w:tab w:val="left" w:pos="422"/>
        </w:tabs>
        <w:spacing w:before="0" w:after="0" w:line="240" w:lineRule="auto"/>
        <w:rPr>
          <w:noProof/>
          <w:sz w:val="24"/>
          <w:szCs w:val="24"/>
        </w:rPr>
      </w:pPr>
    </w:p>
    <w:p w:rsidR="00764E91" w:rsidRDefault="0098050F">
      <w:pPr>
        <w:pStyle w:val="Bodytext50"/>
        <w:tabs>
          <w:tab w:val="left" w:pos="422"/>
        </w:tabs>
        <w:rPr>
          <w:noProof/>
          <w:sz w:val="24"/>
          <w:szCs w:val="24"/>
        </w:rPr>
      </w:pPr>
      <w:r>
        <w:rPr>
          <w:b w:val="0"/>
          <w:noProof/>
        </w:rPr>
        <w:t>It-turiżmu Ewropew jiddependi fuq il-possibbiltà li l-Ewropej jiċċaqalqu b’mod liberu ma</w:t>
      </w:r>
      <w:r>
        <w:rPr>
          <w:b w:val="0"/>
          <w:noProof/>
        </w:rPr>
        <w:t xml:space="preserve">dwar l-UE. </w:t>
      </w:r>
    </w:p>
    <w:p w:rsidR="00764E91" w:rsidRDefault="0098050F">
      <w:pPr>
        <w:pStyle w:val="Bodytext50"/>
        <w:tabs>
          <w:tab w:val="left" w:pos="422"/>
        </w:tabs>
        <w:rPr>
          <w:b w:val="0"/>
          <w:noProof/>
          <w:sz w:val="24"/>
          <w:szCs w:val="24"/>
        </w:rPr>
      </w:pPr>
      <w:r>
        <w:rPr>
          <w:noProof/>
        </w:rPr>
        <w:t>Il-Komunikazzjoni “Lejn approċċ gradwali u kkoordinat għar-ritorn tal-libertà ta' moviment u t-tneħħija tal-kontrolli fil-fruntieri interni”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</w:t>
      </w:r>
      <w:r>
        <w:rPr>
          <w:b w:val="0"/>
          <w:noProof/>
        </w:rPr>
        <w:t>- adottata mill-Kummissjoni bħala parti minn dan il-pakkett — tipprovdi rakkomandazzjonijiet għat-tneħ</w:t>
      </w:r>
      <w:r>
        <w:rPr>
          <w:b w:val="0"/>
          <w:noProof/>
        </w:rPr>
        <w:t>ħija gradwali tar-restrizzjonijiet fuq il-moviment liberu u tal-kontrolli fil-fruntieri interni madwar l-UE.  Tipproponi approċċ f’fażijiet flessibbli, li jirrikjedi koordinazzjoni mill-qrib bejn l-Istati Membri u l-Kummissjoni bil-għan li gradwalment jitn</w:t>
      </w:r>
      <w:r>
        <w:rPr>
          <w:b w:val="0"/>
          <w:noProof/>
        </w:rPr>
        <w:t>eħħew il-kontrolli fil-fruntieri biex tiġi żgurata</w:t>
      </w:r>
      <w:r>
        <w:rPr>
          <w:noProof/>
        </w:rPr>
        <w:t xml:space="preserve"> l-libertà tal-moviment mingħajr restrizzjonijiet </w:t>
      </w:r>
      <w:r>
        <w:rPr>
          <w:b w:val="0"/>
          <w:noProof/>
        </w:rPr>
        <w:t>madwar l-UE</w:t>
      </w:r>
      <w:r>
        <w:rPr>
          <w:noProof/>
        </w:rPr>
        <w:t xml:space="preserve"> u terġa’ tiġi stabbilita l-integrità taż-żona Schengen</w:t>
      </w:r>
      <w:r>
        <w:rPr>
          <w:b w:val="0"/>
          <w:noProof/>
        </w:rPr>
        <w:t xml:space="preserve"> . </w:t>
      </w:r>
    </w:p>
    <w:p w:rsidR="00764E91" w:rsidRDefault="0098050F">
      <w:pPr>
        <w:jc w:val="both"/>
        <w:rPr>
          <w:noProof/>
        </w:rPr>
      </w:pPr>
      <w:r>
        <w:rPr>
          <w:noProof/>
        </w:rPr>
        <w:t>Hekk kif l-Istati Membri jirnexxilhom inaqqsu ċ-ċirkolazzjoni tal-virus, ir-restrizzjo</w:t>
      </w:r>
      <w:r>
        <w:rPr>
          <w:noProof/>
        </w:rPr>
        <w:t>nijiet ġenerali għall-moviment liberu lejn u minn żoni jew reġjuni oħra fi Stati Membri li għandhom profil ta’ riskju ġenerali simili għandhom jiġu sostitwiti b’miżuri aktar immirati, filwaqt li jiġu żgurati miżuri ta’ tbegħid fiżiku u t-traċċar u l-ittest</w:t>
      </w:r>
      <w:r>
        <w:rPr>
          <w:noProof/>
        </w:rPr>
        <w:t xml:space="preserve">jar effettivi ta’ kwalunkwe każ suspettat.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F’konformità mal-Pjan Direzzjonali Konġunt Ewropew, fi ħdan l-UE, ir-restrizzjonijiet fuq l-ivvjaġġar għandhom l-ewwel jitneħħew f’żoni b’sitwazzjoni epidemjoloġika komparabbli u fejn hemm biżżejjed kapaċitajiet</w:t>
      </w:r>
      <w:r>
        <w:rPr>
          <w:noProof/>
        </w:rPr>
        <w:t xml:space="preserve"> fis-seħħ f’termini ta’ kapaċitajiet ta’ sptarijiet, ittestjar, sorveljanza u traċċar ta’ kuntatti. Barra minn hekk, iċ-Ċentru Ewropew għall-Prevenzjoni u l-Kontroll tal-Mard (ECDC), b’kooperazzjoni mal-Istati Membri u ċ-Ċentru Konġunt tar-Riċerka, qed jiż</w:t>
      </w:r>
      <w:r>
        <w:rPr>
          <w:noProof/>
        </w:rPr>
        <w:t xml:space="preserve">viluppa u se jżomm mappa tal-livell tat-trażmissjoni tal-COVID-19 u jkompli jaġġornaha b’mod regolari, inkluż fil-livell subnazzjonali. L-Istati Membri huma mistiedna jipprovdu </w:t>
      </w:r>
      <w:r>
        <w:rPr>
          <w:i/>
          <w:noProof/>
        </w:rPr>
        <w:t>data</w:t>
      </w:r>
      <w:r>
        <w:rPr>
          <w:noProof/>
        </w:rPr>
        <w:t xml:space="preserve"> biex jiżguraw li din il-mappa tkun kompluta, aġġornata u sservi bħala għodda trasparenti biex tiġi pprovduta informazzjoni fil-livell tal-UE li għandha tintuża mill-awtoritajiet, mill-operaturi tat-trasport, mill-fornituri tas-servizzi, u mill-vjaġġaturi.</w:t>
      </w:r>
      <w:r>
        <w:rPr>
          <w:noProof/>
        </w:rPr>
        <w:t xml:space="preserve">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b/>
          <w:noProof/>
        </w:rPr>
        <w:t>Għat-tneħħija gradwali tar-restrizzjonijiet għall-moviment liberu u għat-tneħħija tal-fruntieri interni, għandhom jiġu żgurati l-proporzjonalità u n-nondiskriminazzjoni bejn iċ-ċittadini tal-UE</w:t>
      </w:r>
      <w:r>
        <w:rPr>
          <w:noProof/>
        </w:rPr>
        <w:t>. Meta Stat Membru jneħħi r-restrizzjonijiet tiegħu għall-mo</w:t>
      </w:r>
      <w:r>
        <w:rPr>
          <w:noProof/>
        </w:rPr>
        <w:t>viment lejn u minn ċerti reġjuni jew żoni fi Stat Membru ieħor, għal raġunijiet epidemjoloġiċi, dan għandu japplika, mingħajr diskriminazzjoni, għall-persuni kollha li jgħixu f’dawn it-territorji, irrispettivament minn jekk humiex ċittadini tal-Istati Memb</w:t>
      </w:r>
      <w:r>
        <w:rPr>
          <w:noProof/>
        </w:rPr>
        <w:t>ri kkonċernati jew le</w:t>
      </w:r>
      <w:r>
        <w:rPr>
          <w:rStyle w:val="FootnoteReference"/>
          <w:noProof/>
        </w:rPr>
        <w:footnoteReference w:id="7"/>
      </w:r>
      <w:r>
        <w:rPr>
          <w:noProof/>
        </w:rPr>
        <w:t>, u għandu japplika għall-partijiet kollha tal-Unjoni f’sitwazzjoni epidemjoloġika simili. Għaċ-ċittadin komuni, dan ikun ifisser li jkun jaf biċ-ċar fejn jista’ jivvjaġġa, u b’hekk ikun jista’ jippjana.</w:t>
      </w:r>
    </w:p>
    <w:p w:rsidR="00764E91" w:rsidRDefault="00764E91">
      <w:pPr>
        <w:pStyle w:val="Bodytext50"/>
        <w:shd w:val="clear" w:color="auto" w:fill="auto"/>
        <w:tabs>
          <w:tab w:val="left" w:pos="422"/>
        </w:tabs>
        <w:spacing w:before="0" w:after="0" w:line="240" w:lineRule="auto"/>
        <w:rPr>
          <w:noProof/>
        </w:rPr>
      </w:pPr>
    </w:p>
    <w:p w:rsidR="00764E91" w:rsidRDefault="00764E91">
      <w:pPr>
        <w:pStyle w:val="Bodytext50"/>
        <w:shd w:val="clear" w:color="auto" w:fill="auto"/>
        <w:tabs>
          <w:tab w:val="left" w:pos="422"/>
        </w:tabs>
        <w:spacing w:before="0" w:after="0" w:line="240" w:lineRule="auto"/>
        <w:rPr>
          <w:noProof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38"/>
      </w:tblGrid>
      <w:tr w:rsidR="00764E91">
        <w:trPr>
          <w:trHeight w:val="1966"/>
        </w:trPr>
        <w:tc>
          <w:tcPr>
            <w:tcW w:w="8838" w:type="dxa"/>
            <w:shd w:val="clear" w:color="auto" w:fill="E7E6E6" w:themeFill="background2"/>
          </w:tcPr>
          <w:p w:rsidR="00764E91" w:rsidRDefault="0098050F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lastRenderedPageBreak/>
              <w:t>Il-Kummissjoni qed tipprovdi</w:t>
            </w:r>
            <w:r>
              <w:rPr>
                <w:i/>
                <w:noProof/>
              </w:rPr>
              <w:t xml:space="preserve"> gwida lill-Istati Membri sabiex ikunu jistgħu jneħħu r-restrizzjonijiet għall-moviment liberu u l-kontrolli fil-fruntieri interni b’mod gradwali u kkoordinat. </w:t>
            </w:r>
          </w:p>
          <w:p w:rsidR="00764E91" w:rsidRDefault="00764E91">
            <w:pPr>
              <w:jc w:val="both"/>
              <w:rPr>
                <w:i/>
                <w:noProof/>
              </w:rPr>
            </w:pPr>
          </w:p>
          <w:p w:rsidR="00764E91" w:rsidRDefault="0098050F">
            <w:pPr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L-iskambju ta’ informazzjoni u l-aħjar prattiki bejn il-Kummissjoni u l-Istati Membri, inkluż </w:t>
            </w:r>
            <w:r>
              <w:rPr>
                <w:bCs/>
                <w:i/>
                <w:noProof/>
              </w:rPr>
              <w:t>fil-“Grupp ta’ Informazzjoni COVID-19 — Affarijiet Interni”, se jkompli jiffaċilita dan il-proċess.</w:t>
            </w:r>
          </w:p>
          <w:p w:rsidR="00764E91" w:rsidRDefault="00764E91">
            <w:pPr>
              <w:jc w:val="both"/>
              <w:rPr>
                <w:i/>
                <w:noProof/>
              </w:rPr>
            </w:pPr>
          </w:p>
          <w:p w:rsidR="00764E91" w:rsidRDefault="0098050F">
            <w:pPr>
              <w:jc w:val="both"/>
              <w:rPr>
                <w:b/>
                <w:i/>
                <w:noProof/>
              </w:rPr>
            </w:pPr>
            <w:r>
              <w:rPr>
                <w:i/>
                <w:noProof/>
              </w:rPr>
              <w:t>Il-Kummissjoni tistieden lill-Istati Membri biex jipprovdu data lill-ECDC biex jiżguraw li l-mappa tal-livell ta’ trażmissjoni tal-COVID-19 fil-livell subn</w:t>
            </w:r>
            <w:r>
              <w:rPr>
                <w:i/>
                <w:noProof/>
              </w:rPr>
              <w:t>azzjonali tkun kompluta u aġġornata.</w:t>
            </w:r>
          </w:p>
        </w:tc>
      </w:tr>
    </w:tbl>
    <w:p w:rsidR="00764E91" w:rsidRDefault="00764E91">
      <w:pPr>
        <w:rPr>
          <w:noProof/>
        </w:rPr>
      </w:pPr>
    </w:p>
    <w:p w:rsidR="00764E91" w:rsidRDefault="0098050F">
      <w:pPr>
        <w:pStyle w:val="Bodytext50"/>
        <w:shd w:val="clear" w:color="auto" w:fill="auto"/>
        <w:tabs>
          <w:tab w:val="left" w:pos="422"/>
        </w:tabs>
        <w:spacing w:before="0" w:after="0" w:line="240" w:lineRule="auto"/>
        <w:rPr>
          <w:b w:val="0"/>
          <w:noProof/>
          <w:sz w:val="24"/>
          <w:szCs w:val="24"/>
        </w:rPr>
      </w:pPr>
      <w:r>
        <w:rPr>
          <w:noProof/>
        </w:rPr>
        <w:t>b)</w:t>
      </w:r>
      <w:r>
        <w:rPr>
          <w:noProof/>
        </w:rPr>
        <w:tab/>
        <w:t>Jerġgħu jibdew is-servizzi tat-trasport b’mod sikur</w:t>
      </w:r>
    </w:p>
    <w:p w:rsidR="00764E91" w:rsidRDefault="00764E91">
      <w:pPr>
        <w:pStyle w:val="Bodytext50"/>
        <w:shd w:val="clear" w:color="auto" w:fill="auto"/>
        <w:tabs>
          <w:tab w:val="left" w:pos="422"/>
        </w:tabs>
        <w:spacing w:before="0" w:after="0" w:line="240" w:lineRule="auto"/>
        <w:rPr>
          <w:b w:val="0"/>
          <w:noProof/>
          <w:sz w:val="24"/>
          <w:szCs w:val="24"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Bil-</w:t>
      </w:r>
      <w:r>
        <w:rPr>
          <w:b/>
          <w:noProof/>
        </w:rPr>
        <w:t>Komunikazzjoni “COVID-19</w:t>
      </w:r>
      <w:r>
        <w:rPr>
          <w:noProof/>
        </w:rPr>
        <w:t>:</w:t>
      </w:r>
      <w:r>
        <w:rPr>
          <w:b/>
          <w:noProof/>
        </w:rPr>
        <w:t xml:space="preserve"> Linji gwida dwar ir-ritorn progressiv tas-servizzi tat-trasport u l-konnettività”</w:t>
      </w:r>
      <w:r>
        <w:rPr>
          <w:rStyle w:val="FootnoteReference"/>
          <w:b/>
          <w:noProof/>
        </w:rPr>
        <w:footnoteReference w:id="8"/>
      </w:r>
      <w:r>
        <w:rPr>
          <w:noProof/>
        </w:rPr>
        <w:t xml:space="preserve">, il-Kummissjoni qed tipprovdi gwida bbażata fuq qafas ta’ prinċipji u sett ta’ għodod komuni.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Dan se jgħin biex jerġgħu jibdew jaħdmu s-servizzi tat-trasport ta’ kull tip madwar l-UE b’mod konsistenti u li jinftiehem: it-teħid ta’ miżuri kkoordinati u b</w:t>
      </w:r>
      <w:r>
        <w:rPr>
          <w:noProof/>
        </w:rPr>
        <w:t>bażati fuq ir-riskju li huma nondiskriminatorji u proporzjonati, limitati fil-kamp ta’ applikazzjoni u fit-tul għal dak li huwa meħtieġ biex tiġi protetta s-saħħa pubblika; it-teħid ta’ miżuri mmirati minflok projbizzjonijiet ġenerali; it-tneħħija ta’ rest</w:t>
      </w:r>
      <w:r>
        <w:rPr>
          <w:noProof/>
        </w:rPr>
        <w:t xml:space="preserve">rizzjonijiet fuq it-trasport individwalizzat; u t-tisħiħ tal-għażliet tat-trasport kollettiv aktar sikur.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Il-Kummissjoni se taħdem biex tiżgura li l-miżuri li jittieħdu fl-Istati Membri jkunu kompatibbli, koordinati u aċċettati b’mod reċiproku bejn il-fr</w:t>
      </w:r>
      <w:r>
        <w:rPr>
          <w:noProof/>
        </w:rPr>
        <w:t>untieri u bejn ir-reġjuni. Għal darb’oħra, dan se jagħti lin-nies aktar libertà, sikurezza u ċertezza biex jivvjaġġaw.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Dawn il-Linji Gwida jindirizzaw ukoll kif trid tiġi protetta s-saħħa tal-ħaddiema tat-trasport u tal-passiġġieri, u kif irid jitnaqqas i</w:t>
      </w:r>
      <w:r>
        <w:rPr>
          <w:noProof/>
        </w:rPr>
        <w:t>r-riskju ta’ infezzjonijiet fiċ-ċentri tat-trasport u fil-vetturi f’kull mezz tat-trasport. Filwaqt li wieħed iqis l-iżvilupp ta’ ċirkostanzi epidemjoloġiċi u ta’ ħtiġijiet ta’ konnettività li qed jinbidlu, l-Istati Membri se jkollhom bżonn jaġġustaw il-mi</w:t>
      </w:r>
      <w:r>
        <w:rPr>
          <w:noProof/>
        </w:rPr>
        <w:t>żuri b’mod proattiv biex jiżguraw il-bilanċ ġust bejn il-protezzjoni tas-saħħa pubblika u t-tħaddim mill-ġdid tas-servizzi tat-trasport, b’rabta ma’ attivitajiet ekonomiċi oħra, bħat-turiżmu. L-Aġenzija Ewropea għas-Saħħa u s-Sigurtà fuq il-Post tax-Xogħol</w:t>
      </w:r>
      <w:r>
        <w:rPr>
          <w:noProof/>
        </w:rPr>
        <w:t xml:space="preserve"> (OSHA) ippubblikat ukoll miżuri ġenerali ta’ saħħa u sikurezza fuq il-post tax-xogħol fir-rigward tar-ritorn lejn il-postijiet tax-xogħol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</w:t>
      </w:r>
    </w:p>
    <w:p w:rsidR="00764E91" w:rsidRDefault="00764E91">
      <w:pPr>
        <w:jc w:val="both"/>
        <w:rPr>
          <w:noProof/>
        </w:rPr>
      </w:pPr>
    </w:p>
    <w:p w:rsidR="00764E91" w:rsidRDefault="00764E91">
      <w:pPr>
        <w:jc w:val="both"/>
        <w:rPr>
          <w:noProof/>
        </w:rPr>
      </w:pPr>
    </w:p>
    <w:tbl>
      <w:tblPr>
        <w:tblStyle w:val="TableGrid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730"/>
      </w:tblGrid>
      <w:tr w:rsidR="00764E91">
        <w:tc>
          <w:tcPr>
            <w:tcW w:w="8730" w:type="dxa"/>
            <w:shd w:val="clear" w:color="auto" w:fill="E7E6E6" w:themeFill="background2"/>
          </w:tcPr>
          <w:p w:rsidR="00764E91" w:rsidRDefault="0098050F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Il-Kummissjoni qed tipprovdi gwida lill-Istati Membri dwar kif għandhom jerġgħu jibdew jitħaddmu s-servizzi tat-</w:t>
            </w:r>
            <w:r>
              <w:rPr>
                <w:i/>
                <w:noProof/>
              </w:rPr>
              <w:t xml:space="preserve">trasport u l-konnettività b’mod progressiv u b’mod koordinat. </w:t>
            </w:r>
          </w:p>
          <w:p w:rsidR="00764E91" w:rsidRDefault="00764E91">
            <w:pPr>
              <w:rPr>
                <w:noProof/>
              </w:rPr>
            </w:pPr>
          </w:p>
        </w:tc>
      </w:tr>
    </w:tbl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jc w:val="both"/>
        <w:rPr>
          <w:rStyle w:val="Bodytext412pt"/>
          <w:b/>
          <w:bCs/>
          <w:noProof/>
        </w:rPr>
      </w:pPr>
    </w:p>
    <w:p w:rsidR="00764E91" w:rsidRDefault="0098050F">
      <w:pPr>
        <w:pStyle w:val="Bodytext40"/>
        <w:spacing w:before="0" w:after="240"/>
        <w:ind w:right="23"/>
        <w:jc w:val="both"/>
        <w:rPr>
          <w:rStyle w:val="Bodytext412pt"/>
          <w:b/>
          <w:noProof/>
        </w:rPr>
      </w:pPr>
      <w:r>
        <w:rPr>
          <w:rStyle w:val="Bodytext412pt"/>
          <w:b/>
          <w:noProof/>
        </w:rPr>
        <w:lastRenderedPageBreak/>
        <w:t>c.</w:t>
      </w:r>
      <w:r>
        <w:rPr>
          <w:rStyle w:val="Bodytext412pt"/>
          <w:b/>
          <w:noProof/>
        </w:rPr>
        <w:tab/>
        <w:t>Jerġgħu jibdew is-servizzi tat-turiżmu bl-inqas riskji għas-saħħa</w:t>
      </w:r>
    </w:p>
    <w:p w:rsidR="00764E91" w:rsidRDefault="0098050F">
      <w:pPr>
        <w:jc w:val="both"/>
        <w:rPr>
          <w:noProof/>
        </w:rPr>
      </w:pPr>
      <w:r>
        <w:rPr>
          <w:noProof/>
        </w:rPr>
        <w:t>Permezz tal-</w:t>
      </w:r>
      <w:r>
        <w:rPr>
          <w:b/>
          <w:noProof/>
        </w:rPr>
        <w:t xml:space="preserve">Komunikazzjoni “COVID-19: Gwida tal-UE biex jerġgħu jibdew progressivament is-servizzi tat-turiżmu u </w:t>
      </w:r>
      <w:r>
        <w:rPr>
          <w:b/>
          <w:noProof/>
        </w:rPr>
        <w:t>għall-protokolli tas-saħħa fi stabbilimenti tal-ospitalità”</w:t>
      </w:r>
      <w:r>
        <w:rPr>
          <w:rStyle w:val="FootnoteReference"/>
          <w:b/>
          <w:noProof/>
        </w:rPr>
        <w:footnoteReference w:id="10"/>
      </w:r>
      <w:r>
        <w:rPr>
          <w:noProof/>
        </w:rPr>
        <w:t>, il-Kummissjoni tistabbilixxi prinċipji biex jiggwidaw lill-Istati Membri dwar kif għandhom jerġgħu jibdew l-attivitajiet tat-turiżmu u dwar il-protokolli relatati mal-COVID-19 għall-istabbilimen</w:t>
      </w:r>
      <w:r>
        <w:rPr>
          <w:noProof/>
        </w:rPr>
        <w:t xml:space="preserve">ti tal-ospitalità li jnaqqsu r-riskji ta’ infezzjoni kemm għall-klijenti kif ukoll għall-persunal ospitanti.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Din il-Gwida hija bbażata fuq il-parir tal-ECDC u tfittex li tipproteġi lit-turisti u lill-ħaddiema, filwaqt li jiġu rrispettati r-regoli tas-saħ</w:t>
      </w:r>
      <w:r>
        <w:rPr>
          <w:noProof/>
        </w:rPr>
        <w:t>ħa pubblika u l-miżuri ta’ tbegħid soċjali fis-seħħ fl-Istati Membri. Dawn il-miżuri għandhom ikunu flessibbli, skont is-sitwazzjoni lokali tas-saħħa u jippermettu ftuħ mill-ġdid gradwali ta’ segmenti tat-turiżmu. Il-Gwida tipproponi sett minimu ta’ prinċi</w:t>
      </w:r>
      <w:r>
        <w:rPr>
          <w:noProof/>
        </w:rPr>
        <w:t xml:space="preserve">pji, li fl-istess ħin jissodisfaw rekwiżiti rigorużi ta’ saħħa u sikurezza, u tenfasizza l-importanza ta’ informazzjoni aġġornata u faċilment aċċessibbli għall-vjaġġaturi.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Għan-nies dan se jfisser li se jkun hemm regoli raġonevoli li jkunu jinftiehmu b’m</w:t>
      </w:r>
      <w:r>
        <w:rPr>
          <w:noProof/>
        </w:rPr>
        <w:t>od ċar li jippermettulhom b’mod sikur li: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pStyle w:val="ListParagraph"/>
        <w:numPr>
          <w:ilvl w:val="0"/>
          <w:numId w:val="29"/>
        </w:numPr>
        <w:jc w:val="both"/>
        <w:rPr>
          <w:noProof/>
        </w:rPr>
      </w:pPr>
      <w:r>
        <w:rPr>
          <w:noProof/>
        </w:rPr>
        <w:t>Joqogħdu f’lukandi, siti tal-ikkampjar, Bed &amp; Breakfasts jew stabbilimenti oħra tal- akkomodazzjoni turistika;</w:t>
      </w:r>
    </w:p>
    <w:p w:rsidR="00764E91" w:rsidRDefault="0098050F">
      <w:pPr>
        <w:pStyle w:val="ListParagraph"/>
        <w:numPr>
          <w:ilvl w:val="0"/>
          <w:numId w:val="29"/>
        </w:numPr>
        <w:jc w:val="both"/>
        <w:rPr>
          <w:noProof/>
        </w:rPr>
      </w:pPr>
      <w:r>
        <w:rPr>
          <w:noProof/>
        </w:rPr>
        <w:t>Jieklu u jixorbu fir-ristoranti, il-barijiet u l-kafetteriji;</w:t>
      </w:r>
    </w:p>
    <w:p w:rsidR="00764E91" w:rsidRDefault="0098050F">
      <w:pPr>
        <w:pStyle w:val="ListParagraph"/>
        <w:numPr>
          <w:ilvl w:val="0"/>
          <w:numId w:val="29"/>
        </w:numPr>
        <w:jc w:val="both"/>
        <w:rPr>
          <w:noProof/>
        </w:rPr>
      </w:pPr>
      <w:r>
        <w:rPr>
          <w:noProof/>
        </w:rPr>
        <w:t xml:space="preserve">Imorru l-bajjiet u żoni oħra ta’ </w:t>
      </w:r>
      <w:r>
        <w:rPr>
          <w:noProof/>
        </w:rPr>
        <w:t>divertiment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 w:rsidR="00764E91" w:rsidRDefault="00764E91">
      <w:pPr>
        <w:rPr>
          <w:noProof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38"/>
      </w:tblGrid>
      <w:tr w:rsidR="00764E91">
        <w:tc>
          <w:tcPr>
            <w:tcW w:w="8838" w:type="dxa"/>
            <w:shd w:val="clear" w:color="auto" w:fill="E7E6E6" w:themeFill="background2"/>
          </w:tcPr>
          <w:p w:rsidR="00764E91" w:rsidRDefault="0098050F">
            <w:pPr>
              <w:rPr>
                <w:i/>
                <w:noProof/>
              </w:rPr>
            </w:pPr>
            <w:r>
              <w:rPr>
                <w:i/>
                <w:noProof/>
              </w:rPr>
              <w:t>Il-Kummissjoni qed tipprovdi gwida lill-Istati Membri dwar kif għandhom jerġgħu jibdew b’mod progressiv is-servizzi tat-turiżmu u jimplimentaw protokolli xierqa tas-saħħa u s-sikurezza.</w:t>
            </w:r>
          </w:p>
          <w:p w:rsidR="00764E91" w:rsidRDefault="00764E91">
            <w:pPr>
              <w:rPr>
                <w:noProof/>
              </w:rPr>
            </w:pPr>
          </w:p>
        </w:tc>
      </w:tr>
    </w:tbl>
    <w:p w:rsidR="00764E91" w:rsidRDefault="00764E91">
      <w:pPr>
        <w:pStyle w:val="Bodytext40"/>
        <w:spacing w:before="0" w:after="240"/>
        <w:ind w:right="23"/>
        <w:jc w:val="both"/>
        <w:rPr>
          <w:rStyle w:val="Bodytext412pt"/>
          <w:b/>
          <w:bCs/>
          <w:noProof/>
        </w:rPr>
      </w:pPr>
    </w:p>
    <w:p w:rsidR="00764E91" w:rsidRDefault="0098050F">
      <w:pPr>
        <w:pStyle w:val="Bodytext40"/>
        <w:spacing w:before="100" w:beforeAutospacing="1" w:after="240"/>
        <w:ind w:right="23"/>
        <w:jc w:val="both"/>
        <w:rPr>
          <w:rStyle w:val="Bodytext412pt"/>
          <w:b/>
          <w:noProof/>
        </w:rPr>
      </w:pPr>
      <w:r>
        <w:rPr>
          <w:rStyle w:val="Bodytext412pt"/>
          <w:b/>
          <w:noProof/>
        </w:rPr>
        <w:t>d.</w:t>
      </w:r>
      <w:r>
        <w:rPr>
          <w:rStyle w:val="Bodytext412pt"/>
          <w:b/>
          <w:noProof/>
        </w:rPr>
        <w:tab/>
        <w:t>L-użu tat-teknoloġija diġitali</w:t>
      </w:r>
    </w:p>
    <w:p w:rsidR="00764E91" w:rsidRDefault="0098050F">
      <w:pPr>
        <w:keepNext/>
        <w:keepLines/>
        <w:tabs>
          <w:tab w:val="left" w:pos="765"/>
        </w:tabs>
        <w:jc w:val="both"/>
        <w:outlineLvl w:val="1"/>
        <w:rPr>
          <w:bCs/>
          <w:noProof/>
          <w:color w:val="auto"/>
        </w:rPr>
      </w:pPr>
      <w:r>
        <w:rPr>
          <w:noProof/>
        </w:rPr>
        <w:t xml:space="preserve">In-nies għandhom </w:t>
      </w:r>
      <w:r>
        <w:rPr>
          <w:noProof/>
        </w:rPr>
        <w:t>jingħataw is-setgħa li jipproteġu lilhom infushom u lill-oħrajn permezz ta’ mġiba responsabbli. Jeħtieġ li jkollhom aċċess għall-informazzjoni, inkluż permezz ta’ mezzi diġitali, dwar il-fruntieri u l-ivvjaġġar, dwar l-istabbilimenti turistiċi, u dwar il-k</w:t>
      </w:r>
      <w:r>
        <w:rPr>
          <w:noProof/>
        </w:rPr>
        <w:t>undizzjonijiet ta’ sigurtà u saħħa fil-post li bi ħsiebhom imorru. Jeħtieġu din l-informazzjoni kemm biex jippjanaw il-vjaġġi tagħhom kif ukoll għal waqt il-vaganzi stess. Jeħtieġ ukoll li jiġu assigurati li r-regoli dwar is-saħħa u s-sigurtà pubblika stab</w:t>
      </w:r>
      <w:r>
        <w:rPr>
          <w:noProof/>
        </w:rPr>
        <w:t>biliti jirrispettaw l-istess kriterji fl-Istati Membri kollha.</w:t>
      </w:r>
    </w:p>
    <w:p w:rsidR="00764E91" w:rsidRDefault="00764E91">
      <w:pPr>
        <w:ind w:right="20"/>
        <w:rPr>
          <w:b/>
          <w:noProof/>
          <w:shd w:val="clear" w:color="auto" w:fill="FFFFFF"/>
        </w:rPr>
      </w:pPr>
    </w:p>
    <w:p w:rsidR="00764E91" w:rsidRDefault="0098050F">
      <w:pPr>
        <w:jc w:val="both"/>
        <w:rPr>
          <w:rStyle w:val="Bodytext412pt"/>
          <w:b w:val="0"/>
          <w:noProof/>
        </w:rPr>
      </w:pPr>
      <w:r>
        <w:rPr>
          <w:noProof/>
        </w:rPr>
        <w:t>Tul dan is-sajf u fix-xhur li ġejjin x’aktarx li l-Ewropej se jagħżlu destinazzjonijiet turistiċi domestiċi u Ewropej. Biex ikunu ċerti li jistgħu jivvjaġġaw u jqattgħu l-vaganzi tagħhom b’mod</w:t>
      </w:r>
      <w:r>
        <w:rPr>
          <w:noProof/>
        </w:rPr>
        <w:t xml:space="preserve"> sikur, huma se jkunu jeħtieġu aċċess faċli għal informazzjoni f’ħin reali dwar is-sitwazzjoni fil-fruntieri, ir-restrizzjonijiet fuq l-ivvjaġġar, pariri dwar l-ivvjaġġar, is-saħħa pubblika u l-miżuri ta’ sikurezza, fejn għandhom imorru f’każ ta’ kwistjoni</w:t>
      </w:r>
      <w:r>
        <w:rPr>
          <w:noProof/>
        </w:rPr>
        <w:t xml:space="preserve">jiet ta’ saħħa, u s-servizzi tat-turiżmu disponibbli. Il-Kummissjoni se twaqqaf sit web apposta b’mappa interattiva li tikkombina informazzjoni mill-Istati Membri u l-industrija turistika </w:t>
      </w:r>
      <w:r>
        <w:rPr>
          <w:noProof/>
        </w:rPr>
        <w:lastRenderedPageBreak/>
        <w:t xml:space="preserve">u tal-ivvjaġġar. </w:t>
      </w:r>
    </w:p>
    <w:p w:rsidR="00764E91" w:rsidRDefault="00764E91">
      <w:pPr>
        <w:jc w:val="both"/>
        <w:rPr>
          <w:rStyle w:val="Bodytext412pt"/>
          <w:b w:val="0"/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It-teknoloġiji u d-</w:t>
      </w:r>
      <w:r>
        <w:rPr>
          <w:i/>
          <w:noProof/>
        </w:rPr>
        <w:t>data</w:t>
      </w:r>
      <w:r>
        <w:rPr>
          <w:noProof/>
        </w:rPr>
        <w:t xml:space="preserve"> diġitali għandhom rwol im</w:t>
      </w:r>
      <w:r>
        <w:rPr>
          <w:noProof/>
        </w:rPr>
        <w:t>portanti fil-ġlieda kontra l-pandemija. L-applikazzjonijiet tal-mowbajl jistgħu jsaħħu l-istrateġiji li jittraċċaw il-kuntatt u jappoġġaw lill-awtoritajiet tas-saħħa pubblika fil-monitoraġġ u l-konteniment tat-tixrid tal-virus. L-intelliġenza artifiċjali (</w:t>
      </w:r>
      <w:r>
        <w:rPr>
          <w:noProof/>
        </w:rPr>
        <w:t>IA) u r-robotika jistgħu jgħinu wkoll fil-monitoraġġ ta’ tbegħid fiżiku skont il-liġi dwar il-protezzjoni tad-data jew il-faċilitazzjoni ta’ diżinfettar, speċjalment f’postijiet bi flussi regolari ta’ turiżmu. Permezz tal-Hubs ta’ Innovazzjoni Diġitali, il</w:t>
      </w:r>
      <w:r>
        <w:rPr>
          <w:noProof/>
        </w:rPr>
        <w:t>-Kummissjoni se tuża appoġġ dedikat għan-negozji tat-turiżmu lokali biex tgħinhom ilaħħqu mar-realtajiet ġodda tal-istaġun turistiku (jiġifieri, robots għad-diżinfettar u t-tindif, il-ġestjoni tal-folol, sistemi ta’ prenotazzjoni intelliġenti, eċċ.), inklu</w:t>
      </w:r>
      <w:r>
        <w:rPr>
          <w:noProof/>
        </w:rPr>
        <w:t>ża hackathon iddedikat dwar l-użu tat-teknoloġiji diġitali fit-turiżmu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Fl-istess ħin, dawn it-teknoloġiji jistgħu jagħtu s-setgħa lin-nies li jieħdu, huma stess, dawk il-miżuri ta’ tbegħid fiżiku li jidhrilhom li huma effettivi u aktar speċifiċi għall-</w:t>
      </w:r>
      <w:r>
        <w:rPr>
          <w:noProof/>
        </w:rPr>
        <w:t xml:space="preserve">każ tagħhom. Dawn l-applikazzjonijiet huma partikolarment rilevanti waqt il-fażi tat-tneħħija tal-miżuri ta’ konteniment, meta r-riskju ta’ infezzjoni jikber minħabba li aktar u aktar nies jiġu f’kuntatt ma’ xulxin.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Meta l-ivvjaġġar fl-UE jerġa’ jibda, l</w:t>
      </w:r>
      <w:r>
        <w:rPr>
          <w:noProof/>
        </w:rPr>
        <w:t>-awtoritajiet pubbliċi, dawk li jivvjaġġaw kuljum jew li jivvjaġġaw fuq xogħol u t-turisti, jistgħu jużaw l-apps għat-traċċar tal-kuntatti għall-benefiċċju tagħhom, filwaqt li jirrispettaw ir-rekwiżiti tal-privatezza, ir-regoli dwar il-protezzjoni tad-</w:t>
      </w:r>
      <w:r>
        <w:rPr>
          <w:i/>
          <w:noProof/>
        </w:rPr>
        <w:t>data</w:t>
      </w:r>
      <w:r>
        <w:rPr>
          <w:noProof/>
        </w:rPr>
        <w:t xml:space="preserve"> u l-użu volontarju ta’ apps bħal dawn. Għal dan il-għan, l-interoperabbiltà hija essenzjali sabiex l-utenti jkunu avżati mill-app tagħhom, ikunu fejn ikunu fl-Ewropa. Il-Kummissjoni u l-Istati Membri qed jaħdmu biex jiżguraw li: illum jiġi ppubblikat prot</w:t>
      </w:r>
      <w:r>
        <w:rPr>
          <w:noProof/>
        </w:rPr>
        <w:t>okoll dwar il-prinċipji tal-interoperabbiltà, żviluppat mill-Istati Membri permezz tan-network tas-saħħa elettronika, bl-appoġġ tal-Kummissjoni.</w:t>
      </w:r>
    </w:p>
    <w:p w:rsidR="00764E91" w:rsidRDefault="0098050F">
      <w:pPr>
        <w:jc w:val="both"/>
        <w:rPr>
          <w:noProof/>
        </w:rPr>
      </w:pPr>
      <w:r>
        <w:rPr>
          <w:noProof/>
        </w:rPr>
        <w:t xml:space="preserve"> </w:t>
      </w:r>
    </w:p>
    <w:p w:rsidR="00764E91" w:rsidRDefault="0098050F">
      <w:pPr>
        <w:jc w:val="both"/>
        <w:rPr>
          <w:noProof/>
        </w:rPr>
      </w:pPr>
      <w:r>
        <w:rPr>
          <w:noProof/>
        </w:rPr>
        <w:t>In-negozji u l-gvernijiet jistgħu wkoll jużaw soluzzjonijiet diġitali għal skopijiet ta’ ppjanar u għall-ġest</w:t>
      </w:r>
      <w:r>
        <w:rPr>
          <w:noProof/>
        </w:rPr>
        <w:t>joni tal-fluss tat-turisti, pereżempju fir-rigward tal-għadd massimu globali ta’ ljieli ta’ soġġorn f’reġjun, in-numru massimu ta’ viżitaturi f’siti kulturali u ta’ wirt storiku jew jippjanaw il-ħin għal dawk bil-ħsieb li jżuru xi mużew jew li joħorġu jiek</w:t>
      </w:r>
      <w:r>
        <w:rPr>
          <w:noProof/>
        </w:rPr>
        <w:t xml:space="preserve">lu f’xi ristorant. </w:t>
      </w:r>
    </w:p>
    <w:p w:rsidR="00764E91" w:rsidRDefault="00764E91">
      <w:pPr>
        <w:jc w:val="both"/>
        <w:rPr>
          <w:noProof/>
        </w:rPr>
      </w:pPr>
    </w:p>
    <w:p w:rsidR="00764E91" w:rsidRDefault="00764E91">
      <w:pPr>
        <w:jc w:val="both"/>
        <w:rPr>
          <w:noProof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38"/>
      </w:tblGrid>
      <w:tr w:rsidR="00764E91">
        <w:tc>
          <w:tcPr>
            <w:tcW w:w="8838" w:type="dxa"/>
            <w:shd w:val="clear" w:color="auto" w:fill="E7E6E6" w:themeFill="background2"/>
          </w:tcPr>
          <w:p w:rsidR="00764E91" w:rsidRDefault="0098050F">
            <w:pPr>
              <w:shd w:val="clear" w:color="auto" w:fill="D9D9D9" w:themeFill="background1" w:themeFillShade="D9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Il-Kummissjoni u l-Istati Membri se jkomplu jiżviluppaw il-qafas </w:t>
            </w:r>
            <w:r>
              <w:rPr>
                <w:i/>
                <w:iCs/>
                <w:noProof/>
              </w:rPr>
              <w:t>Ewropew</w:t>
            </w:r>
            <w:r>
              <w:rPr>
                <w:i/>
                <w:noProof/>
              </w:rPr>
              <w:t xml:space="preserve"> għall-interoperabbiltà għall-applikazzjonijiet mobbli biex jappoġġaw it-traċċar tal-kuntatti.</w:t>
            </w:r>
          </w:p>
          <w:p w:rsidR="00764E91" w:rsidRDefault="00764E91">
            <w:pPr>
              <w:shd w:val="clear" w:color="auto" w:fill="D9D9D9" w:themeFill="background1" w:themeFillShade="D9"/>
              <w:jc w:val="both"/>
              <w:rPr>
                <w:i/>
                <w:noProof/>
              </w:rPr>
            </w:pPr>
          </w:p>
          <w:p w:rsidR="00764E91" w:rsidRDefault="0098050F">
            <w:pPr>
              <w:shd w:val="clear" w:color="auto" w:fill="D9D9D9" w:themeFill="background1" w:themeFillShade="D9"/>
              <w:jc w:val="both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Il-Kummissjoni se twaqqaf sit web apposta b’mappa li tiġbor informazzjoni f’ħin reali marbuta mat-turiżmu. </w:t>
            </w:r>
          </w:p>
          <w:p w:rsidR="00764E91" w:rsidRDefault="00764E91">
            <w:pPr>
              <w:shd w:val="clear" w:color="auto" w:fill="D9D9D9" w:themeFill="background1" w:themeFillShade="D9"/>
              <w:jc w:val="both"/>
              <w:rPr>
                <w:bCs/>
                <w:i/>
                <w:noProof/>
              </w:rPr>
            </w:pPr>
          </w:p>
          <w:p w:rsidR="00764E91" w:rsidRDefault="0098050F">
            <w:pPr>
              <w:shd w:val="clear" w:color="auto" w:fill="D9D9D9" w:themeFill="background1" w:themeFillShade="D9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Il-Kummissjoni se tappoġġa soluzzjonijiet innovattivi li jkunu konformi mal-liġi dwar il-protezzjoni tad-data għall-użu tal-IA u r-robotika biex ti</w:t>
            </w:r>
            <w:r>
              <w:rPr>
                <w:i/>
                <w:noProof/>
              </w:rPr>
              <w:t xml:space="preserve">ġi miġġielda l-pandemija tal-COVID-19 u tgħin lin-negozji tat-turiżmu jlaħħqu mar-realtajiet il-ġodda.   </w:t>
            </w:r>
          </w:p>
        </w:tc>
      </w:tr>
    </w:tbl>
    <w:p w:rsidR="00764E91" w:rsidRDefault="00764E91">
      <w:pPr>
        <w:jc w:val="both"/>
        <w:rPr>
          <w:rStyle w:val="Bodytext412pt"/>
          <w:b w:val="0"/>
          <w:bCs w:val="0"/>
          <w:noProof/>
        </w:rPr>
      </w:pPr>
    </w:p>
    <w:p w:rsidR="00764E91" w:rsidRDefault="0098050F">
      <w:pPr>
        <w:pStyle w:val="Bodytext40"/>
        <w:shd w:val="clear" w:color="auto" w:fill="auto"/>
        <w:spacing w:before="0" w:after="0" w:line="240" w:lineRule="auto"/>
        <w:ind w:right="20"/>
        <w:jc w:val="left"/>
        <w:rPr>
          <w:rStyle w:val="Bodytext412pt"/>
          <w:b/>
          <w:noProof/>
        </w:rPr>
      </w:pPr>
      <w:r>
        <w:rPr>
          <w:rStyle w:val="Bodytext412pt"/>
          <w:b/>
          <w:noProof/>
        </w:rPr>
        <w:t>e.</w:t>
      </w:r>
      <w:r>
        <w:rPr>
          <w:rStyle w:val="Bodytext412pt"/>
          <w:b/>
          <w:noProof/>
        </w:rPr>
        <w:tab/>
        <w:t>Nipproteġu d-drittijiet tagħhom</w:t>
      </w:r>
    </w:p>
    <w:p w:rsidR="00764E91" w:rsidRDefault="00764E91">
      <w:pPr>
        <w:pStyle w:val="Bodytext40"/>
        <w:shd w:val="clear" w:color="auto" w:fill="auto"/>
        <w:spacing w:before="0" w:after="0" w:line="240" w:lineRule="auto"/>
        <w:ind w:right="20"/>
        <w:jc w:val="left"/>
        <w:rPr>
          <w:rStyle w:val="Bodytext412pt"/>
          <w:b/>
          <w:noProof/>
        </w:rPr>
      </w:pPr>
    </w:p>
    <w:p w:rsidR="00764E91" w:rsidRDefault="0098050F">
      <w:pPr>
        <w:pStyle w:val="Bodytext30"/>
        <w:shd w:val="clear" w:color="auto" w:fill="auto"/>
        <w:spacing w:line="240" w:lineRule="auto"/>
        <w:rPr>
          <w:noProof/>
          <w:sz w:val="24"/>
          <w:szCs w:val="24"/>
        </w:rPr>
      </w:pPr>
      <w:r>
        <w:rPr>
          <w:noProof/>
        </w:rPr>
        <w:t xml:space="preserve">In-nies mhux dejjem jiġu rimborsati direttament għall-flus li jkunu ħallsu minn qabel għat-trasport ikkanċellat u għas-servizzi tal-ivvjaġġar. F’xi każijiet, jistgħu jħabbtu wiċċhom ma’ penali ta’ </w:t>
      </w:r>
      <w:r>
        <w:rPr>
          <w:noProof/>
        </w:rPr>
        <w:lastRenderedPageBreak/>
        <w:t>kanċellazzjoni għal servizzi turistiċi li ma setgħux jużaw.</w:t>
      </w:r>
      <w:r>
        <w:rPr>
          <w:noProof/>
        </w:rPr>
        <w:t xml:space="preserve"> Għalhekk huwa importanti li jkollhom aċċess għal informazzjoni affidabbli kif ukoll għal assistenza u korpi ta’ riżoluzzjoni tat-tilwim effiċjenti. </w:t>
      </w:r>
    </w:p>
    <w:p w:rsidR="00764E91" w:rsidRDefault="00764E91">
      <w:pPr>
        <w:pStyle w:val="Bodytext30"/>
        <w:shd w:val="clear" w:color="auto" w:fill="auto"/>
        <w:spacing w:line="240" w:lineRule="auto"/>
        <w:rPr>
          <w:noProof/>
          <w:sz w:val="24"/>
          <w:szCs w:val="24"/>
        </w:rPr>
      </w:pPr>
    </w:p>
    <w:p w:rsidR="00764E91" w:rsidRDefault="0098050F">
      <w:pPr>
        <w:pStyle w:val="Bodytext30"/>
        <w:shd w:val="clear" w:color="auto" w:fill="auto"/>
        <w:spacing w:line="240" w:lineRule="auto"/>
        <w:rPr>
          <w:noProof/>
          <w:color w:val="auto"/>
          <w:sz w:val="24"/>
          <w:szCs w:val="24"/>
        </w:rPr>
      </w:pPr>
      <w:r>
        <w:rPr>
          <w:noProof/>
        </w:rPr>
        <w:t xml:space="preserve">Il-konsumaturi residenti fl-Unjoni jistgħu jiddependu fuq appoġġ bla ħlas min-network taċ-Ċentri Ewropej </w:t>
      </w:r>
      <w:r>
        <w:rPr>
          <w:noProof/>
        </w:rPr>
        <w:t>għall-Konsumatur (ECC) meta jipprenotaw il-vaganzi f’pajjiż ieħor tal-UE. Tul dawn il-ġimgħat l-ECCs li kienu qed jassistu l-konsumaturi bix-xiri transfruntier tagħhom raw żieda fl-għadd ta’ rikjesti għall-informazzjoni (’il fuq minn 5000 fl-aħħar ġimgħa t</w:t>
      </w:r>
      <w:r>
        <w:rPr>
          <w:noProof/>
        </w:rPr>
        <w:t>a’ April 2020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). Il-korpi nazzjonali għar-riżoluzzjoni tat-tilwim innutaw ukoll żieda fit-tilwim relatat mat-turiżmu. </w:t>
      </w:r>
    </w:p>
    <w:p w:rsidR="00764E91" w:rsidRDefault="00764E91">
      <w:pPr>
        <w:pStyle w:val="Bodytext30"/>
        <w:shd w:val="clear" w:color="auto" w:fill="auto"/>
        <w:spacing w:line="240" w:lineRule="auto"/>
        <w:rPr>
          <w:noProof/>
          <w:sz w:val="24"/>
          <w:szCs w:val="24"/>
        </w:rPr>
      </w:pPr>
    </w:p>
    <w:p w:rsidR="00764E91" w:rsidRDefault="0098050F">
      <w:pPr>
        <w:pStyle w:val="Bodytext30"/>
        <w:shd w:val="clear" w:color="auto" w:fill="auto"/>
        <w:spacing w:line="240" w:lineRule="auto"/>
        <w:rPr>
          <w:noProof/>
          <w:sz w:val="24"/>
          <w:szCs w:val="24"/>
        </w:rPr>
      </w:pPr>
      <w:r>
        <w:rPr>
          <w:noProof/>
        </w:rPr>
        <w:t>It-trasparenza tal-proċeduri tal-prenotazzjoni tal-ivvjaġġar bħalissa hija partikolarment importanti biex jingħataw inċentivi għall-ivvj</w:t>
      </w:r>
      <w:r>
        <w:rPr>
          <w:noProof/>
        </w:rPr>
        <w:t>aġġar fil-futur u biex jiġu żgurati prattiki kummerċjali ġusti li ma jippermettu lil ebda operatur japprofitta minn dikjarazzjonijiet qarrieqa, bħal meta wieħed jagħti x'jifhem li ċerti postijiet huma mfittxijin ħafna. In-Netwerk ta’ Kooperazzjoni għall-Pr</w:t>
      </w:r>
      <w:r>
        <w:rPr>
          <w:noProof/>
        </w:rPr>
        <w:t>otezzjoni tal-Konsumatur (CPC), ikkoordinat mill-Kummissjoni, jinsab fi djalogu mal-pjattaformi ta’ vjaġġar online u mal-kumpaniji tal-kiri tal-karozzi għal raġunijiet ta’ trasparenza u ġustizzja b’rabta mal-prenotazzjonijiet online u diġà kien f’kuntatt m</w:t>
      </w:r>
      <w:r>
        <w:rPr>
          <w:noProof/>
        </w:rPr>
        <w:t>agħhom meta ġie bżonn ta' informazzjoni marbuta mar-restrizzjonijiet fuq l-ivvjaġġar.</w:t>
      </w:r>
    </w:p>
    <w:p w:rsidR="00764E91" w:rsidRDefault="00764E91">
      <w:pPr>
        <w:pStyle w:val="Bodytext30"/>
        <w:spacing w:line="240" w:lineRule="auto"/>
        <w:rPr>
          <w:noProof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38"/>
      </w:tblGrid>
      <w:tr w:rsidR="00764E91">
        <w:tc>
          <w:tcPr>
            <w:tcW w:w="8838" w:type="dxa"/>
            <w:shd w:val="clear" w:color="auto" w:fill="E7E6E6" w:themeFill="background2"/>
          </w:tcPr>
          <w:p w:rsidR="00764E91" w:rsidRDefault="0098050F">
            <w:pPr>
              <w:pStyle w:val="Bodytext30"/>
              <w:shd w:val="clear" w:color="auto" w:fill="auto"/>
              <w:spacing w:line="240" w:lineRule="auto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</w:rPr>
              <w:t xml:space="preserve">Il-Kummissjoni qed tassisti ċ-Ċentri Ewropej tal-Konsumaturi sabiex jiġbru suġġerimenti u informazzjoni dwar akkomodazzjonijiet, kiri tal-karozzi, u avvenimenti </w:t>
            </w:r>
            <w:r>
              <w:rPr>
                <w:i/>
                <w:noProof/>
              </w:rPr>
              <w:t>kkanċellati li kienu ġew prenotati bħala servizzi individwali</w:t>
            </w:r>
            <w:r>
              <w:rPr>
                <w:rStyle w:val="FootnoteReference"/>
                <w:i/>
                <w:noProof/>
              </w:rPr>
              <w:footnoteReference w:id="14"/>
            </w:r>
            <w:r>
              <w:rPr>
                <w:i/>
                <w:noProof/>
              </w:rPr>
              <w:t>. Il-Kummissjoni se tqis modi kif is-servizzi tal-ECC, abbażi ta’ sħubiji ma’ korpi simili f’pajjiżi terzi, ikunu jistgħu jiġu estiżi għall-vjaġġaturi li jirrisjedu f’pajjiżi terzi. Il-Kummissjo</w:t>
            </w:r>
            <w:r>
              <w:rPr>
                <w:i/>
                <w:noProof/>
              </w:rPr>
              <w:t xml:space="preserve">ni se tappoġġa wkoll il-bini tal-kapaċità għal korpi ta’ Soluzzjonijiet Alternattivi għat-Tilwim, li jgħinu lill-konsumaturi u lin-negozjanti jsibu soluzzjonijiet amikevoli. </w:t>
            </w:r>
          </w:p>
          <w:p w:rsidR="00764E91" w:rsidRDefault="00764E91">
            <w:pPr>
              <w:pStyle w:val="Bodytext30"/>
              <w:shd w:val="clear" w:color="auto" w:fill="auto"/>
              <w:spacing w:line="240" w:lineRule="auto"/>
              <w:rPr>
                <w:rStyle w:val="Bodytext412pt"/>
                <w:b w:val="0"/>
                <w:noProof/>
              </w:rPr>
            </w:pPr>
          </w:p>
        </w:tc>
      </w:tr>
    </w:tbl>
    <w:p w:rsidR="00764E91" w:rsidRDefault="00764E91">
      <w:pPr>
        <w:pStyle w:val="Bodytext40"/>
        <w:shd w:val="clear" w:color="auto" w:fill="auto"/>
        <w:tabs>
          <w:tab w:val="left" w:pos="427"/>
        </w:tabs>
        <w:spacing w:before="0" w:after="0" w:line="240" w:lineRule="auto"/>
        <w:ind w:left="720" w:right="20"/>
        <w:jc w:val="left"/>
        <w:rPr>
          <w:rStyle w:val="Bodytext412pt"/>
          <w:bCs/>
          <w:noProof/>
        </w:rPr>
      </w:pPr>
    </w:p>
    <w:p w:rsidR="00764E91" w:rsidRDefault="00764E91">
      <w:pPr>
        <w:pStyle w:val="Bodytext40"/>
        <w:shd w:val="clear" w:color="auto" w:fill="auto"/>
        <w:tabs>
          <w:tab w:val="left" w:pos="427"/>
        </w:tabs>
        <w:spacing w:before="0" w:after="0" w:line="240" w:lineRule="auto"/>
        <w:ind w:left="720" w:right="20"/>
        <w:jc w:val="left"/>
        <w:rPr>
          <w:rStyle w:val="Bodytext412pt"/>
          <w:bCs/>
          <w:noProof/>
        </w:rPr>
      </w:pPr>
    </w:p>
    <w:p w:rsidR="00764E91" w:rsidRDefault="0098050F">
      <w:pPr>
        <w:pStyle w:val="Bodytext40"/>
        <w:numPr>
          <w:ilvl w:val="0"/>
          <w:numId w:val="22"/>
        </w:numPr>
        <w:shd w:val="clear" w:color="auto" w:fill="auto"/>
        <w:tabs>
          <w:tab w:val="left" w:pos="427"/>
        </w:tabs>
        <w:spacing w:before="0" w:after="0" w:line="240" w:lineRule="auto"/>
        <w:ind w:right="20"/>
        <w:jc w:val="left"/>
        <w:rPr>
          <w:b w:val="0"/>
          <w:noProof/>
          <w:sz w:val="24"/>
          <w:szCs w:val="24"/>
        </w:rPr>
      </w:pPr>
      <w:r>
        <w:rPr>
          <w:rStyle w:val="Bodytext412pt"/>
          <w:b/>
          <w:bCs/>
          <w:noProof/>
        </w:rPr>
        <w:t>NERĠGĦU NĠIBU LIT-TURIŻMU FUQ SAQAJH</w:t>
      </w:r>
    </w:p>
    <w:p w:rsidR="00764E91" w:rsidRDefault="00764E91">
      <w:pPr>
        <w:pStyle w:val="Bodytext50"/>
        <w:shd w:val="clear" w:color="auto" w:fill="auto"/>
        <w:tabs>
          <w:tab w:val="left" w:pos="427"/>
        </w:tabs>
        <w:spacing w:before="0" w:after="0" w:line="240" w:lineRule="auto"/>
        <w:rPr>
          <w:noProof/>
          <w:sz w:val="24"/>
          <w:szCs w:val="24"/>
        </w:rPr>
      </w:pPr>
    </w:p>
    <w:p w:rsidR="00764E91" w:rsidRDefault="0098050F">
      <w:pPr>
        <w:pStyle w:val="Bodytext50"/>
        <w:shd w:val="clear" w:color="auto" w:fill="auto"/>
        <w:tabs>
          <w:tab w:val="left" w:pos="427"/>
        </w:tabs>
        <w:spacing w:before="0" w:after="0" w:line="240" w:lineRule="auto"/>
        <w:rPr>
          <w:b w:val="0"/>
          <w:bCs w:val="0"/>
          <w:noProof/>
          <w:sz w:val="24"/>
          <w:szCs w:val="24"/>
        </w:rPr>
      </w:pPr>
      <w:r>
        <w:rPr>
          <w:b w:val="0"/>
          <w:bCs w:val="0"/>
          <w:noProof/>
        </w:rPr>
        <w:t xml:space="preserve">Il-miżuri ta’ hawn fuq għandhom jagħtu </w:t>
      </w:r>
      <w:r>
        <w:rPr>
          <w:b w:val="0"/>
          <w:bCs w:val="0"/>
          <w:noProof/>
        </w:rPr>
        <w:t xml:space="preserve">lin-nies il-possibbiltà u l-fiduċja li jivvjaġġaw b’mod sikur. Iżda waħedhom mhux se jkunu biżżejjed biex jiżguraw li jkun hemm staġun tas-sajf tajjeb. L-industrija tat-turiżmu tagħna tinsab f’sitwazzjoni diffiċli u jeħtieġ żbokk mnejn toħroġ mill-kriżi u </w:t>
      </w:r>
      <w:r>
        <w:rPr>
          <w:b w:val="0"/>
          <w:bCs w:val="0"/>
          <w:noProof/>
        </w:rPr>
        <w:t>tirkupra.</w:t>
      </w:r>
    </w:p>
    <w:p w:rsidR="00764E91" w:rsidRDefault="00764E91">
      <w:pPr>
        <w:pStyle w:val="Bodytext50"/>
        <w:shd w:val="clear" w:color="auto" w:fill="auto"/>
        <w:tabs>
          <w:tab w:val="left" w:pos="427"/>
        </w:tabs>
        <w:spacing w:before="0" w:after="0" w:line="240" w:lineRule="auto"/>
        <w:rPr>
          <w:noProof/>
          <w:sz w:val="24"/>
          <w:szCs w:val="24"/>
        </w:rPr>
      </w:pPr>
    </w:p>
    <w:p w:rsidR="00764E91" w:rsidRDefault="00764E91">
      <w:pPr>
        <w:pStyle w:val="Bodytext50"/>
        <w:shd w:val="clear" w:color="auto" w:fill="auto"/>
        <w:tabs>
          <w:tab w:val="left" w:pos="427"/>
        </w:tabs>
        <w:spacing w:before="0" w:after="0" w:line="240" w:lineRule="auto"/>
        <w:rPr>
          <w:noProof/>
          <w:sz w:val="24"/>
          <w:szCs w:val="24"/>
        </w:rPr>
      </w:pPr>
    </w:p>
    <w:p w:rsidR="00764E91" w:rsidRDefault="0098050F">
      <w:pPr>
        <w:ind w:right="20"/>
        <w:jc w:val="both"/>
        <w:rPr>
          <w:b/>
          <w:noProof/>
          <w:szCs w:val="22"/>
        </w:rPr>
      </w:pPr>
      <w:r>
        <w:rPr>
          <w:b/>
          <w:noProof/>
          <w:szCs w:val="22"/>
        </w:rPr>
        <w:t xml:space="preserve">a) </w:t>
      </w:r>
      <w:r>
        <w:rPr>
          <w:b/>
          <w:noProof/>
          <w:szCs w:val="22"/>
        </w:rPr>
        <w:tab/>
        <w:t xml:space="preserve">L-importanza fundamentali tat-turiżmu </w:t>
      </w:r>
    </w:p>
    <w:p w:rsidR="00764E91" w:rsidRDefault="00764E91">
      <w:pPr>
        <w:ind w:right="20"/>
        <w:jc w:val="both"/>
        <w:rPr>
          <w:rFonts w:eastAsiaTheme="minorHAnsi"/>
          <w:noProof/>
          <w:shd w:val="clear" w:color="auto" w:fill="FFFFFF"/>
        </w:rPr>
      </w:pPr>
    </w:p>
    <w:p w:rsidR="00764E91" w:rsidRDefault="0098050F">
      <w:pPr>
        <w:ind w:right="20"/>
        <w:jc w:val="both"/>
        <w:rPr>
          <w:rFonts w:eastAsiaTheme="minorHAnsi"/>
          <w:noProof/>
          <w:shd w:val="clear" w:color="auto" w:fill="FFFFFF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4307205</wp:posOffset>
            </wp:positionV>
            <wp:extent cx="6640195" cy="3410585"/>
            <wp:effectExtent l="0" t="0" r="0" b="0"/>
            <wp:wrapTight wrapText="bothSides">
              <wp:wrapPolygon edited="0">
                <wp:start x="0" y="0"/>
                <wp:lineTo x="0" y="21475"/>
                <wp:lineTo x="21565" y="21475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-1905</wp:posOffset>
            </wp:positionV>
            <wp:extent cx="6677025" cy="3895725"/>
            <wp:effectExtent l="0" t="0" r="0" b="0"/>
            <wp:wrapTight wrapText="bothSides">
              <wp:wrapPolygon edited="0">
                <wp:start x="0" y="0"/>
                <wp:lineTo x="0" y="21547"/>
                <wp:lineTo x="21569" y="21547"/>
                <wp:lineTo x="21569" y="0"/>
                <wp:lineTo x="0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E91" w:rsidRDefault="00764E91">
      <w:pPr>
        <w:ind w:right="20"/>
        <w:jc w:val="both"/>
        <w:rPr>
          <w:rFonts w:eastAsiaTheme="minorHAnsi"/>
          <w:noProof/>
          <w:shd w:val="clear" w:color="auto" w:fill="FFFFFF"/>
        </w:rPr>
      </w:pPr>
    </w:p>
    <w:p w:rsidR="00764E91" w:rsidRDefault="00764E91">
      <w:pPr>
        <w:ind w:right="20"/>
        <w:jc w:val="both"/>
        <w:rPr>
          <w:rFonts w:eastAsiaTheme="minorHAnsi"/>
          <w:noProof/>
          <w:shd w:val="clear" w:color="auto" w:fill="FFFFFF"/>
        </w:rPr>
      </w:pPr>
    </w:p>
    <w:p w:rsidR="00764E91" w:rsidRDefault="00764E91">
      <w:pPr>
        <w:ind w:right="20"/>
        <w:jc w:val="both"/>
        <w:rPr>
          <w:rFonts w:eastAsiaTheme="minorHAnsi"/>
          <w:noProof/>
          <w:shd w:val="clear" w:color="auto" w:fill="FFFFFF"/>
        </w:rPr>
      </w:pPr>
    </w:p>
    <w:p w:rsidR="00764E91" w:rsidRDefault="0098050F">
      <w:pPr>
        <w:ind w:right="20"/>
        <w:jc w:val="both"/>
        <w:rPr>
          <w:rFonts w:eastAsiaTheme="minorHAnsi"/>
          <w:noProof/>
          <w:shd w:val="clear" w:color="auto" w:fill="FFFFFF"/>
        </w:rPr>
      </w:pPr>
      <w:r>
        <w:rPr>
          <w:bCs/>
          <w:noProof/>
          <w:shd w:val="clear" w:color="auto" w:fill="FFFFFF"/>
        </w:rPr>
        <w:t xml:space="preserve">It-turiżmu </w:t>
      </w:r>
      <w:r>
        <w:rPr>
          <w:noProof/>
          <w:shd w:val="clear" w:color="auto" w:fill="FFFFFF"/>
        </w:rPr>
        <w:t xml:space="preserve">huwa r-raba’ l-akbar kategorija ta’ esportazzjoni tal-UE u jġib benefiċċji li jkomplu jferrgħu fl-ekonomija Ewropea kollha: EUR 1 ta’ valur miżjud iġġenerat mit-turiżmu jirriżulta </w:t>
      </w:r>
      <w:r>
        <w:rPr>
          <w:noProof/>
          <w:shd w:val="clear" w:color="auto" w:fill="FFFFFF"/>
        </w:rPr>
        <w:t>f'56 ċenteżmu addizzjonali ta’ valur miżjud bħala effett indirett fuq industriji oħra.</w:t>
      </w:r>
    </w:p>
    <w:p w:rsidR="00764E91" w:rsidRDefault="00764E91">
      <w:pPr>
        <w:ind w:right="20"/>
        <w:jc w:val="both"/>
        <w:rPr>
          <w:rFonts w:eastAsiaTheme="minorHAnsi"/>
          <w:b/>
          <w:noProof/>
          <w:shd w:val="clear" w:color="auto" w:fill="FFFFFF"/>
        </w:rPr>
      </w:pPr>
    </w:p>
    <w:p w:rsidR="00764E91" w:rsidRDefault="0098050F">
      <w:pPr>
        <w:pStyle w:val="Bodytext50"/>
        <w:tabs>
          <w:tab w:val="left" w:pos="427"/>
        </w:tabs>
        <w:spacing w:before="0" w:line="240" w:lineRule="auto"/>
        <w:rPr>
          <w:b w:val="0"/>
          <w:noProof/>
          <w:sz w:val="24"/>
          <w:szCs w:val="24"/>
        </w:rPr>
      </w:pPr>
      <w:r>
        <w:rPr>
          <w:b w:val="0"/>
          <w:noProof/>
        </w:rPr>
        <w:t>It-turiżmu huwa ekosistema kumplessa b’ħafna atturi: fornituri ta’ informazzjoni u servizzi offline u online (uffiċċji turistiċi, pjattaformi diġitali, fornituri tat-te</w:t>
      </w:r>
      <w:r>
        <w:rPr>
          <w:b w:val="0"/>
          <w:noProof/>
        </w:rPr>
        <w:t>knoloġija tal-ivvjaġġar), aġenti tal-ivvjaġġar u operaturi turistiċi, fornituri tal-akkomodazzjoni, organizzazzjonijiet għall-ġestjoni tad-destinazzjoni, attrazzjonijiet għall-viżitaturi u attivitajiet għat-trasport tal-passiġġieri. It-turiżmu u t-trasport</w:t>
      </w:r>
      <w:r>
        <w:rPr>
          <w:b w:val="0"/>
          <w:noProof/>
        </w:rPr>
        <w:t xml:space="preserve"> huma mibnija wkoll fuq industriji kbar (eż. il-kostruzzjoni, il-manifattura tal-inġenji tal-ajru, il-bini tal-bastimenti). Korporazzjonijiet multinazzjonali kbar joperaw flimkien ma’ kumpaniji żgħar, li 90 % tagħhom li huma SMEs. It-turiżmu huwa preżenti </w:t>
      </w:r>
      <w:r>
        <w:rPr>
          <w:b w:val="0"/>
          <w:noProof/>
        </w:rPr>
        <w:t>f’ħafna tipi differenti ta’ żoni u reġjuni: ċentri urbani, insulari, kostali, rurali, żoni remoti u r-reġjuni ultraperiferiċi tal-UE</w:t>
      </w:r>
      <w:r>
        <w:rPr>
          <w:rStyle w:val="FootnoteReference"/>
          <w:b w:val="0"/>
          <w:noProof/>
        </w:rPr>
        <w:footnoteReference w:id="15"/>
      </w:r>
      <w:r>
        <w:rPr>
          <w:b w:val="0"/>
          <w:noProof/>
        </w:rPr>
        <w:t xml:space="preserve">. </w:t>
      </w:r>
    </w:p>
    <w:p w:rsidR="00764E91" w:rsidRDefault="00764E91">
      <w:pPr>
        <w:pStyle w:val="Bodytext50"/>
        <w:tabs>
          <w:tab w:val="left" w:pos="427"/>
        </w:tabs>
        <w:spacing w:before="0" w:line="240" w:lineRule="auto"/>
        <w:rPr>
          <w:b w:val="0"/>
          <w:noProof/>
          <w:sz w:val="24"/>
          <w:szCs w:val="24"/>
        </w:rPr>
      </w:pPr>
    </w:p>
    <w:p w:rsidR="00764E91" w:rsidRDefault="00764E91">
      <w:pPr>
        <w:pStyle w:val="Bodytext50"/>
        <w:tabs>
          <w:tab w:val="left" w:pos="427"/>
        </w:tabs>
        <w:spacing w:before="0" w:line="240" w:lineRule="auto"/>
        <w:rPr>
          <w:b w:val="0"/>
          <w:noProof/>
          <w:sz w:val="24"/>
          <w:szCs w:val="24"/>
        </w:rPr>
      </w:pPr>
    </w:p>
    <w:p w:rsidR="00764E91" w:rsidRDefault="0098050F">
      <w:pPr>
        <w:pStyle w:val="Bodytext50"/>
        <w:shd w:val="clear" w:color="auto" w:fill="auto"/>
        <w:tabs>
          <w:tab w:val="left" w:pos="427"/>
        </w:tabs>
        <w:spacing w:before="0" w:after="0" w:line="240" w:lineRule="auto"/>
        <w:rPr>
          <w:b w:val="0"/>
          <w:noProof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429250" cy="2809875"/>
            <wp:effectExtent l="152400" t="171450" r="152400" b="1619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2907" r="1701" b="1809"/>
                    <a:stretch/>
                  </pic:blipFill>
                  <pic:spPr bwMode="auto">
                    <a:xfrm>
                      <a:off x="0" y="0"/>
                      <a:ext cx="5429250" cy="2809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E91" w:rsidRDefault="00764E91">
      <w:pPr>
        <w:pStyle w:val="Bodytext50"/>
        <w:shd w:val="clear" w:color="auto" w:fill="auto"/>
        <w:tabs>
          <w:tab w:val="left" w:pos="427"/>
        </w:tabs>
        <w:spacing w:before="0" w:after="0" w:line="240" w:lineRule="auto"/>
        <w:rPr>
          <w:b w:val="0"/>
          <w:i/>
          <w:noProof/>
          <w:sz w:val="24"/>
          <w:szCs w:val="24"/>
        </w:rPr>
      </w:pPr>
    </w:p>
    <w:p w:rsidR="00764E91" w:rsidRDefault="0098050F">
      <w:pPr>
        <w:pStyle w:val="Bodytext50"/>
        <w:shd w:val="clear" w:color="auto" w:fill="auto"/>
        <w:tabs>
          <w:tab w:val="left" w:pos="427"/>
        </w:tabs>
        <w:spacing w:before="0" w:after="0" w:line="240" w:lineRule="auto"/>
        <w:rPr>
          <w:b w:val="0"/>
          <w:i/>
          <w:noProof/>
          <w:sz w:val="24"/>
          <w:szCs w:val="24"/>
        </w:rPr>
      </w:pPr>
      <w:r>
        <w:rPr>
          <w:b w:val="0"/>
          <w:i/>
          <w:noProof/>
        </w:rPr>
        <w:t xml:space="preserve">Sors: WTTC </w:t>
      </w:r>
    </w:p>
    <w:p w:rsidR="00764E91" w:rsidRDefault="00764E91">
      <w:pPr>
        <w:ind w:right="20"/>
        <w:jc w:val="both"/>
        <w:rPr>
          <w:rFonts w:eastAsiaTheme="minorHAnsi"/>
          <w:noProof/>
          <w:shd w:val="clear" w:color="auto" w:fill="FFFFFF"/>
        </w:rPr>
      </w:pPr>
    </w:p>
    <w:p w:rsidR="00764E91" w:rsidRDefault="0098050F">
      <w:pPr>
        <w:widowControl/>
        <w:jc w:val="both"/>
        <w:rPr>
          <w:rFonts w:eastAsiaTheme="minorHAnsi"/>
          <w:noProof/>
          <w:shd w:val="clear" w:color="auto" w:fill="FFFFFF"/>
        </w:rPr>
      </w:pPr>
      <w:r>
        <w:rPr>
          <w:noProof/>
          <w:shd w:val="clear" w:color="auto" w:fill="FFFFFF"/>
        </w:rPr>
        <w:t>It-turiżmu huwa s-sinsla tal-ekonomija għal ħafna Stati Membri (erbgħa minnhom huma fost l-aqwa destin</w:t>
      </w:r>
      <w:r>
        <w:rPr>
          <w:noProof/>
          <w:shd w:val="clear" w:color="auto" w:fill="FFFFFF"/>
        </w:rPr>
        <w:t>azzjonijiet dinjin għall-wasliet internazzjonali</w:t>
      </w:r>
      <w:r>
        <w:rPr>
          <w:rStyle w:val="FootnoteReference"/>
          <w:noProof/>
        </w:rPr>
        <w:footnoteReference w:id="16"/>
      </w:r>
      <w:r>
        <w:rPr>
          <w:noProof/>
          <w:shd w:val="clear" w:color="auto" w:fill="FFFFFF"/>
        </w:rPr>
        <w:t>.)</w:t>
      </w:r>
      <w:r>
        <w:rPr>
          <w:noProof/>
        </w:rPr>
        <w:t xml:space="preserve"> </w:t>
      </w:r>
      <w:r>
        <w:rPr>
          <w:noProof/>
          <w:shd w:val="clear" w:color="auto" w:fill="FFFFFF"/>
        </w:rPr>
        <w:t>Ir-reġjuni fl-Ewropa jvarjaw fid-dipendenza tagħhom fuq l-attivitajiet turistiċi. L-impatt huwa b’saħħtu fuq il-gżejjer, ir-reġjuni kostali u dawk ultraperiferiċi, minħabba d-dipendenza tagħhom fuq l-atti</w:t>
      </w:r>
      <w:r>
        <w:rPr>
          <w:noProof/>
          <w:shd w:val="clear" w:color="auto" w:fill="FFFFFF"/>
        </w:rPr>
        <w:t>vitajiet turistiċi jew id-dipendenza tagħhom fuq l-ivvjaġġar internazzjonali bl-ajru.</w:t>
      </w:r>
      <w:r>
        <w:rPr>
          <w:noProof/>
        </w:rPr>
        <w:t xml:space="preserve"> </w:t>
      </w:r>
      <w:r>
        <w:rPr>
          <w:noProof/>
          <w:shd w:val="clear" w:color="auto" w:fill="FFFFFF"/>
        </w:rPr>
        <w:t>Iż-żoni rurali, b’konnettività limitata u li jiddependu fuq it-turiżmu, ukoll ħassew impatt qawwi.</w:t>
      </w:r>
    </w:p>
    <w:p w:rsidR="00764E91" w:rsidRDefault="00764E91">
      <w:pPr>
        <w:pStyle w:val="Bodytext30"/>
        <w:shd w:val="clear" w:color="auto" w:fill="auto"/>
        <w:spacing w:line="240" w:lineRule="auto"/>
        <w:rPr>
          <w:rFonts w:eastAsiaTheme="minorHAnsi"/>
          <w:noProof/>
          <w:shd w:val="clear" w:color="auto" w:fill="FFFFFF"/>
        </w:rPr>
      </w:pPr>
    </w:p>
    <w:p w:rsidR="00764E91" w:rsidRDefault="00764E91">
      <w:pPr>
        <w:pStyle w:val="Bodytext30"/>
        <w:shd w:val="clear" w:color="auto" w:fill="auto"/>
        <w:spacing w:line="240" w:lineRule="auto"/>
        <w:rPr>
          <w:rFonts w:eastAsiaTheme="minorHAnsi"/>
          <w:noProof/>
          <w:shd w:val="clear" w:color="auto" w:fill="FFFFFF"/>
        </w:rPr>
      </w:pPr>
    </w:p>
    <w:p w:rsidR="00764E91" w:rsidRDefault="00764E91">
      <w:pPr>
        <w:pStyle w:val="Bodytext30"/>
        <w:shd w:val="clear" w:color="auto" w:fill="auto"/>
        <w:spacing w:line="240" w:lineRule="auto"/>
        <w:rPr>
          <w:i/>
          <w:noProof/>
          <w:color w:val="auto"/>
          <w:sz w:val="22"/>
          <w:szCs w:val="22"/>
        </w:rPr>
      </w:pPr>
    </w:p>
    <w:p w:rsidR="00764E91" w:rsidRDefault="00764E91">
      <w:pPr>
        <w:pStyle w:val="Bodytext30"/>
        <w:shd w:val="clear" w:color="auto" w:fill="auto"/>
        <w:spacing w:line="240" w:lineRule="auto"/>
        <w:rPr>
          <w:i/>
          <w:noProof/>
          <w:color w:val="auto"/>
          <w:sz w:val="22"/>
          <w:szCs w:val="22"/>
        </w:rPr>
      </w:pPr>
    </w:p>
    <w:p w:rsidR="00764E91" w:rsidRDefault="0098050F">
      <w:pPr>
        <w:rPr>
          <w:i/>
          <w:noProof/>
          <w:color w:val="auto"/>
          <w:sz w:val="22"/>
          <w:szCs w:val="22"/>
        </w:rPr>
      </w:pPr>
      <w:r>
        <w:rPr>
          <w:noProof/>
        </w:rPr>
        <w:br w:type="page"/>
      </w:r>
    </w:p>
    <w:p w:rsidR="00764E91" w:rsidRDefault="0098050F">
      <w:pPr>
        <w:pStyle w:val="Bodytext30"/>
        <w:shd w:val="clear" w:color="auto" w:fill="auto"/>
        <w:spacing w:line="240" w:lineRule="auto"/>
        <w:rPr>
          <w:rFonts w:eastAsiaTheme="minorHAnsi"/>
          <w:noProof/>
          <w:shd w:val="clear" w:color="auto" w:fill="FFFFFF"/>
        </w:rPr>
      </w:pPr>
      <w:r>
        <w:rPr>
          <w:i/>
          <w:noProof/>
          <w:sz w:val="22"/>
          <w:szCs w:val="22"/>
        </w:rPr>
        <w:t>Mappa ta’ vulnerabbiltà reġjonali. Sors: il-JRC. L-Indiċi tal-Vul</w:t>
      </w:r>
      <w:r>
        <w:rPr>
          <w:i/>
          <w:noProof/>
          <w:sz w:val="22"/>
          <w:szCs w:val="22"/>
        </w:rPr>
        <w:t>nerabbiltà jiġi evalwat bejn il-pari, billi jitqiesu żewġ indikaturi: l-intensità tat-turiżmu u l-istaġunalità.</w:t>
      </w:r>
    </w:p>
    <w:p w:rsidR="00764E91" w:rsidRDefault="0098050F">
      <w:pPr>
        <w:widowControl/>
        <w:jc w:val="both"/>
        <w:rPr>
          <w:noProof/>
          <w:color w:val="auto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4505325" cy="454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91" w:rsidRDefault="00764E91">
      <w:pPr>
        <w:ind w:right="20"/>
        <w:jc w:val="both"/>
        <w:rPr>
          <w:rFonts w:eastAsiaTheme="minorHAnsi"/>
          <w:noProof/>
          <w:shd w:val="clear" w:color="auto" w:fill="FFFFFF"/>
        </w:rPr>
      </w:pPr>
    </w:p>
    <w:p w:rsidR="00764E91" w:rsidRDefault="0098050F">
      <w:pPr>
        <w:ind w:right="20"/>
        <w:jc w:val="bot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764E91" w:rsidRDefault="0098050F">
      <w:pPr>
        <w:ind w:right="20"/>
        <w:jc w:val="both"/>
        <w:rPr>
          <w:rFonts w:eastAsiaTheme="minorHAnsi"/>
          <w:b/>
          <w:noProof/>
        </w:rPr>
      </w:pPr>
      <w:r>
        <w:rPr>
          <w:b/>
          <w:bCs/>
          <w:noProof/>
        </w:rPr>
        <w:t>b)</w:t>
      </w:r>
      <w:r>
        <w:rPr>
          <w:b/>
          <w:bCs/>
          <w:noProof/>
        </w:rPr>
        <w:tab/>
        <w:t>L-impatt tal-kriżi</w:t>
      </w:r>
    </w:p>
    <w:p w:rsidR="00764E91" w:rsidRDefault="00764E91">
      <w:pPr>
        <w:ind w:right="20"/>
        <w:jc w:val="both"/>
        <w:rPr>
          <w:rFonts w:eastAsiaTheme="minorHAnsi"/>
          <w:b/>
          <w:noProof/>
        </w:rPr>
      </w:pPr>
    </w:p>
    <w:p w:rsidR="00764E91" w:rsidRDefault="0098050F">
      <w:pPr>
        <w:pStyle w:val="Bodytext50"/>
        <w:shd w:val="clear" w:color="auto" w:fill="auto"/>
        <w:tabs>
          <w:tab w:val="left" w:pos="427"/>
        </w:tabs>
        <w:spacing w:before="0" w:after="0" w:line="240" w:lineRule="auto"/>
        <w:rPr>
          <w:noProof/>
          <w:sz w:val="24"/>
          <w:szCs w:val="24"/>
        </w:rPr>
      </w:pPr>
      <w:r>
        <w:rPr>
          <w:b w:val="0"/>
          <w:noProof/>
        </w:rPr>
        <w:t>Il-pandemija qed tpoġġi l-ekosistema tat-turiżmu tal-UE taħt pressjoni bla preċedent. Minħabba r-restrizzjonijiet fuq l-ivvjaġġar u f’oqsma oħra, it-turiżmu waqaf gradwalment matul l-ewwel kwart tal-2020 fl-UE u mad-dinja kollha. L-OECD tistma li dan it-tn</w:t>
      </w:r>
      <w:r>
        <w:rPr>
          <w:b w:val="0"/>
          <w:noProof/>
        </w:rPr>
        <w:t xml:space="preserve">aqqis hu ta' bejn 45 % u 70 %, skont it-tul tal-kriżi tas-saħħa u skont il-pass tal-irkupru. </w:t>
      </w:r>
    </w:p>
    <w:p w:rsidR="00764E91" w:rsidRDefault="00764E91">
      <w:pPr>
        <w:pStyle w:val="Bodytext30"/>
        <w:shd w:val="clear" w:color="auto" w:fill="auto"/>
        <w:spacing w:line="240" w:lineRule="auto"/>
        <w:rPr>
          <w:bCs/>
          <w:noProof/>
          <w:sz w:val="24"/>
          <w:szCs w:val="24"/>
        </w:rPr>
      </w:pPr>
    </w:p>
    <w:p w:rsidR="00764E91" w:rsidRDefault="0098050F">
      <w:pPr>
        <w:pStyle w:val="Bodytext30"/>
        <w:spacing w:line="240" w:lineRule="auto"/>
        <w:rPr>
          <w:bCs/>
          <w:noProof/>
          <w:sz w:val="24"/>
          <w:szCs w:val="24"/>
        </w:rPr>
      </w:pPr>
      <w:r>
        <w:rPr>
          <w:noProof/>
        </w:rPr>
        <w:t xml:space="preserve">L-intrapriżi tat-turiżmu qed iħabbtu wiċċhom ma’ </w:t>
      </w:r>
      <w:r>
        <w:rPr>
          <w:b/>
          <w:bCs/>
          <w:noProof/>
        </w:rPr>
        <w:t>kriżi ta’ likwidità akuta</w:t>
      </w:r>
      <w:r>
        <w:rPr>
          <w:noProof/>
        </w:rPr>
        <w:t>. Skont l-istimi tal-industrija, it-telf tad-dħul fil-livell Ewropew laħaq il-85 % għal</w:t>
      </w:r>
      <w:r>
        <w:rPr>
          <w:noProof/>
        </w:rPr>
        <w:t>-lukandi u r-ristoranti, 85 % għall-operaturi turistiċi u għall-aġenziji tal-ivvjaġġar, 85 % għall-ferroviji fuq distanzi twal u 90 % għall-kruċieri u l-linji tal-ajru. L-industrija tal-UE għall-ivvjaġġar u t-turiżmu tirrapporta tnaqqis tal-prenotazzjoniji</w:t>
      </w:r>
      <w:r>
        <w:rPr>
          <w:noProof/>
        </w:rPr>
        <w:t>et fil-medda ta’ bejn 60 % u 90 %, meta mqabbla mal-perjodi korrispondenti fis-snin preċedenti. L-SMEs qed isofru l-iktar minħabba l-kriżi: minħabba nuqqas ta’ likwidità u nuqqas ta’ ċertezza, qed ibatu biex ikampaw, jaċċessaw il-finanzjament u jżommu l-im</w:t>
      </w:r>
      <w:r>
        <w:rPr>
          <w:noProof/>
        </w:rPr>
        <w:t xml:space="preserve">pjegati u t-talent tagħhom. </w:t>
      </w:r>
    </w:p>
    <w:p w:rsidR="00764E91" w:rsidRDefault="00764E91">
      <w:pPr>
        <w:pStyle w:val="Bodytext30"/>
        <w:spacing w:line="240" w:lineRule="auto"/>
        <w:rPr>
          <w:noProof/>
          <w:sz w:val="24"/>
          <w:szCs w:val="24"/>
        </w:rPr>
      </w:pPr>
    </w:p>
    <w:p w:rsidR="00764E91" w:rsidRDefault="0098050F">
      <w:pPr>
        <w:pStyle w:val="Bodytext30"/>
        <w:spacing w:line="240" w:lineRule="auto"/>
        <w:rPr>
          <w:noProof/>
          <w:sz w:val="24"/>
          <w:szCs w:val="24"/>
        </w:rPr>
      </w:pPr>
      <w:r>
        <w:rPr>
          <w:noProof/>
        </w:rPr>
        <w:t>Mingħajr azzjoni urġenti u finanzjament ta’ emerġenza biex ikampaw sakemm jerġgħu jibdew il-flussi turistiċi, ħafna kumpaniji kapaċi jfallu fil-ġimgħat jew ix-xhur li ġejjin.</w:t>
      </w:r>
    </w:p>
    <w:p w:rsidR="00764E91" w:rsidRDefault="0098050F">
      <w:pPr>
        <w:rPr>
          <w:noProof/>
        </w:rPr>
      </w:pPr>
      <w:r>
        <w:rPr>
          <w:noProof/>
        </w:rPr>
        <w:br w:type="page"/>
      </w:r>
    </w:p>
    <w:p w:rsidR="00764E91" w:rsidRDefault="00764E91">
      <w:pPr>
        <w:pStyle w:val="Bodytext30"/>
        <w:spacing w:line="240" w:lineRule="auto"/>
        <w:rPr>
          <w:noProof/>
          <w:sz w:val="24"/>
          <w:szCs w:val="24"/>
        </w:rPr>
      </w:pPr>
    </w:p>
    <w:p w:rsidR="00764E91" w:rsidRDefault="0098050F">
      <w:pPr>
        <w:pStyle w:val="Bodytext30"/>
        <w:spacing w:line="240" w:lineRule="auto"/>
        <w:rPr>
          <w:noProof/>
          <w:sz w:val="24"/>
          <w:szCs w:val="24"/>
        </w:rPr>
      </w:pPr>
      <w:r>
        <w:rPr>
          <w:b/>
          <w:noProof/>
        </w:rPr>
        <w:t>L-impjiegi</w:t>
      </w:r>
      <w:r>
        <w:rPr>
          <w:noProof/>
        </w:rPr>
        <w:t xml:space="preserve"> huma mhedda wkoll. It-turiżmu jiddepe</w:t>
      </w:r>
      <w:r>
        <w:rPr>
          <w:noProof/>
        </w:rPr>
        <w:t>ndi ħafna mill-ħaddiema staġunali u temporanji (23%</w:t>
      </w:r>
      <w:r>
        <w:rPr>
          <w:rStyle w:val="FootnoteReference"/>
          <w:noProof/>
        </w:rPr>
        <w:footnoteReference w:id="17"/>
      </w:r>
      <w:r>
        <w:rPr>
          <w:noProof/>
        </w:rPr>
        <w:t>), li ħafna minnhom huma żgħażagħ (37% tal-ħaddiema tat-turiżmu għandhom inqas minn 35 sena), nisa (59%), u minn pajjiżi oħra (15% mill-UE jew mhux mill-UE)</w:t>
      </w:r>
      <w:r>
        <w:rPr>
          <w:rStyle w:val="FootnoteReference"/>
          <w:noProof/>
        </w:rPr>
        <w:footnoteReference w:id="18"/>
      </w:r>
      <w:r>
        <w:rPr>
          <w:noProof/>
        </w:rPr>
        <w:t>. Dawn l-impjiegi spiss huma kkonċentrati f’reġ</w:t>
      </w:r>
      <w:r>
        <w:rPr>
          <w:noProof/>
        </w:rPr>
        <w:t>juni mingħajr ebda sors alternattiv ta’ impjieg u jinvolvu ħaddiema b’livell baxx ta’ ħiliet, u fejn it-turiżmu jammonta għal bejn 10% u 50% tal-impjiegi totali f’ħafna minnhom, inklużi r-reġjuni gżejjer, remoti u ultraperiferiċi. It-turiżmu huwa parti imp</w:t>
      </w:r>
      <w:r>
        <w:rPr>
          <w:noProof/>
        </w:rPr>
        <w:t>ortanti mill-grupp ta’ atturi tal-ekonomija soċjali li jikkontribwixxu għall-inklużjoni soċjali. Jekk ma jkunx hemm azzjoni urġenti li tappoġġa l-impjiegi, il-kriżi tista’ twassal biex jintilfu 6 miljun impjieg fl-Ewropa u tista’ tħalli impatt negattiv fuq</w:t>
      </w:r>
      <w:r>
        <w:rPr>
          <w:noProof/>
        </w:rPr>
        <w:t xml:space="preserve"> l-għajxien ta’ ħafna aktar nies fi Stati Membri differenti, ħafna drabi fost dawk l-aktar ekonomikament vulnerabbli. </w:t>
      </w:r>
    </w:p>
    <w:p w:rsidR="00764E91" w:rsidRDefault="00764E91">
      <w:pPr>
        <w:pStyle w:val="Bodytext30"/>
        <w:shd w:val="clear" w:color="auto" w:fill="auto"/>
        <w:spacing w:line="240" w:lineRule="auto"/>
        <w:rPr>
          <w:noProof/>
          <w:sz w:val="24"/>
          <w:szCs w:val="24"/>
        </w:rPr>
      </w:pPr>
    </w:p>
    <w:p w:rsidR="00764E91" w:rsidRDefault="0098050F">
      <w:pPr>
        <w:pStyle w:val="Heading210"/>
        <w:keepNext/>
        <w:keepLines/>
        <w:shd w:val="clear" w:color="auto" w:fill="auto"/>
        <w:tabs>
          <w:tab w:val="left" w:pos="765"/>
        </w:tabs>
        <w:spacing w:before="0" w:after="0" w:line="240" w:lineRule="auto"/>
        <w:rPr>
          <w:b w:val="0"/>
          <w:noProof/>
        </w:rPr>
      </w:pPr>
      <w:r>
        <w:rPr>
          <w:noProof/>
        </w:rPr>
        <w:t xml:space="preserve">c) </w:t>
      </w:r>
      <w:r>
        <w:rPr>
          <w:noProof/>
        </w:rPr>
        <w:tab/>
        <w:t>Nindirizzaw il-kwistjoni tal-likwidità</w:t>
      </w:r>
    </w:p>
    <w:p w:rsidR="00764E91" w:rsidRDefault="00764E91">
      <w:pPr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Numru ta’ Stati Membri, taħt il-Qafas Temporanju ta’ Għajnuna mill-Istat adottat f’Marzu 202</w:t>
      </w:r>
      <w:r>
        <w:rPr>
          <w:noProof/>
        </w:rPr>
        <w:t xml:space="preserve">0, diġà ħadu azzjoni biex jipprovdu għotjiet diretti sa EUR 800 000, jew self jew garanziji b’termini favorevoli ħafna għal ammonti akbar; jew, f’xi każijiet, jagħtu kumpens lin-negozji għall-ħsarat imġarrba minħabba l-pandemija.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L-UE użat EUR 1 biljun b</w:t>
      </w:r>
      <w:r>
        <w:rPr>
          <w:noProof/>
        </w:rPr>
        <w:t>ħala garanzija għall-Fond Ewropew tal-Investiment, li se jservi ta’ ingranaġġ għal garanzija fuq is-self ta’ EUR 8 biljun li jgħin 100 000 SME fl-UE, inkluż fit-turiżmu.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L-Inizjattiva ta' Investiment fir-Rispons għall-Coronavirus tagħti lok għal flessibbiltà konsiderevoli lill-Istati Membri li jiddirettaw il-finanzjament tal-koeżjoni biex jipprovdu likwidità immedjata għall-SMEs li joperaw fit-turiżmu u jgħinuhom iħejju ru</w:t>
      </w:r>
      <w:r>
        <w:rPr>
          <w:noProof/>
        </w:rPr>
        <w:t>ħhom għall-istaġun tas-sajf/tax-xitwa 2020. B’mod partikolari, il-finanzjament tal-kapital operatorju tal-SMEs jista’ jkopri l-ispejjeż tax-xogħol, il-materjali u l-inputs operattivi, l-inventarji u l-ispejjeż ġenerali, il-kera u l-utilitajiet. Dan ikun ji</w:t>
      </w:r>
      <w:r>
        <w:rPr>
          <w:noProof/>
        </w:rPr>
        <w:t>nkludi wkoll il-possibbiltà ta’ finanzjament kemm għall-kumpaniji kif ukoll għall-awtoritajiet reġjonali biex jikkonformaw mal-protokolli tas-saħħa pubblika, inkluż it-tindif, it-tagħmir protettiv, l-adattament tal-ispazji pubbliċi, is-saħħa u l-kapaċitaji</w:t>
      </w:r>
      <w:r>
        <w:rPr>
          <w:noProof/>
        </w:rPr>
        <w:t xml:space="preserve">et mediċi biex jintlaħqu għadd akbar ta’ viżitaturi.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Lil hinn mill-assistenza lin-negozji tat-turiżmu biex jadattaw għar-rekwiżiti tas-saħħa pubblika, l-appoġġ finanzjarju tal-UE u dak nazzjonali għandu jkun disponibbli biex jistimula investimenti addizz</w:t>
      </w:r>
      <w:r>
        <w:rPr>
          <w:noProof/>
        </w:rPr>
        <w:t xml:space="preserve">jonali li jsaħħu r-reżiljenza.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Sabiex jgħinu lir-reġjuni li ntlaqtu l-agħar mill-kriżi, l-Istati Membri għandhom jiżviluppaw strateġiji komprensivi ta’ rkupru għal dawn ir-reġjuni, abbażi tal-ispeċjalizzazzjoni intelliġenti eżistenti u l-istrateġiji terr</w:t>
      </w:r>
      <w:r>
        <w:rPr>
          <w:noProof/>
        </w:rPr>
        <w:t>itorjali mmexxija mill-politika ta’ koeżjoni. Strateġiji bħal dawn, fl-ewwel stadju għandhom jappoġġaw kumpaniji fit-turiżmu u servizzi relatati biex jerġgħu jibdew joperaw permezz ta’ aċċess aħjar għall-finanzjament. Dan għandu jsir flimkien ma’ miżuri li</w:t>
      </w:r>
      <w:r>
        <w:rPr>
          <w:noProof/>
        </w:rPr>
        <w:t xml:space="preserve"> jippromwovu d-diġitalizzazzjoni, is-sostenibbiltà u l-investiment fil-ħiliet permezz tal-Fond Ewropew għall-Iżvilupp Reġjonali u l-Fond Soċjali Ewropew biex jiġu promossi t-turiżmu u l-mobbiltà sostenibbli, kif ukoll id-diversifikazzjoni ekonomika biex ti</w:t>
      </w:r>
      <w:r>
        <w:rPr>
          <w:noProof/>
        </w:rPr>
        <w:t xml:space="preserve">nbena reżiljenza għal xokkijiet esterni.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Dawn l-istrateġiji għandhom ukoll jidderieġu l-fondi ta’ koeżjoni attwali lejn investimenti li jġibu lura l-fiduċja tat-turisti bħall-ġestjoni ta’ spazji pubbliċi u l-implimentazzjoni ta’ protokolli tas-saħħa u s-</w:t>
      </w:r>
      <w:r>
        <w:rPr>
          <w:noProof/>
        </w:rPr>
        <w:t>sikurezza. Il-Kummissjoni se tiżgura li l-appoġġ għar-reġjuni li jiddependu b’mod qawwi mit-turiżmu jkun immirat b’mod aktar effettiv fil-ġenerazzjoni li jmiss tal-programmi ta’ koeżjoni.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 xml:space="preserve">Il-Kummissjoni se tħeġġeġ ukoll il-kollaborazzjoni bejn ir-reġjuni </w:t>
      </w:r>
      <w:r>
        <w:rPr>
          <w:noProof/>
        </w:rPr>
        <w:t>biex jiżviluppaw soluzzjonijiet intelliġenti għall-irkupru fl-ekosistema tat-turiżmu. Wara s-suċċess tal-proġett pilota reċenti, il-Kummissjoni se tniedi sejħa ġdida għal sħubija interreġjonali b’rabta mat-turiżmu biex tikkondividi, tittestja u timplimenta</w:t>
      </w:r>
      <w:r>
        <w:rPr>
          <w:noProof/>
        </w:rPr>
        <w:t xml:space="preserve"> soluzzjonijiet intelliġenti ġodda għall-irkupru, billi toħloq katina tal-valur ġdida ta’ turiżmu innovattiv, responsabbli u sostenibbli.</w:t>
      </w:r>
    </w:p>
    <w:p w:rsidR="00764E91" w:rsidRDefault="00764E91">
      <w:pPr>
        <w:jc w:val="both"/>
        <w:rPr>
          <w:noProof/>
        </w:rPr>
      </w:pPr>
    </w:p>
    <w:p w:rsidR="00764E91" w:rsidRDefault="00764E91">
      <w:pPr>
        <w:jc w:val="both"/>
        <w:rPr>
          <w:noProof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38"/>
      </w:tblGrid>
      <w:tr w:rsidR="00764E91">
        <w:tc>
          <w:tcPr>
            <w:tcW w:w="8838" w:type="dxa"/>
            <w:shd w:val="clear" w:color="auto" w:fill="E7E6E6" w:themeFill="background2"/>
          </w:tcPr>
          <w:p w:rsidR="00764E91" w:rsidRDefault="0098050F">
            <w:pPr>
              <w:jc w:val="both"/>
              <w:rPr>
                <w:b/>
                <w:bCs/>
                <w:noProof/>
                <w:shd w:val="clear" w:color="auto" w:fill="FFFFFF"/>
              </w:rPr>
            </w:pPr>
            <w:r>
              <w:rPr>
                <w:i/>
                <w:noProof/>
              </w:rPr>
              <w:t>Il-Kummissjoni se tħeġġeġ lill-Istati Membri u lir-reġjuni l-aktar milquta mit-tnaqqis fir-ritmu ekonomiku marbut ma</w:t>
            </w:r>
            <w:r>
              <w:rPr>
                <w:i/>
                <w:noProof/>
              </w:rPr>
              <w:t>t-turiżmu jużaw il-possibbiltajiet li toffri l-Inizjattiva ta’ Investiment fir-Rispons għall-Coronavirus biex jiġu appoġġati l-SMEs tat-turiżmu bħala parti mir-riprogrammar tal-fondi ta’ koeżjoni li għaddej bħalissa.</w:t>
            </w:r>
          </w:p>
        </w:tc>
      </w:tr>
    </w:tbl>
    <w:p w:rsidR="00764E91" w:rsidRDefault="00764E91">
      <w:pPr>
        <w:tabs>
          <w:tab w:val="left" w:pos="427"/>
        </w:tabs>
        <w:ind w:left="720" w:right="20"/>
        <w:rPr>
          <w:noProof/>
          <w:shd w:val="clear" w:color="auto" w:fill="FFFFFF"/>
        </w:rPr>
      </w:pP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b/>
          <w:noProof/>
        </w:rPr>
      </w:pPr>
      <w:r>
        <w:rPr>
          <w:b/>
          <w:noProof/>
        </w:rPr>
        <w:t>d)</w:t>
      </w:r>
      <w:r>
        <w:rPr>
          <w:b/>
          <w:noProof/>
        </w:rPr>
        <w:tab/>
        <w:t xml:space="preserve">Vouchers attraenti, volontarji: </w:t>
      </w:r>
      <w:r>
        <w:rPr>
          <w:b/>
          <w:noProof/>
        </w:rPr>
        <w:t>jirbħu kemm in-negozji kif ukoll il-klijenti</w:t>
      </w:r>
    </w:p>
    <w:p w:rsidR="00764E91" w:rsidRDefault="00764E91">
      <w:pPr>
        <w:jc w:val="both"/>
        <w:rPr>
          <w:b/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L-ikbar problema tal-likwidità għall-industrija tal-ivvjaġġar u tat-turiżmu li qed tikkonfronta għadd bla preċedent ta’ talbiet ta’ rimbors għall-kanċellazzjonijiet hija n-nuqqas ta’ prenotazzjonijiet ġodda. Sa</w:t>
      </w:r>
      <w:r>
        <w:rPr>
          <w:noProof/>
        </w:rPr>
        <w:t>biex jiġu ċċarati r-regoli applikabbli tal-Unjoni f’dan il-qasam, fit-18 ta’ Marzu l-Kummissjoni adottat linji gwida interpretattivi dwar ir-Regolamenti tal-UE dwar id-Drittijiet tal-Passiġġieri, u fid-19 ta’ Marzu ħarġet gwida informali dwar l-applikazzjo</w:t>
      </w:r>
      <w:r>
        <w:rPr>
          <w:noProof/>
        </w:rPr>
        <w:t xml:space="preserve">ni tad-Direttiva dwar il-vjaġġi kollox inkluż.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Bir-</w:t>
      </w:r>
      <w:r>
        <w:rPr>
          <w:b/>
          <w:noProof/>
        </w:rPr>
        <w:t xml:space="preserve">Rakkomandazzjoni Rakkomandazzjoni dwar vouchers offruti lill-passiġġieri u lill-vjaġġaturi bħala alternattiva għar-rimbors ta’ pakketti tal-ivvjaġġar u servizzi tat-trasport ikkanċellati fil-kuntest </w:t>
      </w:r>
      <w:r>
        <w:rPr>
          <w:b/>
          <w:noProof/>
        </w:rPr>
        <w:t>tal-pandemija tal-COVID-19</w:t>
      </w:r>
      <w:r>
        <w:rPr>
          <w:rStyle w:val="FootnoteReference"/>
          <w:b/>
          <w:noProof/>
        </w:rPr>
        <w:footnoteReference w:id="19"/>
      </w:r>
      <w:r>
        <w:rPr>
          <w:noProof/>
        </w:rPr>
        <w:t xml:space="preserve">, il-Kummissjoni għandha l-għan li tiżgura li l-vouchers għall-passiġġieri u l-vjaġġaturi jsiru alternattiva vijabbli u attraenti għar-rimbors għal vjaġġi kkanċellati. It-trasportaturi u l-operaturi tal-ivvjaġġar għandhom isegwu </w:t>
      </w:r>
      <w:r>
        <w:rPr>
          <w:noProof/>
        </w:rPr>
        <w:t xml:space="preserve">approċċ konġunt, filwaqt li jagħtu lill-passiġġieri u lill-vjaġġaturi għażla attraenti u affidabbli bejn rimbors ta’ flus, f’konformità mad-drittijiet legali tagħhom skont id-dritt tal-UE, jew minflok jaċċettaw voucher.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b/>
          <w:noProof/>
        </w:rPr>
      </w:pPr>
      <w:r>
        <w:rPr>
          <w:noProof/>
        </w:rPr>
        <w:t>Sabiex jipprovdu inċentiv għall-pa</w:t>
      </w:r>
      <w:r>
        <w:rPr>
          <w:noProof/>
        </w:rPr>
        <w:t>ssiġġieri u l-vjaġġaturi biex jaċċettaw il-vouchers minflok ir-rimbors, il-vouchers għandhom ikunu protetti kontra l-insolvenza ta’ min joħroġhom u jkunu rimborsabbli wara massimu ta’ sena jekk ma jintużawx. L-operaturi għandhom jikkombinaw ukoll ċerti kar</w:t>
      </w:r>
      <w:r>
        <w:rPr>
          <w:noProof/>
        </w:rPr>
        <w:t>atteristiċi biex il-vouchers ikunu attraenti għall-passiġġieri jew għall-vjaġġaturi. Pereżempju, il-vouchers għandhom jipprovdu flessibbiltà dwar il-firxa ta’ servizzi li għalihom jistgħu jintużaw u t-trasferibbiltà tagħhom. Dan jippermetti wkoll li l-pass</w:t>
      </w:r>
      <w:r>
        <w:rPr>
          <w:noProof/>
        </w:rPr>
        <w:t xml:space="preserve">iġġieri u l-vjaġġaturi jkunu aktar kunfidenti li jagħmlu prenotazzjonijiet ġodda. Vouchers aċċessibbli b’mod wiesa’ u sikuri jipprovdu soluzzjoni kosteffiċjenti għall-operaturi biex iħallsu lura lill-vjaġġaturi u lill-passiġġieri. </w:t>
      </w:r>
    </w:p>
    <w:p w:rsidR="00764E91" w:rsidRDefault="00764E91">
      <w:pPr>
        <w:rPr>
          <w:noProof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38"/>
      </w:tblGrid>
      <w:tr w:rsidR="00764E91">
        <w:tc>
          <w:tcPr>
            <w:tcW w:w="8838" w:type="dxa"/>
            <w:shd w:val="clear" w:color="auto" w:fill="E7E6E6" w:themeFill="background2"/>
          </w:tcPr>
          <w:p w:rsidR="00764E91" w:rsidRDefault="0098050F">
            <w:pPr>
              <w:jc w:val="both"/>
              <w:rPr>
                <w:i/>
                <w:noProof/>
              </w:rPr>
            </w:pPr>
            <w:r>
              <w:rPr>
                <w:i/>
                <w:iCs/>
                <w:noProof/>
              </w:rPr>
              <w:t>Lill-passiġġieri u lill</w:t>
            </w:r>
            <w:r>
              <w:rPr>
                <w:i/>
                <w:iCs/>
                <w:noProof/>
              </w:rPr>
              <w:t>-vjaġġaturi, it-trasportaturi u l-organizzaturi għandhom joffrulhom vouchers li jippreżentaw alternattiva attraenti u affidabbli għar-rimbors fi flus, bil-karatteristiċi deskritti fir-Rakkomandazzjoni tal-Kummissjoni.  Il-vouchers għandhom ikunu protetti k</w:t>
            </w:r>
            <w:r>
              <w:rPr>
                <w:i/>
                <w:iCs/>
                <w:noProof/>
              </w:rPr>
              <w:t xml:space="preserve">ontra l-insolvenza tat-trasportaturi u tal-organizzaturi u jkunu rimborsabbli wara sena jekk ma jintużawx.   </w:t>
            </w:r>
          </w:p>
          <w:p w:rsidR="00764E91" w:rsidRDefault="00764E91">
            <w:pPr>
              <w:jc w:val="both"/>
              <w:rPr>
                <w:i/>
                <w:noProof/>
              </w:rPr>
            </w:pPr>
          </w:p>
          <w:p w:rsidR="00764E91" w:rsidRDefault="0098050F">
            <w:pPr>
              <w:jc w:val="both"/>
              <w:rPr>
                <w:noProof/>
              </w:rPr>
            </w:pPr>
            <w:r>
              <w:rPr>
                <w:i/>
                <w:noProof/>
              </w:rPr>
              <w:t>L-organizzazzjonijiet tal-konsumaturi u tal-passiġġieri fil-livell nazzjonali u tal-Unjoni għandhom iħeġġu lill-vjaġġaturi u lill-passiġġieri jaċ</w:t>
            </w:r>
            <w:r>
              <w:rPr>
                <w:i/>
                <w:noProof/>
              </w:rPr>
              <w:t xml:space="preserve">ċettaw vouchers li jippreżentaw il-karatteristiċi deskritti f’din ir-Rakkomandazzjoni, </w:t>
            </w:r>
            <w:r>
              <w:rPr>
                <w:i/>
                <w:iCs/>
                <w:noProof/>
              </w:rPr>
              <w:t>minflok ir-rimbors fi flus</w:t>
            </w:r>
            <w:r>
              <w:rPr>
                <w:i/>
                <w:noProof/>
              </w:rPr>
              <w:t>.</w:t>
            </w:r>
          </w:p>
          <w:p w:rsidR="00764E91" w:rsidRDefault="00764E91">
            <w:pPr>
              <w:jc w:val="both"/>
              <w:rPr>
                <w:noProof/>
              </w:rPr>
            </w:pPr>
          </w:p>
          <w:p w:rsidR="00764E91" w:rsidRDefault="0098050F">
            <w:pPr>
              <w:jc w:val="both"/>
              <w:rPr>
                <w:noProof/>
              </w:rPr>
            </w:pPr>
            <w:r>
              <w:rPr>
                <w:i/>
                <w:noProof/>
              </w:rPr>
              <w:t>L-organizzazzjonijiet tan-negozju, tal-konsumaturi u tal-passiġġieri fil-livell nazzjonali u tal-Unjoni, u l-awtoritajiet tal-Istati Membri,</w:t>
            </w:r>
            <w:r>
              <w:rPr>
                <w:i/>
                <w:noProof/>
              </w:rPr>
              <w:t xml:space="preserve"> fosthom il-korpi nazzjonali tal-infurzar tagħhom, għandhom jikkontribwixxu biex jinfurmaw lill-partijiet ikkonċernati kollha b’din ir-Rakkomandazzjoni u jikkooperaw għall-implimentazzjoni tagħha.</w:t>
            </w:r>
          </w:p>
        </w:tc>
      </w:tr>
    </w:tbl>
    <w:p w:rsidR="00764E91" w:rsidRDefault="00764E91">
      <w:pPr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b/>
          <w:noProof/>
        </w:rPr>
        <w:t>e)</w:t>
      </w:r>
      <w:r>
        <w:rPr>
          <w:b/>
          <w:noProof/>
        </w:rPr>
        <w:tab/>
        <w:t>Nibżgħu għall-impjiegi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Il-Fond Soċjali Ewropew qed ja</w:t>
      </w:r>
      <w:r>
        <w:rPr>
          <w:noProof/>
        </w:rPr>
        <w:t>ppoġġa skemi ta’ xogħol b’ħinijiet iqsar biex jissalvagwardja l-impjiegi. Barra minn hekk, l-inizjattiva għall-Appoġġ biex jittaffew ir-Riskji ta’ Qgħad f’Emerġenza (SURE) b’mod temporanju se tipprovdi għajnuna finanzjarja ta’ massimu ta’ EUR 100 biljun bi</w:t>
      </w:r>
      <w:r>
        <w:rPr>
          <w:noProof/>
        </w:rPr>
        <w:t>ex tgħin lill-Istati Membri jkopru l-kostijiet tal-iskemi nazzjonali ta’ xogħol b’ħinijiet iqsar u miżuri simili li jippermettu lill-kumpaniji jissalvagwardjaw l-impjiegi. Programmi pubbliċi bħal dawn jippermettu lill-intrapriżi jnaqqsu l-ħinijiet tax-xogħ</w:t>
      </w:r>
      <w:r>
        <w:rPr>
          <w:noProof/>
        </w:rPr>
        <w:t xml:space="preserve">ol filwaqt li jipprovdu appoġġ għall-introjtu lill-ħaddiema tagħhom. </w:t>
      </w:r>
    </w:p>
    <w:p w:rsidR="00764E91" w:rsidRDefault="00764E91">
      <w:pPr>
        <w:jc w:val="both"/>
        <w:rPr>
          <w:b/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Il-prijorità ewlenija hi li l-ħaddiema li jitilfu l-impjieg jiġu appoġġati biex isibu impjieg ġdid. Dan jeħtieġ sħubijiet bejn is-servizzi tal-impjieg, is-sħab soċjali u l-kumpaniji bie</w:t>
      </w:r>
      <w:r>
        <w:rPr>
          <w:noProof/>
        </w:rPr>
        <w:t xml:space="preserve">x jiffaċilitaw il-kollokament rapidu f’impjiegi ġodda u t-taħriġ mill-ġdid, bl-enfasi fuq iż-żgħażagħ u inkluż l-appoġġ għall-ħaddiema staġunali.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Biex tiżdied ir-reżiljenza u biex fil-futur jiġu evitati nuqqasijiet ta’ ħiliet li huma meħtieġa għat-tranżi</w:t>
      </w:r>
      <w:r>
        <w:rPr>
          <w:noProof/>
        </w:rPr>
        <w:t>zzjoni ekoloġika u diġitali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, jenħtieġ li l-Istati Membri jżidu wkoll l-opportunitajiet eżistenti għat-titjib tal-ħiliet, permezz ta’ fondi nazzjonali u tal-UE (eż. il-Fond Soċjali Ewropew, InvestEU, u l-Fond Agrikolu Ewropew għall-Iżvilupp Rurali).  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Fil</w:t>
      </w:r>
      <w:r>
        <w:rPr>
          <w:noProof/>
        </w:rPr>
        <w:t>-livell tal-UE, il-pjan ta’ azzjoni għall-kooperazzjoni settorjali dwar il-ħiliet jipprovdi qafas għall-kooperazzjoni strateġika bejn il-partijiet ikkonċernati ewlenin biex jindirizzaw il-bżonnijiet tal-ħiliet fuq medja ta’ żmien qasira u medja f’setturi p</w:t>
      </w:r>
      <w:r>
        <w:rPr>
          <w:noProof/>
        </w:rPr>
        <w:t>artikolari, fosthom it-turiżmu</w:t>
      </w:r>
      <w:r>
        <w:rPr>
          <w:rStyle w:val="FootnoteReference"/>
          <w:noProof/>
        </w:rPr>
        <w:footnoteReference w:id="21"/>
      </w:r>
      <w:r>
        <w:rPr>
          <w:noProof/>
        </w:rPr>
        <w:t>. L-Aġenda għall-Ħiliet aġġornata li ġejja se tkompli tappoġġa l-kooperazzjoni settorjali biex jiġu indirizzati l-ħiliet li hemm bżonn, b’enfasi fuq il-ħiliet għal tranżizzjonijiet diġitali u ekoloġiċi ta’ suċċess. Reġjuni bi</w:t>
      </w:r>
      <w:r>
        <w:rPr>
          <w:noProof/>
        </w:rPr>
        <w:t xml:space="preserve"> strateġiji ta’ speċjalizzazzjoni intelliġenti għat-turiżmu u raggruppamenti Ewropej attivi fit-turiżmu jistgħu jingħaqdu f’dan ir-rigward, appoġġati mill-programmi Erasmus u Interreg.</w:t>
      </w:r>
    </w:p>
    <w:p w:rsidR="00764E91" w:rsidRDefault="00764E91">
      <w:pPr>
        <w:jc w:val="both"/>
        <w:rPr>
          <w:noProof/>
        </w:rPr>
      </w:pP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b/>
          <w:noProof/>
        </w:rPr>
      </w:pPr>
      <w:r>
        <w:rPr>
          <w:b/>
          <w:noProof/>
        </w:rPr>
        <w:t>f)</w:t>
      </w:r>
      <w:r>
        <w:rPr>
          <w:b/>
          <w:noProof/>
        </w:rPr>
        <w:tab/>
        <w:t>Nippromwovu t-turiżmu lokali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 xml:space="preserve">It-turiżmu domestiku u intra-UE se </w:t>
      </w:r>
      <w:r>
        <w:rPr>
          <w:noProof/>
        </w:rPr>
        <w:t>jkun l-iktar mifrux fuq it-terminu l-qasir. 267 miljun Ewropew (62% tal-popolazzjoni) jieħdu mill-inqas vaganza waħda fis-sena u 78% tal-Ewropej iqattgħu l-btajjel tagħhom fil-pajjiż tal-oriġini tagħhom jew f’pajjiż ieħor tal-UE</w:t>
      </w:r>
      <w:r>
        <w:rPr>
          <w:rStyle w:val="FootnoteReference"/>
          <w:noProof/>
        </w:rPr>
        <w:footnoteReference w:id="22"/>
      </w:r>
      <w:r>
        <w:rPr>
          <w:noProof/>
        </w:rPr>
        <w:t>.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>Jekk inħarsu lejha b’mod</w:t>
      </w:r>
      <w:r>
        <w:rPr>
          <w:noProof/>
        </w:rPr>
        <w:t xml:space="preserve"> kreattiv, ladarba jitneħħew il-miżuri tal-lockdown, il-kriżi toffri opportunità biex l-Ewropej igawdu d-diversità rikka tal-kultura u tan-natura f’pajjiżhom jew f’pajjiżi oħra tal-UE, u jiskopru esperjenzi ġodda s-sena kollha.</w:t>
      </w:r>
    </w:p>
    <w:p w:rsidR="00764E91" w:rsidRDefault="00764E91">
      <w:pPr>
        <w:pStyle w:val="Bodytext20"/>
        <w:shd w:val="clear" w:color="auto" w:fill="auto"/>
        <w:spacing w:after="0" w:line="240" w:lineRule="auto"/>
        <w:ind w:firstLine="0"/>
        <w:rPr>
          <w:noProof/>
        </w:rPr>
      </w:pPr>
    </w:p>
    <w:p w:rsidR="00764E91" w:rsidRDefault="0098050F">
      <w:pPr>
        <w:pStyle w:val="Bodytext20"/>
        <w:shd w:val="clear" w:color="auto" w:fill="auto"/>
        <w:spacing w:after="0" w:line="240" w:lineRule="auto"/>
        <w:ind w:firstLine="0"/>
        <w:rPr>
          <w:noProof/>
          <w:color w:val="auto"/>
        </w:rPr>
      </w:pPr>
      <w:r>
        <w:rPr>
          <w:noProof/>
        </w:rPr>
        <w:t>Bosta reġjuni u bliet Ewrop</w:t>
      </w:r>
      <w:r>
        <w:rPr>
          <w:noProof/>
        </w:rPr>
        <w:t>ej jiddependu ħafna mit-</w:t>
      </w:r>
      <w:r>
        <w:rPr>
          <w:b/>
          <w:noProof/>
        </w:rPr>
        <w:t>turiżmu kulturali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. It-teknoloġija għenet biex it-turiżmu kulturali jiġġedded waqt din il-pandemija, minħabba li nfetħu opportunitajiet ġodda għall-espressjoni tal-kreattività u billi twessgħu l-udjenzi. </w:t>
      </w:r>
      <w:r>
        <w:rPr>
          <w:b/>
          <w:noProof/>
        </w:rPr>
        <w:t>It-turiżmu kostali</w:t>
      </w:r>
      <w:r>
        <w:rPr>
          <w:rStyle w:val="FootnoteReference"/>
          <w:b/>
          <w:noProof/>
        </w:rPr>
        <w:footnoteReference w:id="24"/>
      </w:r>
      <w:r>
        <w:rPr>
          <w:b/>
          <w:noProof/>
        </w:rPr>
        <w:t>, maritti</w:t>
      </w:r>
      <w:r>
        <w:rPr>
          <w:b/>
          <w:noProof/>
        </w:rPr>
        <w:t>mu u tal-passaġġ fuq l-ilma intern, kif ukoll it-turiżmu rurali</w:t>
      </w:r>
      <w:r>
        <w:rPr>
          <w:rStyle w:val="FootnoteReference"/>
          <w:b/>
          <w:noProof/>
        </w:rPr>
        <w:footnoteReference w:id="25"/>
      </w:r>
      <w:r>
        <w:rPr>
          <w:noProof/>
        </w:rPr>
        <w:t xml:space="preserve"> huwa preżenti f’bosta reġjuni tal-UE u qed joħloq offerti ta’ turiżmu lokalizzati u innovattivi għan-negozju ’l barra mill-istaġun u opportunitajiet ta’ rikreazzjoni. Qegħdin ifeġġu opportuni</w:t>
      </w:r>
      <w:r>
        <w:rPr>
          <w:noProof/>
        </w:rPr>
        <w:t>tajiet ġodda biex niskopru ġawhar kulturali u naturali moħbijin jew minsija eqreb ta’ djarna, u biex induqu prodotti magħmula lokalment. Is-Sena Ewropea tal-Ferroviji proposta għall-2021 tista’ tiffoka fuq dan il-mezz speċifiku tal-ivvjaġġar biex tippromwo</w:t>
      </w:r>
      <w:r>
        <w:rPr>
          <w:noProof/>
        </w:rPr>
        <w:t>vi t-turiżmu intra-UE.</w:t>
      </w:r>
    </w:p>
    <w:p w:rsidR="00764E91" w:rsidRDefault="00764E91">
      <w:pPr>
        <w:jc w:val="both"/>
        <w:rPr>
          <w:noProof/>
        </w:rPr>
      </w:pPr>
    </w:p>
    <w:p w:rsidR="00764E91" w:rsidRDefault="0098050F">
      <w:pPr>
        <w:jc w:val="both"/>
        <w:rPr>
          <w:noProof/>
        </w:rPr>
      </w:pPr>
      <w:r>
        <w:rPr>
          <w:noProof/>
        </w:rPr>
        <w:t xml:space="preserve">Fl-Istati Membri fejn ġew stabbiliti </w:t>
      </w:r>
      <w:r>
        <w:rPr>
          <w:b/>
          <w:noProof/>
        </w:rPr>
        <w:t>skemi ta’ vouchers ta’ patroċinju</w:t>
      </w:r>
      <w:r>
        <w:rPr>
          <w:noProof/>
        </w:rPr>
        <w:t xml:space="preserve"> il-konsumaturi wrew entużjażmu biex jappoġġaw il-lukandi jew ir-ristoranti favoriti tagħhom. Skemi bħal dawn jistgħu jestendu għal negozji oħra relatati mat-turiżmu bħall-kultura u d-divertiment. Il-Kummissjoni se tipprovdi portal tal-IT biex tenfasizzaho</w:t>
      </w:r>
      <w:r>
        <w:rPr>
          <w:noProof/>
        </w:rPr>
        <w:t>m. Il-portal se jlaqqa' l-fornituri mal-inizjattivi u mal-pjattaformi kollha li joffru skemi bħal dawn. Se jgħin liċ-ċittadini jsibu l-inizjattivi u l-offerti kollha madwar l-UE. Barra minn hekk, u f’kooperazzjoni mal-Istati Membri, il-Kummissjoni se tappe</w:t>
      </w:r>
      <w:r>
        <w:rPr>
          <w:noProof/>
        </w:rPr>
        <w:t>lla għal wegħdiet ta’ impenn biex jitnedew sistemi ta’ vouchers ta’ patroċinju mill-organizzazzjonijiet tat-turiżmu lokali, iżda wkoll minn parteċipanti fis-suq li huma attivi fis-settur tat-turiżmu, bħall-pjattaformi online żgħar u kbar (li permezz tagħho</w:t>
      </w:r>
      <w:r>
        <w:rPr>
          <w:noProof/>
        </w:rPr>
        <w:t xml:space="preserve">m ħafna negozji tat-turiżmu jagħmlu kuntatt mal-klijenti), il-kumpaniji tal-karti ta’ kreditu u l-fornituri ta’ sistemi tal-pagament. </w:t>
      </w:r>
    </w:p>
    <w:p w:rsidR="00764E91" w:rsidRDefault="00764E91">
      <w:pPr>
        <w:rPr>
          <w:noProof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38"/>
      </w:tblGrid>
      <w:tr w:rsidR="00764E91">
        <w:tc>
          <w:tcPr>
            <w:tcW w:w="8838" w:type="dxa"/>
            <w:shd w:val="clear" w:color="auto" w:fill="E7E6E6" w:themeFill="background2"/>
          </w:tcPr>
          <w:p w:rsidR="00764E91" w:rsidRDefault="0098050F">
            <w:pPr>
              <w:shd w:val="clear" w:color="auto" w:fill="D9D9D9" w:themeFill="background1" w:themeFillShade="D9"/>
              <w:jc w:val="both"/>
              <w:rPr>
                <w:rFonts w:ascii="UICTFontTextStyleTallBody" w:hAnsi="UICTFontTextStyleTallBody"/>
                <w:i/>
                <w:noProof/>
              </w:rPr>
            </w:pPr>
            <w:r>
              <w:rPr>
                <w:rFonts w:ascii="UICTFontTextStyleTallBody" w:hAnsi="UICTFontTextStyleTallBody"/>
                <w:i/>
                <w:noProof/>
              </w:rPr>
              <w:t>Il-Kummissjoni f’kooperazzjoni mal-Istati Membri se tappella għal wegħdiet ta’ impenn biex jitnedew sistemi ta’ vouchers</w:t>
            </w:r>
            <w:r>
              <w:rPr>
                <w:rFonts w:ascii="UICTFontTextStyleTallBody" w:hAnsi="UICTFontTextStyleTallBody"/>
                <w:i/>
                <w:noProof/>
              </w:rPr>
              <w:t xml:space="preserve"> ta’ patroċinju u se twaqqaf pjattaforma online biex tlaqqa’ lil dawk li jkunu wegħdu l-impenn tagħhom mal-fornituri fis-settur tat-turiżmu.</w:t>
            </w:r>
          </w:p>
          <w:p w:rsidR="00764E91" w:rsidRDefault="00764E91">
            <w:pPr>
              <w:shd w:val="clear" w:color="auto" w:fill="D9D9D9" w:themeFill="background1" w:themeFillShade="D9"/>
              <w:jc w:val="both"/>
              <w:rPr>
                <w:rFonts w:ascii="UICTFontTextStyleTallBody" w:hAnsi="UICTFontTextStyleTallBody"/>
                <w:i/>
                <w:noProof/>
              </w:rPr>
            </w:pPr>
          </w:p>
          <w:p w:rsidR="00764E91" w:rsidRDefault="0098050F">
            <w:pPr>
              <w:shd w:val="clear" w:color="auto" w:fill="D9D9D9" w:themeFill="background1" w:themeFillShade="D9"/>
              <w:jc w:val="both"/>
              <w:rPr>
                <w:rFonts w:ascii="UICTFontTextStyleTallBody" w:hAnsi="UICTFontTextStyleTallBody"/>
                <w:i/>
                <w:noProof/>
              </w:rPr>
            </w:pPr>
            <w:r>
              <w:rPr>
                <w:rFonts w:ascii="UICTFontTextStyleTallBody" w:hAnsi="UICTFontTextStyleTallBody"/>
                <w:i/>
                <w:noProof/>
              </w:rPr>
              <w:t>Il-Kummissjoni se tippromwovi tranżizzjoni lejn mudell aktar sostenibbli tat-turiżmu kostali u marittimu, bħala pa</w:t>
            </w:r>
            <w:r>
              <w:rPr>
                <w:rFonts w:ascii="UICTFontTextStyleTallBody" w:hAnsi="UICTFontTextStyleTallBody"/>
                <w:i/>
                <w:noProof/>
              </w:rPr>
              <w:t>rti mill-approċċ strateġiku tagħha għal ekonomija blu sostenibbli. Se tappoġġa wkoll l-agrituriżmu bħala mudell sostenibbli ta’ turiżmu fiż-żoni rurali.</w:t>
            </w:r>
          </w:p>
          <w:p w:rsidR="00764E91" w:rsidRDefault="00764E91">
            <w:pPr>
              <w:shd w:val="clear" w:color="auto" w:fill="D9D9D9" w:themeFill="background1" w:themeFillShade="D9"/>
              <w:jc w:val="both"/>
              <w:rPr>
                <w:rFonts w:ascii="UICTFontTextStyleTallBody" w:hAnsi="UICTFontTextStyleTallBody"/>
                <w:i/>
                <w:noProof/>
                <w:color w:val="auto"/>
              </w:rPr>
            </w:pPr>
          </w:p>
          <w:p w:rsidR="00764E91" w:rsidRDefault="0098050F">
            <w:pPr>
              <w:shd w:val="clear" w:color="auto" w:fill="D9D9D9" w:themeFill="background1" w:themeFillShade="D9"/>
              <w:jc w:val="both"/>
              <w:rPr>
                <w:rFonts w:ascii="UICTFontTextStyleTallBody" w:hAnsi="UICTFontTextStyleTallBody"/>
                <w:i/>
                <w:noProof/>
                <w:color w:val="auto"/>
              </w:rPr>
            </w:pPr>
            <w:r>
              <w:rPr>
                <w:rFonts w:ascii="UICTFontTextStyleTallBody" w:hAnsi="UICTFontTextStyleTallBody"/>
                <w:i/>
                <w:noProof/>
              </w:rPr>
              <w:t>Minn Ġunju, Europeana</w:t>
            </w:r>
            <w:r>
              <w:rPr>
                <w:rStyle w:val="FootnoteReference"/>
                <w:rFonts w:ascii="UICTFontTextStyleTallBody" w:hAnsi="UICTFontTextStyleTallBody"/>
                <w:i/>
                <w:noProof/>
              </w:rPr>
              <w:footnoteReference w:id="26"/>
            </w:r>
            <w:r>
              <w:rPr>
                <w:rFonts w:ascii="UICTFontTextStyleTallBody" w:hAnsi="UICTFontTextStyleTallBody"/>
                <w:i/>
                <w:noProof/>
              </w:rPr>
              <w:t>, il-pjattaforma Ewropea għall-Wirt Kulturali Diġitali, se tiżviluppa aktar l-an</w:t>
            </w:r>
            <w:r>
              <w:rPr>
                <w:rFonts w:ascii="UICTFontTextStyleTallBody" w:hAnsi="UICTFontTextStyleTallBody"/>
                <w:i/>
                <w:noProof/>
              </w:rPr>
              <w:t>golu turistiku tagħha li juri l-ġawhar kulturali Ewropej u dawk moħbija.  L-app li takkumpanjaha Cultural gems</w:t>
            </w:r>
            <w:r>
              <w:rPr>
                <w:rStyle w:val="FootnoteReference"/>
                <w:rFonts w:ascii="UICTFontTextStyleTallBody" w:hAnsi="UICTFontTextStyleTallBody"/>
                <w:i/>
                <w:noProof/>
              </w:rPr>
              <w:footnoteReference w:id="27"/>
            </w:r>
            <w:r>
              <w:rPr>
                <w:rFonts w:ascii="UICTFontTextStyleTallBody" w:hAnsi="UICTFontTextStyleTallBody"/>
                <w:i/>
                <w:noProof/>
              </w:rPr>
              <w:t xml:space="preserve"> se tniedi kampanja għal "ċittadini ambaxxaturi" fit-tieni nofs tas-sena biex tippromwovi t-turiżmu ta’ prossimità. </w:t>
            </w:r>
          </w:p>
          <w:p w:rsidR="00764E91" w:rsidRDefault="00764E91">
            <w:pPr>
              <w:shd w:val="clear" w:color="auto" w:fill="D9D9D9" w:themeFill="background1" w:themeFillShade="D9"/>
              <w:jc w:val="both"/>
              <w:rPr>
                <w:rFonts w:ascii="UICTFontTextStyleTallBody" w:hAnsi="UICTFontTextStyleTallBody"/>
                <w:i/>
                <w:noProof/>
                <w:color w:val="auto"/>
              </w:rPr>
            </w:pPr>
          </w:p>
          <w:p w:rsidR="00764E91" w:rsidRDefault="0098050F">
            <w:pPr>
              <w:shd w:val="clear" w:color="auto" w:fill="D9D9D9" w:themeFill="background1" w:themeFillShade="D9"/>
              <w:jc w:val="both"/>
              <w:rPr>
                <w:rFonts w:ascii="UICTFontTextStyleTallBody" w:hAnsi="UICTFontTextStyleTallBody"/>
                <w:i/>
                <w:noProof/>
                <w:color w:val="auto"/>
              </w:rPr>
            </w:pPr>
            <w:r>
              <w:rPr>
                <w:rFonts w:ascii="UICTFontTextStyleTallBody" w:hAnsi="UICTFontTextStyleTallBody"/>
                <w:i/>
                <w:noProof/>
              </w:rPr>
              <w:t xml:space="preserve">B’kooperazzjoni mal-Istati </w:t>
            </w:r>
            <w:r>
              <w:rPr>
                <w:rFonts w:ascii="UICTFontTextStyleTallBody" w:hAnsi="UICTFontTextStyleTallBody"/>
                <w:i/>
                <w:noProof/>
              </w:rPr>
              <w:t>Membri, il-Kummissjoni se tkompli bl-isforzi preċedenti biex tappoġġa l-iskambju tal-informazzjoni u tħeġġeġ lill-Ewropej biex jiskopru d-diversità tal-pajsaġġi, il-kulturi u l-esperjenzi fl-Ewropa, fosthom il-Kapitali Ewropej għat-Turiżmu Intelliġenti</w:t>
            </w:r>
            <w:r>
              <w:rPr>
                <w:rStyle w:val="FootnoteReference"/>
                <w:rFonts w:ascii="UICTFontTextStyleTallBody" w:hAnsi="UICTFontTextStyleTallBody"/>
                <w:i/>
                <w:noProof/>
              </w:rPr>
              <w:footnoteReference w:id="28"/>
            </w:r>
            <w:r>
              <w:rPr>
                <w:rFonts w:ascii="UICTFontTextStyleTallBody" w:hAnsi="UICTFontTextStyleTallBody"/>
                <w:i/>
                <w:noProof/>
              </w:rPr>
              <w:t xml:space="preserve"> u </w:t>
            </w:r>
            <w:r>
              <w:rPr>
                <w:rFonts w:ascii="UICTFontTextStyleTallBody" w:hAnsi="UICTFontTextStyleTallBody"/>
                <w:i/>
                <w:noProof/>
              </w:rPr>
              <w:t>d-Destinazzjonijiet Ewropej ta' Eċċellenza (EDEN)</w:t>
            </w:r>
            <w:r>
              <w:rPr>
                <w:rStyle w:val="FootnoteReference"/>
                <w:rFonts w:ascii="UICTFontTextStyleTallBody" w:hAnsi="UICTFontTextStyleTallBody"/>
                <w:i/>
                <w:noProof/>
              </w:rPr>
              <w:footnoteReference w:id="29"/>
            </w:r>
            <w:r>
              <w:rPr>
                <w:rFonts w:ascii="UICTFontTextStyleTallBody" w:hAnsi="UICTFontTextStyleTallBody"/>
                <w:i/>
                <w:noProof/>
              </w:rPr>
              <w:t xml:space="preserve">. </w:t>
            </w:r>
          </w:p>
          <w:p w:rsidR="00764E91" w:rsidRDefault="00764E91">
            <w:pPr>
              <w:shd w:val="clear" w:color="auto" w:fill="D9D9D9" w:themeFill="background1" w:themeFillShade="D9"/>
              <w:jc w:val="both"/>
              <w:rPr>
                <w:noProof/>
              </w:rPr>
            </w:pPr>
          </w:p>
        </w:tc>
      </w:tr>
    </w:tbl>
    <w:p w:rsidR="00764E91" w:rsidRDefault="0098050F">
      <w:pPr>
        <w:pStyle w:val="Bodytext20"/>
        <w:numPr>
          <w:ilvl w:val="0"/>
          <w:numId w:val="22"/>
        </w:numPr>
        <w:shd w:val="clear" w:color="auto" w:fill="auto"/>
        <w:tabs>
          <w:tab w:val="left" w:pos="758"/>
        </w:tabs>
        <w:spacing w:after="0" w:line="240" w:lineRule="auto"/>
        <w:rPr>
          <w:b/>
          <w:noProof/>
        </w:rPr>
      </w:pPr>
      <w:r>
        <w:rPr>
          <w:b/>
          <w:noProof/>
        </w:rPr>
        <w:t xml:space="preserve">NAĦDMU FLIMKIEN </w:t>
      </w:r>
    </w:p>
    <w:p w:rsidR="00764E91" w:rsidRDefault="00764E91">
      <w:pPr>
        <w:pStyle w:val="Bodytext20"/>
        <w:shd w:val="clear" w:color="auto" w:fill="auto"/>
        <w:tabs>
          <w:tab w:val="left" w:pos="758"/>
        </w:tabs>
        <w:spacing w:after="0" w:line="240" w:lineRule="auto"/>
        <w:ind w:firstLine="0"/>
        <w:rPr>
          <w:b/>
          <w:noProof/>
        </w:rPr>
      </w:pPr>
    </w:p>
    <w:p w:rsidR="00764E91" w:rsidRDefault="0098050F">
      <w:pPr>
        <w:pStyle w:val="Bodytext20"/>
        <w:tabs>
          <w:tab w:val="left" w:pos="758"/>
        </w:tabs>
        <w:rPr>
          <w:noProof/>
        </w:rPr>
      </w:pPr>
      <w:r>
        <w:rPr>
          <w:noProof/>
        </w:rPr>
        <w:tab/>
        <w:t xml:space="preserve">Il-kwistjonijiet marbuta mat-turiżmu, mat-trasport u mal-fruntieri huma rregolati minn sensiela kumplessa ta’ oqfsa ta’ politika żviluppati u implimentati separatament fuq livelli </w:t>
      </w:r>
      <w:r>
        <w:rPr>
          <w:noProof/>
        </w:rPr>
        <w:t>differenti – lokali, reġjonali, nazzjonali u tal-UE. Il-bliet u xi kultant ir-reġjuni huma responsabbli għal firxa wiesgħa ta’ politiki dwar it-turiżmu u t-trasport. Id-diversità tal-ekosistema tat-turiżmu hija riflessa fil-governanza tagħha, iżda dan joħl</w:t>
      </w:r>
      <w:r>
        <w:rPr>
          <w:noProof/>
        </w:rPr>
        <w:t>oq ċertu sfidi wkoll għax miżuri ta’ politika implimentati fil-livelli varji mingħajr koordinazzjoni jistgħu jinnewtralizzaw jew saħansitra jxekklu lil xulxin.</w:t>
      </w:r>
    </w:p>
    <w:p w:rsidR="00764E91" w:rsidRDefault="0098050F">
      <w:pPr>
        <w:pStyle w:val="Bodytext20"/>
        <w:tabs>
          <w:tab w:val="left" w:pos="758"/>
        </w:tabs>
        <w:rPr>
          <w:noProof/>
        </w:rPr>
      </w:pPr>
      <w:r>
        <w:rPr>
          <w:noProof/>
        </w:rPr>
        <w:tab/>
        <w:t xml:space="preserve">Flimkien u b’rabta mal-miżuri lokali, reġjonali u nazzjonali, dawn l-azzjonijiet u l-gwida ta’ </w:t>
      </w:r>
      <w:r>
        <w:rPr>
          <w:noProof/>
        </w:rPr>
        <w:t>dan il-pakkett għandhom jgħinu biex l-ekosistema tat-turiżmu tingħata bażi soda. Iżda biex kollox imur sew, jenħtieġ li jkun hemm kooperazzjoni ġenwina bejn għadd ta’ oqfsa ta’ politika u sett ta’ atturi rilevanti għat-turiżmu:</w:t>
      </w:r>
    </w:p>
    <w:p w:rsidR="00764E91" w:rsidRDefault="0098050F">
      <w:pPr>
        <w:pStyle w:val="Bodytext20"/>
        <w:tabs>
          <w:tab w:val="left" w:pos="758"/>
        </w:tabs>
        <w:ind w:left="360"/>
        <w:rPr>
          <w:noProof/>
        </w:rPr>
      </w:pPr>
      <w:r>
        <w:rPr>
          <w:noProof/>
        </w:rPr>
        <w:t>•</w:t>
      </w:r>
      <w:r>
        <w:rPr>
          <w:noProof/>
        </w:rPr>
        <w:tab/>
        <w:t>B’mod orizzontali, bejn l-</w:t>
      </w:r>
      <w:r>
        <w:rPr>
          <w:noProof/>
        </w:rPr>
        <w:t>awtoritajiet lokali, reġjonali u nazzjonali u mal-Kummissjoni;</w:t>
      </w:r>
    </w:p>
    <w:p w:rsidR="00764E91" w:rsidRDefault="0098050F">
      <w:pPr>
        <w:pStyle w:val="Bodytext20"/>
        <w:tabs>
          <w:tab w:val="left" w:pos="758"/>
        </w:tabs>
        <w:ind w:left="360"/>
        <w:rPr>
          <w:noProof/>
        </w:rPr>
      </w:pPr>
      <w:r>
        <w:rPr>
          <w:noProof/>
        </w:rPr>
        <w:t>•</w:t>
      </w:r>
      <w:r>
        <w:rPr>
          <w:noProof/>
        </w:rPr>
        <w:tab/>
        <w:t>B’mod vertikali bejn l-uffiċjali tad-dwana, il-fornituri tat-trasport, il-fornituri tal-akkomodazzjoni u l-atturi l-oħra kollha fl-ekosistema, b’mod partikolari biex il-linji gwida jitħaddmu,</w:t>
      </w:r>
      <w:r>
        <w:rPr>
          <w:noProof/>
        </w:rPr>
        <w:t xml:space="preserve"> jiġu prattikati u implimentati.</w:t>
      </w:r>
    </w:p>
    <w:p w:rsidR="00764E91" w:rsidRDefault="0098050F">
      <w:pPr>
        <w:pStyle w:val="Bodytext20"/>
        <w:shd w:val="clear" w:color="auto" w:fill="auto"/>
        <w:tabs>
          <w:tab w:val="left" w:pos="758"/>
        </w:tabs>
        <w:spacing w:after="0" w:line="240" w:lineRule="auto"/>
        <w:ind w:firstLine="0"/>
        <w:rPr>
          <w:noProof/>
        </w:rPr>
      </w:pPr>
      <w:r>
        <w:rPr>
          <w:noProof/>
        </w:rPr>
        <w:t xml:space="preserve">Sabiex tiżgura koordinazzjoni xierqa u f’waqtha fost l-atturi kollha filwaqt li tibni fuq kanali stabbiliti, il-Kummissjoni se toħloq mekkaniżmi ta’ koordinazzjoni li jlaqqgħu flimkien l-aġenziji u l-korpi kollha tal-UE li </w:t>
      </w:r>
      <w:r>
        <w:rPr>
          <w:noProof/>
        </w:rPr>
        <w:t xml:space="preserve">huma involuti fit-tħejjija tal-linji gwida relatati mal-COVID-19 f’koordinazzjoni mill-qrib mas-sistema eżistenti ta’ ġestjoni tal-kriżijiet. </w:t>
      </w:r>
    </w:p>
    <w:p w:rsidR="00764E91" w:rsidRDefault="00764E91">
      <w:pPr>
        <w:rPr>
          <w:noProof/>
        </w:rPr>
      </w:pPr>
    </w:p>
    <w:p w:rsidR="00764E91" w:rsidRDefault="00764E91">
      <w:pPr>
        <w:rPr>
          <w:noProof/>
        </w:rPr>
      </w:pPr>
    </w:p>
    <w:p w:rsidR="00764E91" w:rsidRDefault="0098050F">
      <w:pPr>
        <w:pStyle w:val="ListParagraph"/>
        <w:numPr>
          <w:ilvl w:val="0"/>
          <w:numId w:val="22"/>
        </w:numPr>
        <w:rPr>
          <w:noProof/>
        </w:rPr>
      </w:pPr>
      <w:r>
        <w:rPr>
          <w:b/>
          <w:noProof/>
        </w:rPr>
        <w:t>ORIZZONTI ĠODDA - LEJN FUTUR SOSTENIBBLI</w:t>
      </w:r>
    </w:p>
    <w:p w:rsidR="00764E91" w:rsidRDefault="00764E91">
      <w:pPr>
        <w:pStyle w:val="Bodytext20"/>
        <w:shd w:val="clear" w:color="auto" w:fill="auto"/>
        <w:tabs>
          <w:tab w:val="left" w:pos="758"/>
        </w:tabs>
        <w:spacing w:after="0" w:line="240" w:lineRule="auto"/>
        <w:ind w:firstLine="0"/>
        <w:rPr>
          <w:b/>
          <w:noProof/>
        </w:rPr>
      </w:pPr>
    </w:p>
    <w:p w:rsidR="00764E91" w:rsidRDefault="0098050F">
      <w:pPr>
        <w:pStyle w:val="Bodytext20"/>
        <w:tabs>
          <w:tab w:val="left" w:pos="758"/>
        </w:tabs>
        <w:spacing w:after="0" w:line="240" w:lineRule="auto"/>
        <w:rPr>
          <w:noProof/>
        </w:rPr>
      </w:pPr>
      <w:r>
        <w:rPr>
          <w:b/>
          <w:noProof/>
        </w:rPr>
        <w:tab/>
      </w:r>
      <w:r>
        <w:rPr>
          <w:noProof/>
        </w:rPr>
        <w:t>Lil hinn mill-passi immedjati biex tinkiseb l-għajnuna, jeħtiġilna n</w:t>
      </w:r>
      <w:r>
        <w:rPr>
          <w:noProof/>
        </w:rPr>
        <w:t>ħarsu ’l quddiem lejn il-futur tat-turiżmu u t-trasport fl-UE u naraw kif nistgħu nagħmluh aktar reżiljenti u sostenibbli, nitgħallmu mill-kriżi u nantiċipaw xejriet ġodda u t-tendenzi tal-konsumaturi b'rabta mat-turiżmu u t-trasport tal-ġejjieni.</w:t>
      </w:r>
    </w:p>
    <w:p w:rsidR="00764E91" w:rsidRDefault="0098050F">
      <w:pPr>
        <w:pStyle w:val="Bodytext20"/>
        <w:tabs>
          <w:tab w:val="left" w:pos="758"/>
        </w:tabs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:rsidR="00764E91" w:rsidRDefault="0098050F">
      <w:pPr>
        <w:pStyle w:val="Bodytext20"/>
        <w:tabs>
          <w:tab w:val="left" w:pos="758"/>
        </w:tabs>
        <w:ind w:firstLine="0"/>
        <w:rPr>
          <w:noProof/>
        </w:rPr>
      </w:pPr>
      <w:r>
        <w:rPr>
          <w:noProof/>
        </w:rPr>
        <w:t>L-ambizzjoni komuni tagħna għandha tkun li l-Ewropa tibqa’ d-destinazzjoni turistika ewlenija fid-dinja f’termini ta’ valur, kwalità, sostenibbiltà u innovazzjoni. Din il-viżjoni għandha tiggwida l-użu tar-riżorsi finanzjarji u l-investiment fil-livell Ewr</w:t>
      </w:r>
      <w:r>
        <w:rPr>
          <w:noProof/>
        </w:rPr>
        <w:t>opew, dak nazzjonali, reġjonali u lokali.</w:t>
      </w:r>
    </w:p>
    <w:p w:rsidR="00764E91" w:rsidRDefault="0098050F">
      <w:pPr>
        <w:pStyle w:val="Bodytext20"/>
        <w:shd w:val="clear" w:color="auto" w:fill="auto"/>
        <w:tabs>
          <w:tab w:val="left" w:pos="758"/>
        </w:tabs>
        <w:spacing w:after="0" w:line="240" w:lineRule="auto"/>
        <w:ind w:firstLine="0"/>
        <w:rPr>
          <w:noProof/>
        </w:rPr>
      </w:pPr>
      <w:r>
        <w:rPr>
          <w:noProof/>
        </w:rPr>
        <w:t>Fil-qalba ta’ din l-ambizzjoni l-ġdida hemm is-</w:t>
      </w:r>
      <w:r>
        <w:rPr>
          <w:b/>
          <w:noProof/>
        </w:rPr>
        <w:t>sostenibbiltà</w:t>
      </w:r>
      <w:r>
        <w:rPr>
          <w:noProof/>
        </w:rPr>
        <w:t>, li tikkontribwixxi kemm għall-Patt Ekoloġiku Ewropew u kemm għal komunitajiet b’saħħithom. L-għan tagħna għandu jkun li jkun hemm trasport affordabbli u</w:t>
      </w:r>
      <w:r>
        <w:rPr>
          <w:noProof/>
        </w:rPr>
        <w:t xml:space="preserve"> aktar sostenibbli u konnettività aqwa, tingħata spinta lill-ġestjoni intelliġenti tal-flussi tat-turiżmu abbażi ta’ kalkoli u għodod tajbin, tiġi ddiversifikata l-offerta tat-turiżmu u jiġu estiżi l-opportunitajiet “barra l-istaġun”, jiġu żviluppati ħilie</w:t>
      </w:r>
      <w:r>
        <w:rPr>
          <w:noProof/>
        </w:rPr>
        <w:t>t ta’ sostenibbiltà għall-professjonisti tat-turiżmu u jingħata valur lill-varjetà ta’ pajsaġġi u d-diversità kulturali madwar l-Ewropa kollha, filwaqt li jitħares u jiġi restawrat il-kapital naturali tal-art u tal-ibħra tal-Ewropa, f’konformità mal-approċ</w:t>
      </w:r>
      <w:r>
        <w:rPr>
          <w:noProof/>
        </w:rPr>
        <w:t>ċ strateġiku għal ekonomija blu u ekoloġika sostenibbli. Dan għandu jinkludi l-promozzjoni ta’ akkomodazzjonijiet turistiċi sostenibbli (permezz ta’ skemi volontarji bħall-Ekotikketta tal-UE u l-EMAS). Din l-ambizzjoni għal turiżmu sostenibbli għandha tigg</w:t>
      </w:r>
      <w:r>
        <w:rPr>
          <w:noProof/>
        </w:rPr>
        <w:t>wida d-deċiżjonijiet ta’ investiment fil-livell tal-UE, iżda tista’ taħdem biss flimkien ma’ impenn qawwi fil-livell reġjonali u lokali.</w:t>
      </w:r>
    </w:p>
    <w:p w:rsidR="00764E91" w:rsidRDefault="00764E91">
      <w:pPr>
        <w:pStyle w:val="Bodytext20"/>
        <w:shd w:val="clear" w:color="auto" w:fill="auto"/>
        <w:tabs>
          <w:tab w:val="left" w:pos="758"/>
        </w:tabs>
        <w:spacing w:after="0" w:line="240" w:lineRule="auto"/>
        <w:ind w:firstLine="0"/>
        <w:rPr>
          <w:noProof/>
        </w:rPr>
      </w:pPr>
    </w:p>
    <w:p w:rsidR="00764E91" w:rsidRDefault="0098050F">
      <w:pPr>
        <w:pStyle w:val="Bodytext20"/>
        <w:shd w:val="clear" w:color="auto" w:fill="auto"/>
        <w:tabs>
          <w:tab w:val="left" w:pos="758"/>
        </w:tabs>
        <w:spacing w:after="0" w:line="240" w:lineRule="auto"/>
        <w:ind w:firstLine="0"/>
        <w:rPr>
          <w:noProof/>
        </w:rPr>
      </w:pPr>
      <w:r>
        <w:rPr>
          <w:noProof/>
        </w:rPr>
        <w:t>Bl-istess mod, it-turiżmu jista’ jiggwadanja mit-</w:t>
      </w:r>
      <w:r>
        <w:rPr>
          <w:b/>
          <w:noProof/>
        </w:rPr>
        <w:t>tranżizzjoni diġitali</w:t>
      </w:r>
      <w:r>
        <w:rPr>
          <w:noProof/>
        </w:rPr>
        <w:t>, li tipprovdi modi ġodda kif jiġu ġestiti l-flu</w:t>
      </w:r>
      <w:r>
        <w:rPr>
          <w:noProof/>
        </w:rPr>
        <w:t>ssi tal-ivvjaġġar u tat-turisti, tkabbar l-opportunitajiet u l-għażla, u twassal għal użu iktar effiċjenti tar-riżorsi skarsi. L-użu tal-analiżi tal-</w:t>
      </w:r>
      <w:r>
        <w:rPr>
          <w:i/>
          <w:iCs/>
          <w:noProof/>
        </w:rPr>
        <w:t>big data</w:t>
      </w:r>
      <w:r>
        <w:rPr>
          <w:noProof/>
        </w:rPr>
        <w:t xml:space="preserve"> jista’ joħloq u jikkondividi segmenti tal-profil turistiku preċiż u jgħin biex jinftiehmu t-tenden</w:t>
      </w:r>
      <w:r>
        <w:rPr>
          <w:noProof/>
        </w:rPr>
        <w:t>zi u l-ħtiġijiet tal-vjaġġaturi. Il-</w:t>
      </w:r>
      <w:r>
        <w:rPr>
          <w:i/>
          <w:iCs/>
          <w:noProof/>
        </w:rPr>
        <w:t>big data</w:t>
      </w:r>
      <w:r>
        <w:rPr>
          <w:noProof/>
        </w:rPr>
        <w:t xml:space="preserve"> tippermetti li t-turiżmu jirrispondi immedjatament għall-bidliet fid-domanda tal-klijent, u tipprovdi analiżi tal-immudellar bit-tbassir. Fl-aħħar nett, l-applikazzjoni tat-teknoloġija blockchain tippermetti lil</w:t>
      </w:r>
      <w:r>
        <w:rPr>
          <w:noProof/>
        </w:rPr>
        <w:t>l-operaturi tat-turiżmu jkollhom l-informazzjoni kollha disponibbli dwar it-tranżazzjonijiet sikuri.</w:t>
      </w:r>
    </w:p>
    <w:p w:rsidR="00764E91" w:rsidRDefault="00764E91">
      <w:pPr>
        <w:pStyle w:val="Bodytext20"/>
        <w:shd w:val="clear" w:color="auto" w:fill="auto"/>
        <w:tabs>
          <w:tab w:val="left" w:pos="758"/>
        </w:tabs>
        <w:spacing w:after="0" w:line="240" w:lineRule="auto"/>
        <w:ind w:firstLine="0"/>
        <w:rPr>
          <w:noProof/>
        </w:rPr>
      </w:pPr>
    </w:p>
    <w:p w:rsidR="00764E91" w:rsidRDefault="0098050F">
      <w:pPr>
        <w:pStyle w:val="Bodytext20"/>
        <w:shd w:val="clear" w:color="auto" w:fill="auto"/>
        <w:tabs>
          <w:tab w:val="left" w:pos="758"/>
        </w:tabs>
        <w:spacing w:after="0" w:line="240" w:lineRule="auto"/>
        <w:ind w:firstLine="0"/>
        <w:rPr>
          <w:noProof/>
        </w:rPr>
      </w:pPr>
      <w:r>
        <w:rPr>
          <w:noProof/>
        </w:rPr>
        <w:t>L-għodod diġitali jistgħu jkunu wkoll miżuri għat-tisħiħ tal-fiduċja biex jassiguraw lin-nies li l-ivvjaġġar u t-turiżmu jistgħu jkunu sikuri. Dan ifisser</w:t>
      </w:r>
      <w:r>
        <w:rPr>
          <w:noProof/>
        </w:rPr>
        <w:t xml:space="preserve"> investiment fil-ħiliet diġitali, fosthom iċ-ċibersigurtà u t-trawwim tal-innovazzjoni diġitali, kif ukoll il-konnessjoni bejn in-negozji u l-atturi tat-turiżmu bl-ispazji eżistenti tad-</w:t>
      </w:r>
      <w:r>
        <w:rPr>
          <w:i/>
          <w:noProof/>
        </w:rPr>
        <w:t>data</w:t>
      </w:r>
      <w:r>
        <w:rPr>
          <w:noProof/>
        </w:rPr>
        <w:t xml:space="preserve"> fil-livell lokali u reġjonali (pereżempju permezz tal-ħidma li għ</w:t>
      </w:r>
      <w:r>
        <w:rPr>
          <w:noProof/>
        </w:rPr>
        <w:t>addejja dwar l-ispazju tad-</w:t>
      </w:r>
      <w:r>
        <w:rPr>
          <w:i/>
          <w:noProof/>
        </w:rPr>
        <w:t>data</w:t>
      </w:r>
      <w:r>
        <w:rPr>
          <w:noProof/>
        </w:rPr>
        <w:t xml:space="preserve"> Ewropew dwar il-mobbiltà). Dan huwa partikolarment importanti f’żoni rurali, remoti u fir-reġjuni ultraperiferiċi fejn it-turiżmu huwa frammentat u jiddependi ħafna fuq l-informazzjoni, it-trasport u l-aċċessibbiltà tal-ivvj</w:t>
      </w:r>
      <w:r>
        <w:rPr>
          <w:noProof/>
        </w:rPr>
        <w:t xml:space="preserve">aġġar.  </w:t>
      </w:r>
    </w:p>
    <w:p w:rsidR="00764E91" w:rsidRDefault="00764E91">
      <w:pPr>
        <w:pStyle w:val="Bodytext20"/>
        <w:shd w:val="clear" w:color="auto" w:fill="auto"/>
        <w:tabs>
          <w:tab w:val="left" w:pos="758"/>
        </w:tabs>
        <w:spacing w:after="0" w:line="240" w:lineRule="auto"/>
        <w:ind w:firstLine="0"/>
        <w:rPr>
          <w:noProof/>
        </w:rPr>
      </w:pPr>
    </w:p>
    <w:p w:rsidR="00764E91" w:rsidRDefault="0098050F">
      <w:pPr>
        <w:pStyle w:val="Bodytext20"/>
        <w:ind w:firstLine="0"/>
        <w:rPr>
          <w:noProof/>
        </w:rPr>
      </w:pPr>
      <w:r>
        <w:rPr>
          <w:noProof/>
        </w:rPr>
        <w:t>B’din it-tranżizzjoni l-SMEs se jkunu jeħtieġu attenzjoni partikolari. Kif imħabbar fl-Istrateġija reċenti għall-SMEs, il-Kummissjoni se taħdem ma’ networks madwar l-Ewropa bħan-Network Enterprise Europe, l-Alleanza Ewropea tal-Clusters u ċ-Ċentr</w:t>
      </w:r>
      <w:r>
        <w:rPr>
          <w:noProof/>
        </w:rPr>
        <w:t>i Ewropej ta’ Innovazzjoni Diġitali biex tappoġġa s-sostenibbiltà u d-diġitalizzazzjoni u tgħin lill-kumpaniji tat-turiżmu lokali jsiru aktar reżiljenti u kompetittivi. Dan jeħtieġ rabtiet transsettorjali, fluss ta’ għarfien interdixxiplinarju, konnessjoni</w:t>
      </w:r>
      <w:r>
        <w:rPr>
          <w:noProof/>
        </w:rPr>
        <w:t xml:space="preserve">jiet aktar b’saħħithom u tisħiħ tal-kapaċità biex tiġi żgurata l-adozzjoni aċċellerata tal-innovazzjonijiet tal-prodotti, tas-servizzi u tal-proċessi. Dawn in-networks għandhom jgħaqqdu wkoll it-turiżmu ma’ industriji oħra biex jaċċelleraw l-adozzjoni ta’ </w:t>
      </w:r>
      <w:r>
        <w:rPr>
          <w:noProof/>
        </w:rPr>
        <w:t xml:space="preserve">soluzzjonijiet ġodda, irawmu investimenti transsettorjali fl-ekosistema tat-turiżmu bl-ICT, l-enerġiji rinnovabbli, ix-xjenzi tas-saħħa tal-ħajja, l-industrija agroalimentari, dik marittima, u dik kulturali u kreattiva, inkluż is-settur tal-midja. </w:t>
      </w:r>
    </w:p>
    <w:p w:rsidR="00764E91" w:rsidRDefault="0098050F">
      <w:pPr>
        <w:jc w:val="both"/>
        <w:rPr>
          <w:noProof/>
        </w:rPr>
      </w:pPr>
      <w:r>
        <w:rPr>
          <w:noProof/>
        </w:rPr>
        <w:t xml:space="preserve">Dan </w:t>
      </w:r>
      <w:r>
        <w:rPr>
          <w:noProof/>
        </w:rPr>
        <w:t>iż-żmien jitlob rispons koordinat fil-livell Ewropew biex noħorġu mill-kriżi fuq medda ta’ żmien qasira, iżda anki biex insawru l-irkupru u nindirizzaw l-isfidi komuni fuq medda ta’ żmien itwal.</w:t>
      </w:r>
    </w:p>
    <w:p w:rsidR="00764E91" w:rsidRDefault="00764E91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764E91">
        <w:tc>
          <w:tcPr>
            <w:tcW w:w="8838" w:type="dxa"/>
            <w:shd w:val="clear" w:color="auto" w:fill="D9D9D9" w:themeFill="background1" w:themeFillShade="D9"/>
          </w:tcPr>
          <w:p w:rsidR="00764E91" w:rsidRDefault="0098050F">
            <w:pPr>
              <w:pStyle w:val="Bodytext20"/>
              <w:shd w:val="clear" w:color="auto" w:fill="auto"/>
              <w:tabs>
                <w:tab w:val="left" w:pos="758"/>
              </w:tabs>
              <w:spacing w:after="0" w:line="240" w:lineRule="auto"/>
              <w:ind w:firstLine="0"/>
              <w:rPr>
                <w:noProof/>
              </w:rPr>
            </w:pPr>
            <w:r>
              <w:rPr>
                <w:i/>
                <w:noProof/>
              </w:rPr>
              <w:t>Meta ċ-ċirkostanzi tas-saħħa jkunu jippermettu, il-Kummissjo</w:t>
            </w:r>
            <w:r>
              <w:rPr>
                <w:i/>
                <w:noProof/>
              </w:rPr>
              <w:t>ni Ewropea se torganizza konvenzjoni tat-turiżmu Ewropew, sabiex flimkien mal-istituzzjonijiet tal-UE, l-industrija, ir-reġjuni u l-bliet u l-partijiet ikkonċernati, tirrifletti dwar it-turiżmu Ewropew tal-ġejjieni u, b’mod konġunt, jibda jitfassal pjan di</w:t>
            </w:r>
            <w:r>
              <w:rPr>
                <w:i/>
                <w:noProof/>
              </w:rPr>
              <w:t>rezzjonali 2050 lejn ekosistema tat-turiżmu sostenibbli, innovattiva u reżiljenti (“l-Aġenda Ewropea għat-Turiżmu 2050”).</w:t>
            </w:r>
          </w:p>
        </w:tc>
      </w:tr>
    </w:tbl>
    <w:p w:rsidR="00764E91" w:rsidRDefault="00764E91">
      <w:pPr>
        <w:rPr>
          <w:noProof/>
        </w:rPr>
      </w:pPr>
    </w:p>
    <w:p w:rsidR="00764E91" w:rsidRPr="0098050F" w:rsidRDefault="00764E91">
      <w:pPr>
        <w:jc w:val="both"/>
        <w:rPr>
          <w:noProof/>
        </w:rPr>
      </w:pPr>
    </w:p>
    <w:sectPr w:rsidR="00764E91" w:rsidRPr="0098050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88" w:right="1614" w:bottom="1289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91" w:rsidRDefault="0098050F">
      <w:r>
        <w:separator/>
      </w:r>
    </w:p>
  </w:endnote>
  <w:endnote w:type="continuationSeparator" w:id="0">
    <w:p w:rsidR="00764E91" w:rsidRDefault="0098050F">
      <w:r>
        <w:continuationSeparator/>
      </w:r>
    </w:p>
  </w:endnote>
  <w:endnote w:type="continuationNotice" w:id="1">
    <w:p w:rsidR="00764E91" w:rsidRDefault="00764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0F" w:rsidRPr="0098050F" w:rsidRDefault="0098050F" w:rsidP="00980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0F" w:rsidRPr="0098050F" w:rsidRDefault="0098050F" w:rsidP="0098050F">
    <w:pPr>
      <w:pStyle w:val="FooterCoverPage"/>
      <w:rPr>
        <w:rFonts w:ascii="Arial" w:hAnsi="Arial" w:cs="Arial"/>
        <w:b/>
        <w:sz w:val="48"/>
      </w:rPr>
    </w:pPr>
    <w:r w:rsidRPr="0098050F">
      <w:rPr>
        <w:rFonts w:ascii="Arial" w:hAnsi="Arial" w:cs="Arial"/>
        <w:b/>
        <w:sz w:val="48"/>
      </w:rPr>
      <w:t>MT</w:t>
    </w:r>
    <w:r w:rsidRPr="0098050F">
      <w:rPr>
        <w:rFonts w:ascii="Arial" w:hAnsi="Arial" w:cs="Arial"/>
        <w:b/>
        <w:sz w:val="48"/>
      </w:rPr>
      <w:tab/>
    </w:r>
    <w:r w:rsidRPr="0098050F">
      <w:rPr>
        <w:rFonts w:ascii="Arial" w:hAnsi="Arial" w:cs="Arial"/>
        <w:b/>
        <w:sz w:val="48"/>
      </w:rPr>
      <w:tab/>
    </w:r>
    <w:r w:rsidRPr="0098050F">
      <w:tab/>
    </w:r>
    <w:r w:rsidRPr="0098050F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0F" w:rsidRPr="0098050F" w:rsidRDefault="0098050F" w:rsidP="0098050F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1" w:rsidRDefault="00764E9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1" w:rsidRDefault="009805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4.45pt;margin-top:780.75pt;width:3.6pt;height:5.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4E91" w:rsidRDefault="0098050F">
                <w:pPr>
                  <w:pStyle w:val="Headerorfooter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8050F">
                  <w:rPr>
                    <w:rStyle w:val="Headerorfooter18pt"/>
                    <w:noProof/>
                  </w:rPr>
                  <w:t>1</w:t>
                </w:r>
                <w:r>
                  <w:rPr>
                    <w:rStyle w:val="Headerorfooter1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1" w:rsidRDefault="009805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9.25pt;margin-top:695.3pt;width:224.65pt;height:8.65pt;z-index:-2516582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4E91" w:rsidRDefault="0098050F">
                <w:pPr>
                  <w:pStyle w:val="Headerorfooter11"/>
                  <w:shd w:val="clear" w:color="auto" w:fill="auto"/>
                  <w:tabs>
                    <w:tab w:val="right" w:pos="4493"/>
                  </w:tabs>
                  <w:spacing w:line="240" w:lineRule="auto"/>
                </w:pPr>
                <w:r>
                  <w:t>Destinatarji:</w:t>
                </w:r>
                <w:r>
                  <w:tab/>
                  <w:t>Il-Membri tal-Kummissjoni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91" w:rsidRDefault="0098050F">
      <w:r>
        <w:separator/>
      </w:r>
    </w:p>
  </w:footnote>
  <w:footnote w:type="continuationSeparator" w:id="0">
    <w:p w:rsidR="00764E91" w:rsidRDefault="0098050F">
      <w:r>
        <w:continuationSeparator/>
      </w:r>
    </w:p>
  </w:footnote>
  <w:footnote w:type="continuationNotice" w:id="1">
    <w:p w:rsidR="00764E91" w:rsidRDefault="00764E91"/>
  </w:footnote>
  <w:footnote w:id="2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UNWTO </w:t>
      </w:r>
    </w:p>
  </w:footnote>
  <w:footnote w:id="3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Eurostat — Wasliet fi stabbilimenti ta’ akkomodazzjoni turistika — </w:t>
      </w:r>
      <w:r>
        <w:rPr>
          <w:i/>
        </w:rPr>
        <w:t>data</w:t>
      </w:r>
      <w:r>
        <w:t xml:space="preserve"> ta’ kull xahar (2019)</w:t>
      </w:r>
    </w:p>
  </w:footnote>
  <w:footnote w:id="4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ab/>
        <w:t>Pjan Direzzjonali Ewropew Konġunt għat-tneħħija tal-miżuri ta’ konteniment tal-COVID-19, ĠU C 126/C 17.4.2020</w:t>
      </w:r>
    </w:p>
  </w:footnote>
  <w:footnote w:id="5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ab/>
        <w:t>Skont il-UNWTO, “It-turiżmu jinkludi l-attivitaj</w:t>
      </w:r>
      <w:r>
        <w:t>iet ta’ persuni li jivvjaġġaw lejn postijiet barra mill-ambjent tas-soltu tagħhom u joqogħdu fihom għal mhux aktar minn sena konsekuttiva għall-mistrieħ, in-negozju jew għanijiet oħra”.</w:t>
      </w:r>
    </w:p>
  </w:footnote>
  <w:footnote w:id="6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C(2020) 3250</w:t>
      </w:r>
    </w:p>
  </w:footnote>
  <w:footnote w:id="7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Soġġett għal miżuri speċifiċi applikabbli għal gruppi </w:t>
      </w:r>
      <w:r>
        <w:t>vulnerabbli</w:t>
      </w:r>
    </w:p>
  </w:footnote>
  <w:footnote w:id="8">
    <w:p w:rsidR="00764E91" w:rsidRDefault="0098050F">
      <w:pPr>
        <w:pStyle w:val="FootnoteText"/>
        <w:rPr>
          <w:b/>
        </w:rPr>
      </w:pPr>
      <w:r>
        <w:rPr>
          <w:rStyle w:val="FootnoteReference"/>
          <w:b/>
        </w:rPr>
        <w:footnoteRef/>
      </w:r>
      <w:r>
        <w:rPr>
          <w:b/>
        </w:rPr>
        <w:t xml:space="preserve"> </w:t>
      </w:r>
      <w:r>
        <w:t>C(2020) 3139</w:t>
      </w:r>
      <w:r>
        <w:rPr>
          <w:b/>
        </w:rPr>
        <w:t xml:space="preserve"> </w:t>
      </w:r>
    </w:p>
  </w:footnote>
  <w:footnote w:id="9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   COVID-19: BACK TO THE WORKPLACE - Adapting workplaces and protecting workers [LURA LEJN IL-POST TAX-XOGĦOL - Nadattaw il-postijiet tax-xogħol u nipproteġu l-ħaddiema] </w:t>
      </w:r>
      <w:r>
        <w:rPr>
          <w:rStyle w:val="Hyperlink"/>
        </w:rPr>
        <w:t>, https://osha.europa.eu/en/publications/covid-19-back-w</w:t>
      </w:r>
      <w:r>
        <w:rPr>
          <w:rStyle w:val="Hyperlink"/>
        </w:rPr>
        <w:t>orkplace-adapting-workplaces-and-protecting-workers/view</w:t>
      </w:r>
    </w:p>
  </w:footnote>
  <w:footnote w:id="10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C(2020) 3251</w:t>
      </w:r>
    </w:p>
  </w:footnote>
  <w:footnote w:id="11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>Inklużi żoni b’servizzi ta’ barra, kantins, marini.</w:t>
      </w:r>
    </w:p>
  </w:footnote>
  <w:footnote w:id="12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https://ec.europa.eu/digital-single-market/en/digital-innovation-hubs</w:t>
      </w:r>
    </w:p>
  </w:footnote>
  <w:footnote w:id="13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Id-</w:t>
      </w:r>
      <w:r>
        <w:rPr>
          <w:i/>
        </w:rPr>
        <w:t>data</w:t>
      </w:r>
      <w:r>
        <w:t xml:space="preserve"> tal-ECC-Net b’rabta mal-COVID-19 tinsab hawn: </w:t>
      </w:r>
      <w:hyperlink r:id="rId1" w:history="1">
        <w:r>
          <w:rPr>
            <w:rStyle w:val="Hyperlink"/>
          </w:rPr>
          <w:t>https://ec.europa.eu/info/live-work-travel-eu/consumers/resolve-your-consumer-complaint/european-consumer-cen</w:t>
        </w:r>
        <w:r>
          <w:rPr>
            <w:rStyle w:val="Hyperlink"/>
          </w:rPr>
          <w:t>tres-network-ecc-net_mt</w:t>
        </w:r>
      </w:hyperlink>
      <w:r>
        <w:t xml:space="preserve"> </w:t>
      </w:r>
    </w:p>
    <w:p w:rsidR="00764E91" w:rsidRDefault="0098050F">
      <w:pPr>
        <w:pStyle w:val="FootnoteText"/>
        <w:jc w:val="both"/>
      </w:pPr>
      <w:r>
        <w:t>Il-mistoqsijiet tal-konsumaturi huma l-aktar dwar it-trasport bl-ajru tal-passiġġieri, is-servizzi ta’ akkomodazzjoni, u l-vaganzi kollox inkluż.</w:t>
      </w:r>
    </w:p>
  </w:footnote>
  <w:footnote w:id="14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https://ec.europa.eu/info/live-work-travel-eu/consumers/resolve-your-consumer-complaint/european-consu</w:t>
        </w:r>
        <w:r>
          <w:rPr>
            <w:rStyle w:val="Hyperlink"/>
          </w:rPr>
          <w:t>mer-centres-network-ecc-net/faq-cancellations-individually-booked-accommodations-car-rental-and-events-due-covid-19_en</w:t>
        </w:r>
      </w:hyperlink>
      <w:r>
        <w:t xml:space="preserve"> </w:t>
      </w:r>
    </w:p>
    <w:p w:rsidR="00764E91" w:rsidRDefault="00764E91">
      <w:pPr>
        <w:pStyle w:val="FootnoteText"/>
        <w:jc w:val="both"/>
      </w:pPr>
    </w:p>
  </w:footnote>
  <w:footnote w:id="15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Ir-reġjuni ultraperiferiċi tal-UE kif definiti fl-Artikolu 349 tat-TFUE - 9 reġjuni tal-UE li jinsabu fl-Oċean Atlantiku, l-Oċean Ind</w:t>
      </w:r>
      <w:r>
        <w:t>jan, fil-Karibew u fl-Amerika Latina, ilkoll ħlief wieħed huma gżejjer li jiddependu mit-turiżmu. It-Trattat jipprovdi għal miżuri tal-UE mfassla apposta biex jiġu appoġġati dawn ir-reġjuni.</w:t>
      </w:r>
    </w:p>
  </w:footnote>
  <w:footnote w:id="16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Franza, Spanja, l-Italja, il-Ġermanja </w:t>
      </w:r>
    </w:p>
  </w:footnote>
  <w:footnote w:id="17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Jeżistu differenzi kba</w:t>
      </w:r>
      <w:r>
        <w:t>r fl-Unjoni Ewropea (li jvarjaw minn 5% ta’ kuntratti temporanji għat-turiżmu f’Malta għal 45% fil-Greċja). Hemm ukoll differenzi kbar bejn diversi setturi tal-industrija tat-turiżmu (27% għall-impjiegi temporanji fis-settur tal-akkomodazzjonijiet, 12% għa</w:t>
      </w:r>
      <w:r>
        <w:t xml:space="preserve">ll-aġenziji tal-ivvjaġġar u l-operaturi turistiċi, 9% għat-trasport bl-ajru). Sors: https://ec.europa.eu/eurostat/statistics-explained/index.php?title=Tourism_industries_-_employment#Characteristics_of_jobs_in_tourism_industries  </w:t>
      </w:r>
    </w:p>
  </w:footnote>
  <w:footnote w:id="18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>il-Eurostat: https://ec.</w:t>
      </w:r>
      <w:r>
        <w:t>europa.eu/eurostat/statistics-explained/index.php?title=Tourism_industries_-_employment#Characteristics_of_jobs_in_tourism_industries</w:t>
      </w:r>
    </w:p>
  </w:footnote>
  <w:footnote w:id="19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C(2020) 3125</w:t>
      </w:r>
    </w:p>
  </w:footnote>
  <w:footnote w:id="20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https://ec.europa.</w:t>
        </w:r>
        <w:r>
          <w:rPr>
            <w:rStyle w:val="Hyperlink"/>
          </w:rPr>
          <w:t>eu/growth/sectors/tourism/support-business/skills_mt</w:t>
        </w:r>
      </w:hyperlink>
    </w:p>
  </w:footnote>
  <w:footnote w:id="21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https://nexttourismgeneration.eu/</w:t>
      </w:r>
    </w:p>
  </w:footnote>
  <w:footnote w:id="22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Eurostat, “People on the move. Statistics on mobility in Europe” 2019</w:t>
      </w:r>
    </w:p>
  </w:footnote>
  <w:footnote w:id="23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It-turiżmu kulturali, li jirrappreżenta 40% tat-turiżmu fl-Ewropa, intlaqat b’mod partikolari</w:t>
      </w:r>
      <w:r>
        <w:t>, għax il-biċċa l-kbira tal-attivitajiet kulturali, bħall-fieri u festivals, ġew ikkanċellati u istituzzjonijiet bħall-mużewijiet ingħalqu (92%)</w:t>
      </w:r>
    </w:p>
  </w:footnote>
  <w:footnote w:id="24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Aktar minn nofs (51,7 %) l-istabbilimenti tal-akkomodazzjoni turistika tal-UE jinsabu f’żoni kostali u l-Ewro</w:t>
      </w:r>
      <w:r>
        <w:t>pej iqattgħu 30% tal-iljieli f’resorts ħdejn il-baħar.</w:t>
      </w:r>
    </w:p>
  </w:footnote>
  <w:footnote w:id="25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Fl-2018, skont il-Eurostat, 45 % tal-kapaċità ta’ akkomodazzjoni turistika (imkejla f’termini ta’ sodod) tal-EU-27 kienet tinsab f’żoni rurali.</w:t>
      </w:r>
    </w:p>
  </w:footnote>
  <w:footnote w:id="26">
    <w:p w:rsidR="00764E91" w:rsidRDefault="0098050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https://www.europeana.eu/</w:t>
      </w:r>
    </w:p>
  </w:footnote>
  <w:footnote w:id="27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https://culturalgems.jrc.</w:t>
      </w:r>
      <w:r>
        <w:t>ec.europa.eu/</w:t>
      </w:r>
    </w:p>
  </w:footnote>
  <w:footnote w:id="28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https://smarttourismcapital.eu/. Goteborg u Malaga huma l-Kapitali Ewropej tat-Turiżmu Intelliġenti fl-2020</w:t>
      </w:r>
    </w:p>
  </w:footnote>
  <w:footnote w:id="29">
    <w:p w:rsidR="00764E91" w:rsidRDefault="0098050F">
      <w:pPr>
        <w:pStyle w:val="FootnoteText"/>
      </w:pPr>
      <w:r>
        <w:rPr>
          <w:rStyle w:val="FootnoteReference"/>
        </w:rPr>
        <w:footnoteRef/>
      </w:r>
      <w:r>
        <w:t xml:space="preserve"> https://ec.europa.eu/growth/sectors/tourism/eden/destinations_mt.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0F" w:rsidRPr="0098050F" w:rsidRDefault="0098050F" w:rsidP="00980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0F" w:rsidRPr="0098050F" w:rsidRDefault="0098050F" w:rsidP="0098050F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0F" w:rsidRPr="0098050F" w:rsidRDefault="0098050F" w:rsidP="0098050F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1" w:rsidRDefault="00764E9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1" w:rsidRDefault="00764E9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1" w:rsidRDefault="00764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736"/>
    <w:multiLevelType w:val="hybridMultilevel"/>
    <w:tmpl w:val="0B343E78"/>
    <w:lvl w:ilvl="0" w:tplc="43A0DD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655"/>
    <w:multiLevelType w:val="hybridMultilevel"/>
    <w:tmpl w:val="FA02EA82"/>
    <w:lvl w:ilvl="0" w:tplc="2A68506E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153435B"/>
    <w:multiLevelType w:val="multilevel"/>
    <w:tmpl w:val="83A60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9B7EC5"/>
    <w:multiLevelType w:val="hybridMultilevel"/>
    <w:tmpl w:val="186E89F4"/>
    <w:lvl w:ilvl="0" w:tplc="57524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EFF562E"/>
    <w:multiLevelType w:val="hybridMultilevel"/>
    <w:tmpl w:val="7318C4BC"/>
    <w:lvl w:ilvl="0" w:tplc="CF2A2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55F4"/>
    <w:multiLevelType w:val="hybridMultilevel"/>
    <w:tmpl w:val="703ABF80"/>
    <w:lvl w:ilvl="0" w:tplc="CF2A2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04BF"/>
    <w:multiLevelType w:val="hybridMultilevel"/>
    <w:tmpl w:val="8C9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743"/>
    <w:multiLevelType w:val="hybridMultilevel"/>
    <w:tmpl w:val="0CEE5CE8"/>
    <w:lvl w:ilvl="0" w:tplc="9FF8858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330875A4"/>
    <w:multiLevelType w:val="hybridMultilevel"/>
    <w:tmpl w:val="76A8A2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7DE7"/>
    <w:multiLevelType w:val="hybridMultilevel"/>
    <w:tmpl w:val="19A42F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2E85"/>
    <w:multiLevelType w:val="hybridMultilevel"/>
    <w:tmpl w:val="C19888BA"/>
    <w:lvl w:ilvl="0" w:tplc="9FF8858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3BC23FC3"/>
    <w:multiLevelType w:val="multilevel"/>
    <w:tmpl w:val="DB2004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46617A"/>
    <w:multiLevelType w:val="hybridMultilevel"/>
    <w:tmpl w:val="01905C96"/>
    <w:lvl w:ilvl="0" w:tplc="FC8AE198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43D046F6"/>
    <w:multiLevelType w:val="multilevel"/>
    <w:tmpl w:val="3CE46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6E6670"/>
    <w:multiLevelType w:val="hybridMultilevel"/>
    <w:tmpl w:val="DF625C2A"/>
    <w:lvl w:ilvl="0" w:tplc="E968EE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B5468"/>
    <w:multiLevelType w:val="multilevel"/>
    <w:tmpl w:val="E5CC7C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19106C"/>
    <w:multiLevelType w:val="hybridMultilevel"/>
    <w:tmpl w:val="1EFA9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86258"/>
    <w:multiLevelType w:val="hybridMultilevel"/>
    <w:tmpl w:val="71B49E48"/>
    <w:lvl w:ilvl="0" w:tplc="1C0A238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A19F5"/>
    <w:multiLevelType w:val="hybridMultilevel"/>
    <w:tmpl w:val="F73A2FF2"/>
    <w:lvl w:ilvl="0" w:tplc="8A1CCDD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D2B1E61"/>
    <w:multiLevelType w:val="hybridMultilevel"/>
    <w:tmpl w:val="32462E8E"/>
    <w:lvl w:ilvl="0" w:tplc="ED3001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CB7"/>
    <w:multiLevelType w:val="hybridMultilevel"/>
    <w:tmpl w:val="9B4AF3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D06A2"/>
    <w:multiLevelType w:val="hybridMultilevel"/>
    <w:tmpl w:val="515E19E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667B4"/>
    <w:multiLevelType w:val="hybridMultilevel"/>
    <w:tmpl w:val="81B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36597"/>
    <w:multiLevelType w:val="hybridMultilevel"/>
    <w:tmpl w:val="1FDE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9164F"/>
    <w:multiLevelType w:val="multilevel"/>
    <w:tmpl w:val="AC90821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EA1368"/>
    <w:multiLevelType w:val="hybridMultilevel"/>
    <w:tmpl w:val="1C1CCE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F79AC"/>
    <w:multiLevelType w:val="hybridMultilevel"/>
    <w:tmpl w:val="30C6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26DEA"/>
    <w:multiLevelType w:val="hybridMultilevel"/>
    <w:tmpl w:val="E57EAEE0"/>
    <w:lvl w:ilvl="0" w:tplc="9FF8858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77C63422"/>
    <w:multiLevelType w:val="hybridMultilevel"/>
    <w:tmpl w:val="6968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8259A"/>
    <w:multiLevelType w:val="hybridMultilevel"/>
    <w:tmpl w:val="4E80E6E0"/>
    <w:lvl w:ilvl="0" w:tplc="75EA2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F2216"/>
    <w:multiLevelType w:val="hybridMultilevel"/>
    <w:tmpl w:val="B4E0A352"/>
    <w:lvl w:ilvl="0" w:tplc="074651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15"/>
  </w:num>
  <w:num w:numId="5">
    <w:abstractNumId w:val="18"/>
  </w:num>
  <w:num w:numId="6">
    <w:abstractNumId w:val="25"/>
  </w:num>
  <w:num w:numId="7">
    <w:abstractNumId w:val="19"/>
  </w:num>
  <w:num w:numId="8">
    <w:abstractNumId w:val="8"/>
  </w:num>
  <w:num w:numId="9">
    <w:abstractNumId w:val="1"/>
  </w:num>
  <w:num w:numId="10">
    <w:abstractNumId w:val="0"/>
  </w:num>
  <w:num w:numId="11">
    <w:abstractNumId w:val="30"/>
  </w:num>
  <w:num w:numId="12">
    <w:abstractNumId w:val="14"/>
  </w:num>
  <w:num w:numId="13">
    <w:abstractNumId w:val="1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3"/>
  </w:num>
  <w:num w:numId="17">
    <w:abstractNumId w:val="7"/>
  </w:num>
  <w:num w:numId="18">
    <w:abstractNumId w:val="3"/>
  </w:num>
  <w:num w:numId="19">
    <w:abstractNumId w:val="10"/>
  </w:num>
  <w:num w:numId="20">
    <w:abstractNumId w:val="27"/>
  </w:num>
  <w:num w:numId="21">
    <w:abstractNumId w:val="9"/>
  </w:num>
  <w:num w:numId="22">
    <w:abstractNumId w:val="20"/>
  </w:num>
  <w:num w:numId="23">
    <w:abstractNumId w:val="4"/>
  </w:num>
  <w:num w:numId="24">
    <w:abstractNumId w:val="17"/>
  </w:num>
  <w:num w:numId="25">
    <w:abstractNumId w:val="28"/>
  </w:num>
  <w:num w:numId="26">
    <w:abstractNumId w:val="5"/>
  </w:num>
  <w:num w:numId="27">
    <w:abstractNumId w:val="6"/>
  </w:num>
  <w:num w:numId="28">
    <w:abstractNumId w:val="21"/>
  </w:num>
  <w:num w:numId="29">
    <w:abstractNumId w:val="23"/>
  </w:num>
  <w:num w:numId="30">
    <w:abstractNumId w:val="2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2"/>
  </w:compat>
  <w:docVars>
    <w:docVar w:name="DocStatus" w:val="Green"/>
    <w:docVar w:name="LW_CORRIGENDUM" w:val="CORRIGENDUM_x000b_This document corrects document COM(2020) 550 final of 13.05.2020._x000b_Concerns the Maltese language version._x000b_In point III. (a), the graph on 'Tourism total contribution to GDP 2018' has been replaced._x000b_The text shall read as follows: "/>
    <w:docVar w:name="LW_COVERPAGE_EXISTS" w:val="True"/>
    <w:docVar w:name="LW_COVERPAGE_GUID" w:val="A7CD6F1D-0F57-44F5-8637-ABB5E9A8727F"/>
    <w:docVar w:name="LW_COVERPAGE_TYPE" w:val="1"/>
    <w:docVar w:name="LW_CROSSREFERENCE" w:val="&lt;UNUSED&gt;"/>
    <w:docVar w:name="LW_DocType" w:val="NORMAL"/>
    <w:docVar w:name="LW_EMISSION" w:val="29.6.2020"/>
    <w:docVar w:name="LW_EMISSION_ISODATE" w:val="2020-06-29"/>
    <w:docVar w:name="LW_EMISSION_LOCATION" w:val="BRX"/>
    <w:docVar w:name="LW_EMISSION_PREFIX" w:val="Brussell, "/>
    <w:docVar w:name="LW_EMISSION_SUFFIX" w:val=" "/>
    <w:docVar w:name="LW_ID_DOCTYPE_NONLW" w:val="CP-014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/2"/>
    <w:docVar w:name="LW_REF.INST.NEW_TEXT" w:val="(2020) 5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It-turi\u380?mu u t-trasport fl-2020 u lil hinn"/>
    <w:docVar w:name="LW_TYPE.DOC.CP" w:val="KOMUNIKAZZJONI TAL-KUMMISSJONI LILL-PARLAMENT EWROPEW, LILL-KUNSILL, LILL-KUMITAT EKONOMIKU U SO\u266?JALI EWROPEW U LILL-KUMITAT TAR-RE\u288?JUNI"/>
    <w:docVar w:name="LW_TYPE.DOC.CP.USERTEXT" w:val="&lt;EMPTY&gt;"/>
  </w:docVars>
  <w:rsids>
    <w:rsidRoot w:val="00764E91"/>
    <w:rsid w:val="00764E91"/>
    <w:rsid w:val="009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D81BFAB-C680-4C76-8236-0546BBAF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t-MT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/>
      <w:spacing w:before="200" w:line="276" w:lineRule="auto"/>
      <w:outlineLvl w:val="1"/>
    </w:pPr>
    <w:rPr>
      <w:rFonts w:ascii="Cambria" w:hAnsi="Cambria"/>
      <w:b/>
      <w:bCs/>
      <w:color w:val="auto"/>
      <w:sz w:val="26"/>
      <w:szCs w:val="26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|2_"/>
    <w:basedOn w:val="DefaultParagraphFont"/>
    <w:link w:val="Footnote2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Footnote2NotItalic">
    <w:name w:val="Footnote|2 + Not Italic"/>
    <w:basedOn w:val="Footnote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en-US" w:bidi="en-US"/>
    </w:rPr>
  </w:style>
  <w:style w:type="character" w:customStyle="1" w:styleId="Footnote1">
    <w:name w:val="Footnote|1_"/>
    <w:basedOn w:val="DefaultParagraphFont"/>
    <w:link w:val="Footnot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1Italic">
    <w:name w:val="Footnote|1 + Italic"/>
    <w:basedOn w:val="Footnote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en-US" w:bidi="en-US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|1_"/>
    <w:basedOn w:val="DefaultParagraphFont"/>
    <w:link w:val="Headerorfooter11"/>
    <w:rPr>
      <w:b w:val="0"/>
      <w:bCs w:val="0"/>
      <w:i w:val="0"/>
      <w:iCs w:val="0"/>
      <w:smallCaps w:val="0"/>
      <w:strike w:val="0"/>
      <w:u w:val="none"/>
      <w:lang w:val="mt-MT" w:eastAsia="fr-FR" w:bidi="fr-FR"/>
    </w:rPr>
  </w:style>
  <w:style w:type="character" w:customStyle="1" w:styleId="Headerorfooter10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mt-MT" w:eastAsia="fr-FR" w:bidi="fr-FR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mt-MT" w:eastAsia="en-US" w:bidi="en-US"/>
    </w:rPr>
  </w:style>
  <w:style w:type="character" w:customStyle="1" w:styleId="Bodytext3">
    <w:name w:val="Body text|3_"/>
    <w:basedOn w:val="DefaultParagraphFont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DefaultParagraphFont"/>
    <w:link w:val="Heading110"/>
    <w:rPr>
      <w:b/>
      <w:bCs/>
      <w:i w:val="0"/>
      <w:iCs w:val="0"/>
      <w:smallCaps w:val="0"/>
      <w:strike w:val="0"/>
      <w:sz w:val="28"/>
      <w:szCs w:val="28"/>
      <w:u w:val="none"/>
      <w:lang w:val="mt-MT" w:eastAsia="fr-FR" w:bidi="fr-FR"/>
    </w:rPr>
  </w:style>
  <w:style w:type="character" w:customStyle="1" w:styleId="Heading11NotBoldItalic">
    <w:name w:val="Heading #1|1 + Not Bold;Italic"/>
    <w:basedOn w:val="Heading1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mt-MT" w:eastAsia="fr-FR" w:bidi="fr-FR"/>
    </w:rPr>
  </w:style>
  <w:style w:type="character" w:customStyle="1" w:styleId="Heading21">
    <w:name w:val="Heading #2|1_"/>
    <w:basedOn w:val="DefaultParagraphFont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DefaultParagraphFont"/>
    <w:link w:val="Bodytext40"/>
    <w:rPr>
      <w:b/>
      <w:bCs/>
      <w:i w:val="0"/>
      <w:iCs w:val="0"/>
      <w:smallCaps w:val="0"/>
      <w:strike w:val="0"/>
      <w:sz w:val="20"/>
      <w:szCs w:val="20"/>
      <w:u w:val="none"/>
      <w:lang w:val="mt-MT" w:eastAsia="fr-FR" w:bidi="fr-FR"/>
    </w:rPr>
  </w:style>
  <w:style w:type="character" w:customStyle="1" w:styleId="Bodytext412pt">
    <w:name w:val="Body text|4 + 12 pt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mt-MT" w:eastAsia="fr-FR" w:bidi="fr-FR"/>
    </w:rPr>
  </w:style>
  <w:style w:type="character" w:customStyle="1" w:styleId="Bodytext4SmallCaps">
    <w:name w:val="Body text|4 + Small Caps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mt-MT" w:eastAsia="fr-FR" w:bidi="fr-FR"/>
    </w:rPr>
  </w:style>
  <w:style w:type="character" w:customStyle="1" w:styleId="Headerorfooter18pt">
    <w:name w:val="Header or footer|1 + 8 pt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mt-MT" w:eastAsia="en-US" w:bidi="en-US"/>
    </w:rPr>
  </w:style>
  <w:style w:type="character" w:customStyle="1" w:styleId="Bodytext5">
    <w:name w:val="Body text|5_"/>
    <w:basedOn w:val="DefaultParagraphFont"/>
    <w:link w:val="Bodytext5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0pt">
    <w:name w:val="Body text|5 + 10 pt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mt-MT" w:eastAsia="en-US" w:bidi="en-US"/>
    </w:rPr>
  </w:style>
  <w:style w:type="character" w:customStyle="1" w:styleId="Bodytext5SmallCaps">
    <w:name w:val="Body text|5 + Small Caps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mt-MT" w:eastAsia="en-US" w:bidi="en-US"/>
    </w:rPr>
  </w:style>
  <w:style w:type="character" w:customStyle="1" w:styleId="Heading21NotBold">
    <w:name w:val="Heading #2|1 + Not Bold"/>
    <w:basedOn w:val="Heading2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mt-MT" w:eastAsia="en-US" w:bidi="en-US"/>
    </w:rPr>
  </w:style>
  <w:style w:type="character" w:customStyle="1" w:styleId="Bodytext6">
    <w:name w:val="Body text|6_"/>
    <w:basedOn w:val="DefaultParagraphFont"/>
    <w:link w:val="Bodytext60"/>
    <w:rPr>
      <w:b w:val="0"/>
      <w:bCs w:val="0"/>
      <w:i/>
      <w:iCs/>
      <w:smallCaps w:val="0"/>
      <w:strike w:val="0"/>
      <w:u w:val="none"/>
    </w:rPr>
  </w:style>
  <w:style w:type="character" w:customStyle="1" w:styleId="Bodytext69ptNotItalic">
    <w:name w:val="Body text|6 + 9 pt;Not Italic"/>
    <w:basedOn w:val="Bodytext6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mt-MT" w:eastAsia="en-US" w:bidi="en-US"/>
    </w:rPr>
  </w:style>
  <w:style w:type="character" w:customStyle="1" w:styleId="Picturecaption1">
    <w:name w:val="Picture caption|1_"/>
    <w:basedOn w:val="DefaultParagraphFont"/>
    <w:link w:val="Picturecaption10"/>
    <w:rPr>
      <w:b/>
      <w:bCs/>
      <w:i w:val="0"/>
      <w:iCs w:val="0"/>
      <w:smallCaps w:val="0"/>
      <w:strike w:val="0"/>
      <w:sz w:val="20"/>
      <w:szCs w:val="20"/>
      <w:u w:val="none"/>
      <w:lang w:val="mt-MT" w:eastAsia="de-DE" w:bidi="de-DE"/>
    </w:rPr>
  </w:style>
  <w:style w:type="paragraph" w:customStyle="1" w:styleId="Footnote20">
    <w:name w:val="Footnote|2"/>
    <w:basedOn w:val="Normal"/>
    <w:link w:val="Footnote2"/>
    <w:pPr>
      <w:shd w:val="clear" w:color="auto" w:fill="FFFFFF"/>
      <w:spacing w:line="230" w:lineRule="exact"/>
      <w:ind w:hanging="320"/>
    </w:pPr>
    <w:rPr>
      <w:i/>
      <w:iCs/>
      <w:sz w:val="20"/>
      <w:szCs w:val="20"/>
    </w:rPr>
  </w:style>
  <w:style w:type="paragraph" w:customStyle="1" w:styleId="Footnote10">
    <w:name w:val="Footnote|1"/>
    <w:basedOn w:val="Normal"/>
    <w:link w:val="Footnote1"/>
    <w:qFormat/>
    <w:pPr>
      <w:shd w:val="clear" w:color="auto" w:fill="FFFFFF"/>
      <w:spacing w:line="230" w:lineRule="exact"/>
      <w:ind w:hanging="380"/>
    </w:pPr>
    <w:rPr>
      <w:sz w:val="20"/>
      <w:szCs w:val="20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after="400" w:line="266" w:lineRule="exact"/>
      <w:ind w:hanging="360"/>
      <w:jc w:val="both"/>
    </w:pPr>
  </w:style>
  <w:style w:type="paragraph" w:customStyle="1" w:styleId="Headerorfooter11">
    <w:name w:val="Header or footer|11"/>
    <w:basedOn w:val="Normal"/>
    <w:link w:val="Headerorfooter1"/>
    <w:qFormat/>
    <w:pPr>
      <w:shd w:val="clear" w:color="auto" w:fill="FFFFFF"/>
      <w:spacing w:line="266" w:lineRule="exact"/>
    </w:pPr>
    <w:rPr>
      <w:lang w:eastAsia="fr-FR" w:bidi="fr-FR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line="235" w:lineRule="exact"/>
      <w:jc w:val="both"/>
    </w:pPr>
    <w:rPr>
      <w:sz w:val="20"/>
      <w:szCs w:val="20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before="180" w:after="640" w:line="310" w:lineRule="exact"/>
      <w:outlineLvl w:val="0"/>
    </w:pPr>
    <w:rPr>
      <w:b/>
      <w:bCs/>
      <w:sz w:val="28"/>
      <w:szCs w:val="28"/>
      <w:lang w:eastAsia="fr-FR" w:bidi="fr-FR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before="640" w:after="2060" w:line="266" w:lineRule="exact"/>
      <w:outlineLvl w:val="1"/>
    </w:pPr>
    <w:rPr>
      <w:b/>
      <w:bCs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before="2060" w:after="100" w:line="266" w:lineRule="exact"/>
      <w:jc w:val="center"/>
    </w:pPr>
    <w:rPr>
      <w:b/>
      <w:bCs/>
      <w:sz w:val="20"/>
      <w:szCs w:val="20"/>
      <w:lang w:eastAsia="fr-FR" w:bidi="fr-FR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before="240" w:after="240" w:line="222" w:lineRule="exact"/>
      <w:jc w:val="both"/>
    </w:pPr>
    <w:rPr>
      <w:b/>
      <w:bCs/>
      <w:sz w:val="19"/>
      <w:szCs w:val="19"/>
    </w:rPr>
  </w:style>
  <w:style w:type="paragraph" w:customStyle="1" w:styleId="Bodytext60">
    <w:name w:val="Body text|6"/>
    <w:basedOn w:val="Normal"/>
    <w:link w:val="Bodytext6"/>
    <w:pPr>
      <w:shd w:val="clear" w:color="auto" w:fill="FFFFFF"/>
      <w:spacing w:before="240" w:after="240" w:line="274" w:lineRule="exact"/>
      <w:ind w:hanging="360"/>
      <w:jc w:val="both"/>
    </w:pPr>
    <w:rPr>
      <w:i/>
      <w:iCs/>
    </w:rPr>
  </w:style>
  <w:style w:type="paragraph" w:customStyle="1" w:styleId="Picturecaption10">
    <w:name w:val="Picture caption|1"/>
    <w:basedOn w:val="Normal"/>
    <w:link w:val="Picturecaption1"/>
    <w:qFormat/>
    <w:pPr>
      <w:shd w:val="clear" w:color="auto" w:fill="FFFFFF"/>
      <w:spacing w:line="222" w:lineRule="exact"/>
    </w:pPr>
    <w:rPr>
      <w:b/>
      <w:bCs/>
      <w:sz w:val="20"/>
      <w:szCs w:val="20"/>
      <w:lang w:eastAsia="de-DE" w:bidi="de-DE"/>
    </w:rPr>
  </w:style>
  <w:style w:type="paragraph" w:styleId="FootnoteText">
    <w:name w:val="footnote text"/>
    <w:aliases w:val="Note de bas de page Car1 Car Car,Note de bas de page1,stile 1,Footnote,Footnote1,Footnote2,Footnote3,Footnote4,Footnote5,Footnote6,Footnote7,Footnote8,Footnote9,Footnote10,Footnote11,Footnote21,Footnote31,Footnote41,Footnote51,Plonk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aliases w:val="Note de bas de page Car1 Car Car Char1,Note de bas de page1 Char1,stile 1 Char1,Footnote Char1,Footnote1 Char1,Footnote2 Char1,Footnote3 Char1,Footnote4 Char1,Footnote5 Char1,Footnote6 Char1,Footnote7 Char1,Footnote8 Char1,Plonk Char"/>
    <w:basedOn w:val="DefaultParagraphFont"/>
    <w:link w:val="FootnoteText"/>
    <w:rPr>
      <w:color w:val="000000"/>
      <w:sz w:val="20"/>
      <w:szCs w:val="20"/>
    </w:rPr>
  </w:style>
  <w:style w:type="character" w:styleId="FootnoteReference">
    <w:name w:val="footnote reference"/>
    <w:aliases w:val="Footnote Reference Superscript,BVI fnr,Footnote symbol,number,Footnote reference number,note TESI,-E Fußnotenzeichen,SUPERS,stylish,Odwołanie przypisu,Times 10 Point,Exposant 3 Point,Voetnootverwijzing,EN Footnote Reference"/>
    <w:basedOn w:val="DefaultParagraphFont"/>
    <w:link w:val="FootnotesymbolCarZchn"/>
    <w:uiPriority w:val="99"/>
    <w:unhideWhenUsed/>
    <w:qFormat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</w:rPr>
  </w:style>
  <w:style w:type="paragraph" w:customStyle="1" w:styleId="Default">
    <w:name w:val="Default"/>
    <w:pPr>
      <w:widowControl/>
      <w:autoSpaceDE w:val="0"/>
      <w:autoSpaceDN w:val="0"/>
      <w:adjustRightInd w:val="0"/>
    </w:pPr>
    <w:rPr>
      <w:color w:val="000000"/>
      <w:lang w:bidi="ar-SA"/>
    </w:rPr>
  </w:style>
  <w:style w:type="paragraph" w:styleId="Revision">
    <w:name w:val="Revision"/>
    <w:hidden/>
    <w:uiPriority w:val="99"/>
    <w:semiHidden/>
    <w:pPr>
      <w:widowControl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widowControl/>
      <w:jc w:val="both"/>
    </w:pPr>
    <w:rPr>
      <w:rFonts w:eastAsiaTheme="minorHAnsi"/>
      <w:color w:val="auto"/>
      <w:szCs w:val="22"/>
      <w:lang w:bidi="ar-SA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Bodytext4"/>
    <w:link w:val="FooterCoverPage"/>
    <w:rPr>
      <w:b w:val="0"/>
      <w:bCs w:val="0"/>
      <w:i w:val="0"/>
      <w:iCs w:val="0"/>
      <w:smallCaps w:val="0"/>
      <w:strike w:val="0"/>
      <w:color w:val="000000"/>
      <w:sz w:val="20"/>
      <w:szCs w:val="20"/>
      <w:u w:val="none"/>
      <w:lang w:val="mt-MT" w:eastAsia="fr-FR" w:bidi="fr-FR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Bodytext4"/>
    <w:link w:val="FooterSensitivity"/>
    <w:rPr>
      <w:b/>
      <w:bCs w:val="0"/>
      <w:i w:val="0"/>
      <w:iCs w:val="0"/>
      <w:smallCaps w:val="0"/>
      <w:strike w:val="0"/>
      <w:color w:val="000000"/>
      <w:sz w:val="32"/>
      <w:szCs w:val="20"/>
      <w:u w:val="none"/>
      <w:lang w:val="mt-MT" w:eastAsia="fr-FR" w:bidi="fr-FR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text4"/>
    <w:link w:val="HeaderCoverPage"/>
    <w:rPr>
      <w:b w:val="0"/>
      <w:bCs w:val="0"/>
      <w:i w:val="0"/>
      <w:iCs w:val="0"/>
      <w:smallCaps w:val="0"/>
      <w:strike w:val="0"/>
      <w:color w:val="000000"/>
      <w:sz w:val="20"/>
      <w:szCs w:val="20"/>
      <w:u w:val="none"/>
      <w:lang w:val="mt-MT" w:eastAsia="fr-FR" w:bidi="fr-FR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text4"/>
    <w:link w:val="HeaderSensitivity"/>
    <w:rPr>
      <w:b/>
      <w:bCs w:val="0"/>
      <w:i w:val="0"/>
      <w:iCs w:val="0"/>
      <w:smallCaps w:val="0"/>
      <w:strike w:val="0"/>
      <w:color w:val="000000"/>
      <w:sz w:val="32"/>
      <w:szCs w:val="20"/>
      <w:u w:val="none"/>
      <w:lang w:val="mt-MT" w:eastAsia="fr-FR" w:bidi="fr-FR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Bodytext4"/>
    <w:link w:val="HeaderSensitivityRight"/>
    <w:rPr>
      <w:b w:val="0"/>
      <w:bCs w:val="0"/>
      <w:i w:val="0"/>
      <w:iCs w:val="0"/>
      <w:smallCaps w:val="0"/>
      <w:strike w:val="0"/>
      <w:color w:val="000000"/>
      <w:sz w:val="28"/>
      <w:szCs w:val="20"/>
      <w:u w:val="none"/>
      <w:lang w:val="mt-MT" w:eastAsia="fr-FR" w:bidi="fr-FR"/>
    </w:rPr>
  </w:style>
  <w:style w:type="paragraph" w:customStyle="1" w:styleId="Typedudocument">
    <w:name w:val="Type du document"/>
    <w:basedOn w:val="Normal"/>
    <w:next w:val="Normal"/>
    <w:pPr>
      <w:widowControl/>
      <w:spacing w:before="360"/>
      <w:jc w:val="center"/>
    </w:pPr>
    <w:rPr>
      <w:rFonts w:eastAsiaTheme="minorHAnsi"/>
      <w:b/>
      <w:color w:val="auto"/>
      <w:szCs w:val="22"/>
      <w:lang w:bidi="ar-SA"/>
    </w:rPr>
  </w:style>
  <w:style w:type="paragraph" w:customStyle="1" w:styleId="IIntroductionIIntroduction">
    <w:name w:val="I. IntroductionI. Introduction"/>
    <w:basedOn w:val="Normal"/>
    <w:pPr>
      <w:ind w:right="20"/>
      <w:jc w:val="both"/>
    </w:pPr>
    <w:rPr>
      <w:rFonts w:eastAsiaTheme="minorHAnsi"/>
      <w:bCs/>
      <w:shd w:val="clear" w:color="auto" w:fill="FFFFFF"/>
      <w:lang w:eastAsia="fr-FR" w:bidi="fr-FR"/>
    </w:rPr>
  </w:style>
  <w:style w:type="paragraph" w:customStyle="1" w:styleId="Titreobjet">
    <w:name w:val="Titre objet"/>
    <w:basedOn w:val="Normal"/>
    <w:next w:val="Normal"/>
    <w:pPr>
      <w:widowControl/>
      <w:spacing w:before="360" w:after="360"/>
      <w:jc w:val="center"/>
    </w:pPr>
    <w:rPr>
      <w:rFonts w:eastAsiaTheme="minorHAnsi"/>
      <w:b/>
      <w:color w:val="auto"/>
      <w:szCs w:val="22"/>
      <w:lang w:bidi="ar-SA"/>
    </w:rPr>
  </w:style>
  <w:style w:type="character" w:customStyle="1" w:styleId="FootnoteTextChar1">
    <w:name w:val="Footnote Text Char1"/>
    <w:aliases w:val="Note de bas de page Car1 Car Car Char,Note de bas de page1 Char,stile 1 Char,Footnote Char,Footnote1 Char,Footnote2 Char,Footnote3 Char,Footnote4 Char,Footnote5 Char,Footnote6 Char,Footnote7 Char,Footnote8 Char,Footnote9 Char"/>
    <w:basedOn w:val="DefaultParagraphFont"/>
    <w:uiPriority w:val="99"/>
    <w:semiHidden/>
    <w:locked/>
    <w:rPr>
      <w:rFonts w:ascii="EC Square Sans Pro" w:eastAsiaTheme="minorEastAsia" w:hAnsi="EC Square Sans Pro"/>
      <w:sz w:val="16"/>
      <w:szCs w:val="20"/>
      <w:lang w:val="mt-M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pPr>
      <w:widowControl/>
      <w:spacing w:after="160" w:line="240" w:lineRule="exact"/>
      <w:jc w:val="both"/>
    </w:pPr>
    <w:rPr>
      <w:color w:val="auto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sz w:val="26"/>
      <w:szCs w:val="26"/>
      <w:lang w:val="mt-MT" w:bidi="ar-SA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widowControl/>
      <w:spacing w:before="360" w:after="120"/>
      <w:jc w:val="center"/>
    </w:pPr>
    <w:rPr>
      <w:rFonts w:eastAsiaTheme="minorHAnsi"/>
      <w:i/>
      <w:color w:val="auto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growth/sectors/tourism/support-business/skills_mt" TargetMode="External"/><Relationship Id="rId2" Type="http://schemas.openxmlformats.org/officeDocument/2006/relationships/hyperlink" Target="https://ec.europa.eu/info/live-work-travel-eu/consumers/resolve-your-consumer-complaint/european-consumer-centres-network-ecc-net/faq-cancellations-individually-booked-accommodations-car-rental-and-events-due-covid-19_en" TargetMode="External"/><Relationship Id="rId1" Type="http://schemas.openxmlformats.org/officeDocument/2006/relationships/hyperlink" Target="https://ec.europa.eu/info/live-work-travel-eu/consumers/resolve-your-consumer-complaint/european-consumer-centres-network-ecc-net_m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ossiers.dgt.cec.eu.int\dossiers\GROW\GROW-2020-80076\GROW-2020-80076-05-00-MT-SRC-00.202005131245159868907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/>
              <a:t>KONTRIBUZZJONI TOTALI TAT-TURIŻMU GĦALL-IMPJIEGI FL-2018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Għadd ta' impjiegi fis-settur tat-Turiżmu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'contrib to empl 2019 (2018) '!$A$2:$A$28</c:f>
              <c:strCache>
                <c:ptCount val="27"/>
                <c:pt idx="0">
                  <c:v>DE</c:v>
                </c:pt>
                <c:pt idx="1">
                  <c:v>IT</c:v>
                </c:pt>
                <c:pt idx="2">
                  <c:v>FR</c:v>
                </c:pt>
                <c:pt idx="3">
                  <c:v>ES</c:v>
                </c:pt>
                <c:pt idx="4">
                  <c:v>PT</c:v>
                </c:pt>
                <c:pt idx="5">
                  <c:v>GR</c:v>
                </c:pt>
                <c:pt idx="6">
                  <c:v>PL</c:v>
                </c:pt>
                <c:pt idx="7">
                  <c:v>AT</c:v>
                </c:pt>
                <c:pt idx="8">
                  <c:v>NL</c:v>
                </c:pt>
                <c:pt idx="9">
                  <c:v>SE</c:v>
                </c:pt>
                <c:pt idx="10">
                  <c:v>RO</c:v>
                </c:pt>
                <c:pt idx="11">
                  <c:v>CZ</c:v>
                </c:pt>
                <c:pt idx="12">
                  <c:v>HU</c:v>
                </c:pt>
                <c:pt idx="13">
                  <c:v>BG</c:v>
                </c:pt>
                <c:pt idx="14">
                  <c:v>HR</c:v>
                </c:pt>
                <c:pt idx="15">
                  <c:v>BE</c:v>
                </c:pt>
                <c:pt idx="16">
                  <c:v>FI</c:v>
                </c:pt>
                <c:pt idx="17">
                  <c:v>DK</c:v>
                </c:pt>
                <c:pt idx="18">
                  <c:v>IE</c:v>
                </c:pt>
                <c:pt idx="19">
                  <c:v>SK</c:v>
                </c:pt>
                <c:pt idx="20">
                  <c:v>SL</c:v>
                </c:pt>
                <c:pt idx="21">
                  <c:v>EE</c:v>
                </c:pt>
                <c:pt idx="22">
                  <c:v>CY</c:v>
                </c:pt>
                <c:pt idx="23">
                  <c:v>LV</c:v>
                </c:pt>
                <c:pt idx="24">
                  <c:v>LT</c:v>
                </c:pt>
                <c:pt idx="25">
                  <c:v>MT</c:v>
                </c:pt>
                <c:pt idx="26">
                  <c:v>LU</c:v>
                </c:pt>
              </c:strCache>
            </c:strRef>
          </c:cat>
          <c:val>
            <c:numRef>
              <c:f>'contrib to empl 2019 (2018) '!$B$2:$B$28</c:f>
              <c:numCache>
                <c:formatCode>General</c:formatCode>
                <c:ptCount val="27"/>
                <c:pt idx="0">
                  <c:v>5382100</c:v>
                </c:pt>
                <c:pt idx="1">
                  <c:v>3478500</c:v>
                </c:pt>
                <c:pt idx="2">
                  <c:v>3021900</c:v>
                </c:pt>
                <c:pt idx="3">
                  <c:v>2831500</c:v>
                </c:pt>
                <c:pt idx="4">
                  <c:v>1047400</c:v>
                </c:pt>
                <c:pt idx="5">
                  <c:v>988600</c:v>
                </c:pt>
                <c:pt idx="6">
                  <c:v>736800</c:v>
                </c:pt>
                <c:pt idx="7">
                  <c:v>713000</c:v>
                </c:pt>
                <c:pt idx="8">
                  <c:v>663500</c:v>
                </c:pt>
                <c:pt idx="9">
                  <c:v>558400</c:v>
                </c:pt>
                <c:pt idx="10">
                  <c:v>532500</c:v>
                </c:pt>
                <c:pt idx="11">
                  <c:v>473900</c:v>
                </c:pt>
                <c:pt idx="12">
                  <c:v>402700</c:v>
                </c:pt>
                <c:pt idx="13">
                  <c:v>346800</c:v>
                </c:pt>
                <c:pt idx="14">
                  <c:v>326300</c:v>
                </c:pt>
                <c:pt idx="15">
                  <c:v>274200</c:v>
                </c:pt>
                <c:pt idx="16">
                  <c:v>244100</c:v>
                </c:pt>
                <c:pt idx="17">
                  <c:v>229600</c:v>
                </c:pt>
                <c:pt idx="18">
                  <c:v>141200</c:v>
                </c:pt>
                <c:pt idx="19">
                  <c:v>160000</c:v>
                </c:pt>
                <c:pt idx="20">
                  <c:v>110700</c:v>
                </c:pt>
                <c:pt idx="21">
                  <c:v>100900</c:v>
                </c:pt>
                <c:pt idx="22">
                  <c:v>84500</c:v>
                </c:pt>
                <c:pt idx="23">
                  <c:v>73300</c:v>
                </c:pt>
                <c:pt idx="24">
                  <c:v>65500</c:v>
                </c:pt>
                <c:pt idx="25">
                  <c:v>38200</c:v>
                </c:pt>
                <c:pt idx="26">
                  <c:v>33000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1E-4D5C-90AF-967C52B34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583616"/>
        <c:axId val="69873664"/>
      </c:barChart>
      <c:scatterChart>
        <c:scatterStyle val="lineMarker"/>
        <c:varyColors val="0"/>
        <c:ser>
          <c:idx val="1"/>
          <c:order val="1"/>
          <c:tx>
            <c:v>Perċentwal tal-Impjieg totali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yVal>
            <c:numRef>
              <c:f>'contrib to empl 2019 (2018) '!$C$2:$C$28</c:f>
              <c:numCache>
                <c:formatCode>0%</c:formatCode>
                <c:ptCount val="27"/>
                <c:pt idx="0">
                  <c:v>0.12</c:v>
                </c:pt>
                <c:pt idx="1">
                  <c:v>0.14899999999999999</c:v>
                </c:pt>
                <c:pt idx="2">
                  <c:v>0.107</c:v>
                </c:pt>
                <c:pt idx="3">
                  <c:v>0.14699999999999999</c:v>
                </c:pt>
                <c:pt idx="4">
                  <c:v>0.218</c:v>
                </c:pt>
                <c:pt idx="5">
                  <c:v>0.25900000000000001</c:v>
                </c:pt>
                <c:pt idx="6">
                  <c:v>4.4999999999999998E-2</c:v>
                </c:pt>
                <c:pt idx="7">
                  <c:v>0.161</c:v>
                </c:pt>
                <c:pt idx="8">
                  <c:v>8.5999999999999993E-2</c:v>
                </c:pt>
                <c:pt idx="9">
                  <c:v>0.109</c:v>
                </c:pt>
                <c:pt idx="10">
                  <c:v>6.3E-2</c:v>
                </c:pt>
                <c:pt idx="11">
                  <c:v>9.1999999999999998E-2</c:v>
                </c:pt>
                <c:pt idx="12">
                  <c:v>0.09</c:v>
                </c:pt>
                <c:pt idx="13">
                  <c:v>0.11</c:v>
                </c:pt>
                <c:pt idx="14">
                  <c:v>0.23300000000000001</c:v>
                </c:pt>
                <c:pt idx="15">
                  <c:v>5.7000000000000002E-2</c:v>
                </c:pt>
                <c:pt idx="16">
                  <c:v>9.4E-2</c:v>
                </c:pt>
                <c:pt idx="17">
                  <c:v>8.2000000000000003E-2</c:v>
                </c:pt>
                <c:pt idx="18">
                  <c:v>6.3E-2</c:v>
                </c:pt>
                <c:pt idx="19">
                  <c:v>6.2E-2</c:v>
                </c:pt>
                <c:pt idx="20">
                  <c:v>0.128</c:v>
                </c:pt>
                <c:pt idx="21">
                  <c:v>0.153</c:v>
                </c:pt>
                <c:pt idx="22">
                  <c:v>0.22</c:v>
                </c:pt>
                <c:pt idx="23">
                  <c:v>8.1000000000000003E-2</c:v>
                </c:pt>
                <c:pt idx="24">
                  <c:v>4.8000000000000001E-2</c:v>
                </c:pt>
                <c:pt idx="25">
                  <c:v>0.16500000000000001</c:v>
                </c:pt>
                <c:pt idx="26">
                  <c:v>0.124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A1E-4D5C-90AF-967C52B34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876352"/>
        <c:axId val="69874816"/>
      </c:scatterChart>
      <c:catAx>
        <c:axId val="9358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9873664"/>
        <c:crosses val="autoZero"/>
        <c:auto val="1"/>
        <c:lblAlgn val="ctr"/>
        <c:lblOffset val="100"/>
        <c:noMultiLvlLbl val="0"/>
      </c:catAx>
      <c:valAx>
        <c:axId val="6987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3583616"/>
        <c:crosses val="autoZero"/>
        <c:crossBetween val="between"/>
      </c:valAx>
      <c:valAx>
        <c:axId val="69874816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9876352"/>
        <c:crosses val="max"/>
        <c:crossBetween val="midCat"/>
      </c:valAx>
      <c:valAx>
        <c:axId val="69876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6987481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0.0424</cdr:x>
      <cdr:y>0.93659</cdr:y>
    </cdr:from>
    <cdr:to>
      <cdr:x>0.1547</cdr:x>
      <cdr:y>0.99512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1951" y="3657601"/>
          <a:ext cx="9588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mt-MT" sz="900"/>
            <a:t>sors: </a:t>
          </a:r>
          <a:r>
            <a:rPr lang="fr-BE" sz="900"/>
            <a:t>WTTC</a:t>
          </a:r>
        </a:p>
      </cdr:txBody>
    </cdr:sp>
  </cdr:relSizeAnchor>
  <cdr:relSizeAnchor xmlns:cdr="http://schemas.openxmlformats.org/drawingml/2006/chartDrawing">
    <cdr:from>
      <cdr:x>0.78031</cdr:x>
      <cdr:y>0.94132</cdr:y>
    </cdr:from>
    <cdr:to>
      <cdr:x>1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10175" y="3667125"/>
          <a:ext cx="14668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r-BE" sz="800"/>
            <a:t>TOTAL =</a:t>
          </a:r>
          <a:r>
            <a:rPr lang="fr-BE" sz="800" baseline="0"/>
            <a:t> </a:t>
          </a:r>
          <a:r>
            <a:rPr lang="mt-MT" sz="800" baseline="0"/>
            <a:t>DIRETT + INDIRETT</a:t>
          </a:r>
          <a:endParaRPr lang="fr-BE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D253F4E7D1A5D4EAB3B14550A2387C9" ma:contentTypeVersion="0" ma:contentTypeDescription="Create a new document in this library." ma:contentTypeScope="" ma:versionID="8efb7d394ed9b44c0df291953b2684e1">
  <xsd:schema xmlns:xsd="http://www.w3.org/2001/XMLSchema" xmlns:xs="http://www.w3.org/2001/XMLSchema" xmlns:p="http://schemas.microsoft.com/office/2006/metadata/properties" xmlns:ns2="http://schemas.microsoft.com/sharepoint/v3/fields" xmlns:ns3="cd4b0d26-17b0-441a-9123-295e825b02c5" targetNamespace="http://schemas.microsoft.com/office/2006/metadata/properties" ma:root="true" ma:fieldsID="7e9f2751c1d7c9dba87ed81f9cab97b0" ns2:_="" ns3:_="">
    <xsd:import namespace="http://schemas.microsoft.com/sharepoint/v3/fields"/>
    <xsd:import namespace="cd4b0d26-17b0-441a-9123-295e825b02c5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b0d26-17b0-441a-9123-295e825b02c5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ef8c33be-31c6-44a3-a94b-46b5171e72d5">EN</EC_Collab_DocumentLanguage>
    <EC_Collab_Reference xmlns="ef8c33be-31c6-44a3-a94b-46b5171e72d5" xsi:nil="true"/>
    <EC_Collab_Status xmlns="ef8c33be-31c6-44a3-a94b-46b5171e72d5">Draft</EC_Collab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5D7052343E4C64FB9FEA532927F351D" ma:contentTypeVersion="0" ma:contentTypeDescription="Create a new document in this library." ma:contentTypeScope="" ma:versionID="00199defa1de9724334fed49c12dd900">
  <xsd:schema xmlns:xsd="http://www.w3.org/2001/XMLSchema" xmlns:xs="http://www.w3.org/2001/XMLSchema" xmlns:p="http://schemas.microsoft.com/office/2006/metadata/properties" xmlns:ns2="http://schemas.microsoft.com/sharepoint/v3/fields" xmlns:ns3="ef8c33be-31c6-44a3-a94b-46b5171e72d5" targetNamespace="http://schemas.microsoft.com/office/2006/metadata/properties" ma:root="true" ma:fieldsID="1a5ffaf68e696724b4b1e5469bfdc29d" ns2:_="" ns3:_="">
    <xsd:import namespace="http://schemas.microsoft.com/sharepoint/v3/fields"/>
    <xsd:import namespace="ef8c33be-31c6-44a3-a94b-46b5171e72d5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c33be-31c6-44a3-a94b-46b5171e72d5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B222-D010-4796-97E5-5C60B6803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d4b0d26-17b0-441a-9123-295e825b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CFCD7-242B-47E8-AA9E-C2F30A86640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8c33be-31c6-44a3-a94b-46b5171e72d5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7277AD-FD44-4E84-9FC2-616E4774A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C18D6-E91B-4C20-AFD7-FD75C927C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f8c33be-31c6-44a3-a94b-46b5171e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8EB0EF-4CE7-4801-9FAA-F04BB586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5922</Words>
  <Characters>36899</Characters>
  <Application>Microsoft Office Word</Application>
  <DocSecurity>0</DocSecurity>
  <Lines>709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 Tourism and COVID-19 pandemic: an EU response to exit and recovery</vt:lpstr>
    </vt:vector>
  </TitlesOfParts>
  <Manager/>
  <Company/>
  <LinksUpToDate>false</LinksUpToDate>
  <CharactersWithSpaces>42673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Tourism and COVID-19 pandemic: an EU response to exit and recovery</dc:title>
  <dc:subject/>
  <dc:creator/>
  <cp:keywords/>
  <dc:description/>
  <cp:lastModifiedBy>PAREDES ECHAURI Cristina (SG)</cp:lastModifiedBy>
  <cp:revision>15</cp:revision>
  <dcterms:created xsi:type="dcterms:W3CDTF">2020-06-04T09:21:00Z</dcterms:created>
  <dcterms:modified xsi:type="dcterms:W3CDTF">2020-06-29T19:16:00Z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CPTemplateID">
    <vt:lpwstr>CP-014</vt:lpwstr>
  </property>
  <property fmtid="{D5CDD505-2E9C-101B-9397-08002B2CF9AE}" pid="6" name="Last edited using">
    <vt:lpwstr>LW 7.0, Build 20190717</vt:lpwstr>
  </property>
  <property fmtid="{D5CDD505-2E9C-101B-9397-08002B2CF9AE}" pid="7" name="Created using">
    <vt:lpwstr>LW 7.0, Build 20190717</vt:lpwstr>
  </property>
  <property fmtid="{D5CDD505-2E9C-101B-9397-08002B2CF9AE}" pid="8" name="DocStatus">
    <vt:lpwstr>Green</vt:lpwstr>
  </property>
  <property fmtid="{D5CDD505-2E9C-101B-9397-08002B2CF9AE}" pid="9" name="_LW_INVALIDATED__LW_INVALIDATED__LW_INVALIDATED__LW_INVALIDATED__LW_INVALIDATED__LW_INVALIDATED__LW_INVALIDATED__LW_INVALIDATED__LW_INVALIDATED_ContentTypeId">
    <vt:lpwstr>0x010100692B299078F434498DE0F0A996C78641</vt:lpwstr>
  </property>
  <property fmtid="{D5CDD505-2E9C-101B-9397-08002B2CF9AE}" pid="10" name="_LW_INVALIDATED__LW_INVALIDATED__LW_INVALIDATED__LW_INVALIDATED__LW_INVALIDATED__LW_INVALIDATED__LW_INVALIDATED_ContentTypeId">
    <vt:lpwstr>0x010100258AA79CEB83498886A3A08681123250009D253F4E7D1A5D4EAB3B14550A2387C9</vt:lpwstr>
  </property>
  <property fmtid="{D5CDD505-2E9C-101B-9397-08002B2CF9AE}" pid="11" name="_LW_INVALIDATED__LW_INVALIDATED__LW_INVALIDATED__LW_INVALIDATED__LW_INVALIDATED__LW_INVALIDATED_ContentTypeId">
    <vt:lpwstr>0x010100258AA79CEB83498886A3A08681123250009D253F4E7D1A5D4EAB3B14550A2387C9</vt:lpwstr>
  </property>
  <property fmtid="{D5CDD505-2E9C-101B-9397-08002B2CF9AE}" pid="12" name="_LW_INVALIDATED__LW_INVALIDATED__LW_INVALIDATED__LW_INVALIDATED_ContentTypeId">
    <vt:lpwstr>0x010100258AA79CEB83498886A3A0868112325000D5D7052343E4C64FB9FEA532927F351D</vt:lpwstr>
  </property>
</Properties>
</file>