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C2CCCB4-B1F8-4DE0-AC5C-CB57E1FFB8CC" style="width:450.4pt;height:406.9pt">
            <v:imagedata r:id="rId12" o:title=""/>
          </v:shape>
        </w:pict>
      </w:r>
    </w:p>
    <w:bookmarkEnd w:id="0"/>
    <w:p>
      <w:pPr>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ANEXA 1</w:t>
      </w:r>
    </w:p>
    <w:p>
      <w:pPr>
        <w:spacing w:after="240"/>
        <w:jc w:val="center"/>
        <w:rPr>
          <w:b/>
          <w:noProof/>
        </w:rPr>
      </w:pPr>
      <w:r>
        <w:rPr>
          <w:b/>
          <w:noProof/>
        </w:rPr>
        <w:t>Numărul avizelor primite de Comisie în 2019 de la fiecare parlament/cameră național(ă) (dialogul politic și mecanismul de control al subsidiarității)</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bCs/>
                <w:noProof/>
                <w:color w:val="000000"/>
                <w:sz w:val="20"/>
              </w:rPr>
              <w:t>Statul membru</w:t>
            </w:r>
          </w:p>
        </w:tc>
        <w:tc>
          <w:tcPr>
            <w:tcW w:w="3609" w:type="dxa"/>
            <w:shd w:val="clear" w:color="auto" w:fill="auto"/>
            <w:vAlign w:val="center"/>
          </w:tcPr>
          <w:p>
            <w:pPr>
              <w:spacing w:before="60" w:after="60"/>
              <w:jc w:val="center"/>
              <w:rPr>
                <w:b/>
                <w:bCs/>
                <w:noProof/>
                <w:color w:val="000000"/>
                <w:sz w:val="20"/>
              </w:rPr>
            </w:pPr>
            <w:r>
              <w:rPr>
                <w:b/>
                <w:bCs/>
                <w:noProof/>
                <w:color w:val="000000"/>
                <w:sz w:val="20"/>
              </w:rPr>
              <w:t>Camera</w:t>
            </w:r>
          </w:p>
        </w:tc>
        <w:tc>
          <w:tcPr>
            <w:tcW w:w="1660" w:type="dxa"/>
            <w:shd w:val="clear" w:color="auto" w:fill="auto"/>
            <w:vAlign w:val="center"/>
          </w:tcPr>
          <w:p>
            <w:pPr>
              <w:spacing w:before="60" w:after="60"/>
              <w:jc w:val="center"/>
              <w:rPr>
                <w:b/>
                <w:bCs/>
                <w:noProof/>
                <w:color w:val="000000"/>
                <w:sz w:val="20"/>
              </w:rPr>
            </w:pPr>
            <w:r>
              <w:rPr>
                <w:b/>
                <w:bCs/>
                <w:noProof/>
                <w:color w:val="000000"/>
                <w:sz w:val="20"/>
              </w:rPr>
              <w:t>Număr</w:t>
            </w:r>
            <w:r>
              <w:rPr>
                <w:b/>
                <w:bCs/>
                <w:noProof/>
                <w:color w:val="000000"/>
                <w:sz w:val="20"/>
              </w:rPr>
              <w:cr/>
            </w:r>
            <w:r>
              <w:rPr>
                <w:b/>
                <w:bCs/>
                <w:noProof/>
                <w:color w:val="000000"/>
                <w:sz w:val="20"/>
              </w:rPr>
              <w:br/>
              <w:t>total</w:t>
            </w:r>
            <w:r>
              <w:rPr>
                <w:b/>
                <w:bCs/>
                <w:noProof/>
                <w:color w:val="000000"/>
                <w:sz w:val="20"/>
              </w:rPr>
              <w:cr/>
            </w:r>
            <w:r>
              <w:rPr>
                <w:b/>
                <w:bCs/>
                <w:noProof/>
                <w:color w:val="000000"/>
                <w:sz w:val="20"/>
              </w:rPr>
              <w:br/>
              <w:t>de avize</w:t>
            </w:r>
            <w:r>
              <w:rPr>
                <w:rStyle w:val="FootnoteReference"/>
                <w:noProof/>
                <w:sz w:val="20"/>
              </w:rPr>
              <w:footnoteReference w:id="1"/>
            </w:r>
          </w:p>
        </w:tc>
        <w:tc>
          <w:tcPr>
            <w:tcW w:w="2364" w:type="dxa"/>
            <w:shd w:val="clear" w:color="auto" w:fill="auto"/>
            <w:vAlign w:val="center"/>
          </w:tcPr>
          <w:p>
            <w:pPr>
              <w:spacing w:before="60" w:after="60"/>
              <w:jc w:val="center"/>
              <w:rPr>
                <w:b/>
                <w:bCs/>
                <w:noProof/>
                <w:color w:val="000000"/>
                <w:sz w:val="20"/>
              </w:rPr>
            </w:pPr>
            <w:r>
              <w:rPr>
                <w:b/>
                <w:bCs/>
                <w:noProof/>
                <w:color w:val="000000"/>
                <w:sz w:val="20"/>
              </w:rPr>
              <w:t>Numărul</w:t>
            </w:r>
            <w:r>
              <w:rPr>
                <w:b/>
                <w:bCs/>
                <w:noProof/>
                <w:color w:val="000000"/>
                <w:sz w:val="20"/>
              </w:rPr>
              <w:cr/>
            </w:r>
            <w:r>
              <w:rPr>
                <w:b/>
                <w:bCs/>
                <w:noProof/>
                <w:color w:val="000000"/>
                <w:sz w:val="20"/>
              </w:rPr>
              <w:br/>
              <w:t>avizelor</w:t>
            </w:r>
            <w:r>
              <w:rPr>
                <w:b/>
                <w:bCs/>
                <w:noProof/>
                <w:color w:val="000000"/>
                <w:sz w:val="20"/>
              </w:rPr>
              <w:cr/>
            </w:r>
            <w:r>
              <w:rPr>
                <w:b/>
                <w:bCs/>
                <w:noProof/>
                <w:color w:val="000000"/>
                <w:sz w:val="20"/>
              </w:rPr>
              <w:br/>
              <w:t>motivate</w:t>
            </w:r>
            <w:r>
              <w:rPr>
                <w:b/>
                <w:bCs/>
                <w:noProof/>
                <w:color w:val="000000"/>
                <w:sz w:val="20"/>
              </w:rPr>
              <w:cr/>
            </w:r>
            <w:r>
              <w:rPr>
                <w:b/>
                <w:bCs/>
                <w:noProof/>
                <w:color w:val="000000"/>
                <w:sz w:val="20"/>
              </w:rPr>
              <w:br/>
            </w:r>
            <w:r>
              <w:rPr>
                <w:b/>
                <w:noProof/>
                <w:sz w:val="20"/>
              </w:rPr>
              <w:t>(Protocolul nr. 2)</w:t>
            </w:r>
          </w:p>
        </w:tc>
      </w:tr>
      <w:tr>
        <w:trPr>
          <w:cantSplit/>
        </w:trPr>
        <w:tc>
          <w:tcPr>
            <w:tcW w:w="1909" w:type="dxa"/>
            <w:shd w:val="clear" w:color="auto" w:fill="auto"/>
            <w:vAlign w:val="center"/>
          </w:tcPr>
          <w:p>
            <w:pPr>
              <w:jc w:val="center"/>
              <w:rPr>
                <w:noProof/>
                <w:color w:val="000000"/>
                <w:sz w:val="20"/>
              </w:rPr>
            </w:pPr>
            <w:r>
              <w:rPr>
                <w:noProof/>
                <w:color w:val="000000"/>
                <w:sz w:val="20"/>
              </w:rPr>
              <w:t>Republica Cehă</w:t>
            </w:r>
          </w:p>
        </w:tc>
        <w:tc>
          <w:tcPr>
            <w:tcW w:w="3609" w:type="dxa"/>
            <w:shd w:val="clear" w:color="auto" w:fill="auto"/>
            <w:vAlign w:val="center"/>
          </w:tcPr>
          <w:p>
            <w:pPr>
              <w:jc w:val="center"/>
              <w:rPr>
                <w:i/>
                <w:iCs/>
                <w:noProof/>
                <w:color w:val="000000"/>
                <w:sz w:val="20"/>
              </w:rPr>
            </w:pPr>
            <w:r>
              <w:rPr>
                <w:i/>
                <w:iCs/>
                <w:noProof/>
                <w:color w:val="000000"/>
                <w:sz w:val="20"/>
              </w:rPr>
              <w:t>Senát</w:t>
            </w:r>
          </w:p>
        </w:tc>
        <w:tc>
          <w:tcPr>
            <w:tcW w:w="1660" w:type="dxa"/>
            <w:shd w:val="clear" w:color="auto" w:fill="auto"/>
            <w:vAlign w:val="center"/>
          </w:tcPr>
          <w:p>
            <w:pPr>
              <w:jc w:val="center"/>
              <w:rPr>
                <w:noProof/>
                <w:color w:val="000000"/>
                <w:sz w:val="20"/>
              </w:rPr>
            </w:pPr>
            <w:r>
              <w:rPr>
                <w:noProof/>
                <w:color w:val="000000"/>
                <w:sz w:val="20"/>
              </w:rPr>
              <w:t>21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România</w:t>
            </w:r>
          </w:p>
        </w:tc>
        <w:tc>
          <w:tcPr>
            <w:tcW w:w="3609" w:type="dxa"/>
            <w:shd w:val="clear" w:color="auto" w:fill="auto"/>
            <w:vAlign w:val="center"/>
          </w:tcPr>
          <w:p>
            <w:pPr>
              <w:jc w:val="center"/>
              <w:rPr>
                <w:i/>
                <w:iCs/>
                <w:noProof/>
                <w:color w:val="000000"/>
                <w:sz w:val="20"/>
              </w:rPr>
            </w:pPr>
            <w:r>
              <w:rPr>
                <w:i/>
                <w:iCs/>
                <w:noProof/>
                <w:color w:val="000000"/>
                <w:sz w:val="20"/>
              </w:rPr>
              <w:t>Camera Deputaților</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Portugalia</w:t>
            </w:r>
          </w:p>
        </w:tc>
        <w:tc>
          <w:tcPr>
            <w:tcW w:w="3609" w:type="dxa"/>
            <w:shd w:val="clear" w:color="auto" w:fill="auto"/>
            <w:vAlign w:val="center"/>
          </w:tcPr>
          <w:p>
            <w:pPr>
              <w:jc w:val="center"/>
              <w:rPr>
                <w:i/>
                <w:iCs/>
                <w:noProof/>
                <w:color w:val="000000"/>
                <w:sz w:val="20"/>
              </w:rPr>
            </w:pPr>
            <w:r>
              <w:rPr>
                <w:i/>
                <w:iCs/>
                <w:noProof/>
                <w:color w:val="000000"/>
                <w:sz w:val="20"/>
              </w:rPr>
              <w:t>Assembleia da República</w:t>
            </w:r>
          </w:p>
        </w:tc>
        <w:tc>
          <w:tcPr>
            <w:tcW w:w="1660" w:type="dxa"/>
            <w:shd w:val="clear" w:color="auto" w:fill="auto"/>
            <w:vAlign w:val="center"/>
          </w:tcPr>
          <w:p>
            <w:pPr>
              <w:jc w:val="center"/>
              <w:rPr>
                <w:noProof/>
                <w:color w:val="000000"/>
                <w:sz w:val="20"/>
              </w:rPr>
            </w:pPr>
            <w:r>
              <w:rPr>
                <w:noProof/>
                <w:color w:val="000000"/>
                <w:sz w:val="20"/>
              </w:rPr>
              <w:t>14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Republica Cehă</w:t>
            </w:r>
          </w:p>
        </w:tc>
        <w:tc>
          <w:tcPr>
            <w:tcW w:w="3609" w:type="dxa"/>
            <w:shd w:val="clear" w:color="auto" w:fill="auto"/>
            <w:vAlign w:val="center"/>
          </w:tcPr>
          <w:p>
            <w:pPr>
              <w:jc w:val="center"/>
              <w:rPr>
                <w:i/>
                <w:iCs/>
                <w:noProof/>
                <w:color w:val="000000"/>
                <w:sz w:val="20"/>
              </w:rPr>
            </w:pPr>
            <w:r>
              <w:rPr>
                <w:i/>
                <w:iCs/>
                <w:noProof/>
                <w:color w:val="000000"/>
                <w:sz w:val="20"/>
              </w:rPr>
              <w:t>Poslanecká sněmovna</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Franța</w:t>
            </w:r>
          </w:p>
        </w:tc>
        <w:tc>
          <w:tcPr>
            <w:tcW w:w="3609" w:type="dxa"/>
            <w:shd w:val="clear" w:color="auto" w:fill="auto"/>
            <w:vAlign w:val="center"/>
          </w:tcPr>
          <w:p>
            <w:pPr>
              <w:jc w:val="center"/>
              <w:rPr>
                <w:i/>
                <w:iCs/>
                <w:noProof/>
                <w:color w:val="000000"/>
                <w:sz w:val="20"/>
              </w:rPr>
            </w:pPr>
            <w:r>
              <w:rPr>
                <w:i/>
                <w:iCs/>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12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Germania</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Spania</w:t>
            </w:r>
          </w:p>
        </w:tc>
        <w:tc>
          <w:tcPr>
            <w:tcW w:w="3609" w:type="dxa"/>
            <w:shd w:val="clear" w:color="auto" w:fill="auto"/>
            <w:vAlign w:val="center"/>
          </w:tcPr>
          <w:p>
            <w:pPr>
              <w:jc w:val="center"/>
              <w:rPr>
                <w:noProof/>
                <w:color w:val="000000"/>
                <w:sz w:val="20"/>
              </w:rPr>
            </w:pPr>
            <w:r>
              <w:rPr>
                <w:i/>
                <w:iCs/>
                <w:noProof/>
                <w:color w:val="000000"/>
                <w:sz w:val="20"/>
              </w:rPr>
              <w:t>Las Cortes Generales:</w:t>
            </w:r>
            <w:r>
              <w:rPr>
                <w:noProof/>
                <w:color w:val="000000"/>
                <w:sz w:val="20"/>
              </w:rPr>
              <w:cr/>
            </w:r>
            <w:r>
              <w:rPr>
                <w:noProof/>
                <w:color w:val="000000"/>
                <w:sz w:val="20"/>
              </w:rPr>
              <w:br/>
            </w:r>
            <w:r>
              <w:rPr>
                <w:i/>
                <w:iCs/>
                <w:noProof/>
                <w:color w:val="000000"/>
                <w:sz w:val="20"/>
              </w:rPr>
              <w:t>Senado de España</w:t>
            </w:r>
            <w:r>
              <w:rPr>
                <w:noProof/>
                <w:color w:val="000000"/>
                <w:sz w:val="20"/>
              </w:rPr>
              <w:t xml:space="preserve"> și</w:t>
            </w:r>
            <w:r>
              <w:rPr>
                <w:noProof/>
                <w:color w:val="000000"/>
                <w:sz w:val="20"/>
              </w:rPr>
              <w:cr/>
            </w:r>
            <w:r>
              <w:rPr>
                <w:noProof/>
                <w:color w:val="000000"/>
                <w:sz w:val="20"/>
              </w:rPr>
              <w:br/>
            </w:r>
            <w:r>
              <w:rPr>
                <w:i/>
                <w:iCs/>
                <w:noProof/>
                <w:color w:val="000000"/>
                <w:sz w:val="20"/>
              </w:rPr>
              <w:t>Congreso de los Diputados</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2"/>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Regatul Unit</w:t>
            </w:r>
          </w:p>
        </w:tc>
        <w:tc>
          <w:tcPr>
            <w:tcW w:w="3609" w:type="dxa"/>
            <w:shd w:val="clear" w:color="auto" w:fill="auto"/>
            <w:vAlign w:val="center"/>
          </w:tcPr>
          <w:p>
            <w:pPr>
              <w:jc w:val="center"/>
              <w:rPr>
                <w:iCs/>
                <w:noProof/>
                <w:color w:val="000000"/>
                <w:sz w:val="20"/>
              </w:rPr>
            </w:pPr>
            <w:r>
              <w:rPr>
                <w:i/>
                <w:iCs/>
                <w:noProof/>
                <w:color w:val="000000"/>
                <w:sz w:val="20"/>
              </w:rPr>
              <w:t>House of Lords</w:t>
            </w:r>
            <w:r>
              <w:rPr>
                <w:iCs/>
                <w:noProof/>
                <w:color w:val="000000"/>
                <w:sz w:val="20"/>
              </w:rPr>
              <w:t xml:space="preserve"> (Camera Lorzilor)</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3"/>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Italia</w:t>
            </w:r>
          </w:p>
        </w:tc>
        <w:tc>
          <w:tcPr>
            <w:tcW w:w="3609" w:type="dxa"/>
            <w:shd w:val="clear" w:color="auto" w:fill="auto"/>
            <w:vAlign w:val="center"/>
          </w:tcPr>
          <w:p>
            <w:pPr>
              <w:jc w:val="center"/>
              <w:rPr>
                <w:i/>
                <w:iCs/>
                <w:noProof/>
                <w:color w:val="000000"/>
                <w:sz w:val="20"/>
              </w:rPr>
            </w:pPr>
            <w:r>
              <w:rPr>
                <w:i/>
                <w:iCs/>
                <w:noProof/>
                <w:color w:val="000000"/>
                <w:sz w:val="20"/>
              </w:rPr>
              <w:t>Senato della Repubblica</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România</w:t>
            </w:r>
          </w:p>
        </w:tc>
        <w:tc>
          <w:tcPr>
            <w:tcW w:w="3609" w:type="dxa"/>
            <w:shd w:val="clear" w:color="auto" w:fill="auto"/>
            <w:vAlign w:val="center"/>
          </w:tcPr>
          <w:p>
            <w:pPr>
              <w:jc w:val="center"/>
              <w:rPr>
                <w:i/>
                <w:iCs/>
                <w:noProof/>
                <w:color w:val="000000"/>
                <w:sz w:val="20"/>
              </w:rPr>
            </w:pPr>
            <w:r>
              <w:rPr>
                <w:i/>
                <w:iCs/>
                <w:noProof/>
                <w:color w:val="000000"/>
                <w:sz w:val="20"/>
              </w:rPr>
              <w:t>Senatul</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Suedia</w:t>
            </w:r>
          </w:p>
        </w:tc>
        <w:tc>
          <w:tcPr>
            <w:tcW w:w="3609" w:type="dxa"/>
            <w:shd w:val="clear" w:color="auto" w:fill="auto"/>
            <w:vAlign w:val="center"/>
          </w:tcPr>
          <w:p>
            <w:pPr>
              <w:jc w:val="center"/>
              <w:rPr>
                <w:noProof/>
                <w:color w:val="000000"/>
                <w:sz w:val="20"/>
              </w:rPr>
            </w:pPr>
            <w:r>
              <w:rPr>
                <w:i/>
                <w:iCs/>
                <w:noProof/>
                <w:color w:val="000000"/>
                <w:sz w:val="20"/>
              </w:rPr>
              <w:t>Riksdag</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Franța</w:t>
            </w:r>
          </w:p>
        </w:tc>
        <w:tc>
          <w:tcPr>
            <w:tcW w:w="3609" w:type="dxa"/>
            <w:shd w:val="clear" w:color="auto" w:fill="auto"/>
            <w:vAlign w:val="center"/>
          </w:tcPr>
          <w:p>
            <w:pPr>
              <w:jc w:val="center"/>
              <w:rPr>
                <w:i/>
                <w:iCs/>
                <w:noProof/>
                <w:color w:val="000000"/>
                <w:sz w:val="20"/>
              </w:rPr>
            </w:pPr>
            <w:r>
              <w:rPr>
                <w:i/>
                <w:iCs/>
                <w:noProof/>
                <w:color w:val="000000"/>
                <w:sz w:val="20"/>
              </w:rPr>
              <w:t>Assemblée nationale</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Țările de Jos</w:t>
            </w:r>
          </w:p>
        </w:tc>
        <w:tc>
          <w:tcPr>
            <w:tcW w:w="3609" w:type="dxa"/>
            <w:shd w:val="clear" w:color="auto" w:fill="auto"/>
            <w:vAlign w:val="center"/>
          </w:tcPr>
          <w:p>
            <w:pPr>
              <w:jc w:val="center"/>
              <w:rPr>
                <w:i/>
                <w:iCs/>
                <w:noProof/>
                <w:color w:val="000000"/>
                <w:sz w:val="20"/>
              </w:rPr>
            </w:pPr>
            <w:r>
              <w:rPr>
                <w:i/>
                <w:iCs/>
                <w:noProof/>
                <w:color w:val="000000"/>
                <w:sz w:val="20"/>
              </w:rPr>
              <w:t>Eerste Kamer</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Ungaria</w:t>
            </w:r>
          </w:p>
        </w:tc>
        <w:tc>
          <w:tcPr>
            <w:tcW w:w="3609" w:type="dxa"/>
            <w:shd w:val="clear" w:color="auto" w:fill="auto"/>
            <w:vAlign w:val="center"/>
          </w:tcPr>
          <w:p>
            <w:pPr>
              <w:jc w:val="center"/>
              <w:rPr>
                <w:i/>
                <w:iCs/>
                <w:noProof/>
                <w:color w:val="000000"/>
                <w:sz w:val="20"/>
              </w:rPr>
            </w:pPr>
            <w:r>
              <w:rPr>
                <w:i/>
                <w:iCs/>
                <w:noProof/>
                <w:color w:val="000000"/>
                <w:sz w:val="20"/>
              </w:rPr>
              <w:t>Országgyűlés</w:t>
            </w:r>
          </w:p>
        </w:tc>
        <w:tc>
          <w:tcPr>
            <w:tcW w:w="1660" w:type="dxa"/>
            <w:shd w:val="clear" w:color="auto" w:fill="auto"/>
            <w:vAlign w:val="center"/>
          </w:tcPr>
          <w:p>
            <w:pPr>
              <w:jc w:val="center"/>
              <w:rPr>
                <w:noProof/>
                <w:color w:val="000000"/>
                <w:sz w:val="20"/>
              </w:rPr>
            </w:pPr>
            <w:r>
              <w:rPr>
                <w:noProof/>
                <w:color w:val="000000"/>
                <w:sz w:val="20"/>
              </w:rPr>
              <w:t>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Italia</w:t>
            </w:r>
          </w:p>
        </w:tc>
        <w:tc>
          <w:tcPr>
            <w:tcW w:w="3609" w:type="dxa"/>
            <w:shd w:val="clear" w:color="auto" w:fill="auto"/>
            <w:vAlign w:val="center"/>
          </w:tcPr>
          <w:p>
            <w:pPr>
              <w:jc w:val="center"/>
              <w:rPr>
                <w:i/>
                <w:iCs/>
                <w:noProof/>
                <w:color w:val="000000"/>
                <w:sz w:val="20"/>
              </w:rPr>
            </w:pPr>
            <w:r>
              <w:rPr>
                <w:i/>
                <w:iCs/>
                <w:noProof/>
                <w:color w:val="000000"/>
                <w:sz w:val="20"/>
              </w:rPr>
              <w:t xml:space="preserve">Camera dei Deputati </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Lituania</w:t>
            </w:r>
          </w:p>
        </w:tc>
        <w:tc>
          <w:tcPr>
            <w:tcW w:w="3609" w:type="dxa"/>
            <w:shd w:val="clear" w:color="auto" w:fill="auto"/>
            <w:vAlign w:val="center"/>
          </w:tcPr>
          <w:p>
            <w:pPr>
              <w:jc w:val="center"/>
              <w:rPr>
                <w:i/>
                <w:iCs/>
                <w:noProof/>
                <w:color w:val="000000"/>
                <w:sz w:val="20"/>
              </w:rPr>
            </w:pPr>
            <w:r>
              <w:rPr>
                <w:i/>
                <w:iCs/>
                <w:noProof/>
                <w:color w:val="000000"/>
                <w:sz w:val="20"/>
              </w:rPr>
              <w:t>Seimas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Slovacia</w:t>
            </w:r>
          </w:p>
        </w:tc>
        <w:tc>
          <w:tcPr>
            <w:tcW w:w="3609" w:type="dxa"/>
            <w:shd w:val="clear" w:color="auto" w:fill="auto"/>
            <w:vAlign w:val="center"/>
          </w:tcPr>
          <w:p>
            <w:pPr>
              <w:jc w:val="center"/>
              <w:rPr>
                <w:i/>
                <w:iCs/>
                <w:noProof/>
                <w:color w:val="000000"/>
                <w:sz w:val="20"/>
              </w:rPr>
            </w:pPr>
            <w:r>
              <w:rPr>
                <w:i/>
                <w:iCs/>
                <w:noProof/>
                <w:color w:val="000000"/>
                <w:sz w:val="20"/>
              </w:rPr>
              <w:t>Národná rada</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Malta</w:t>
            </w:r>
          </w:p>
        </w:tc>
        <w:tc>
          <w:tcPr>
            <w:tcW w:w="3609" w:type="dxa"/>
            <w:shd w:val="clear" w:color="auto" w:fill="auto"/>
            <w:vAlign w:val="center"/>
          </w:tcPr>
          <w:p>
            <w:pPr>
              <w:jc w:val="center"/>
              <w:rPr>
                <w:i/>
                <w:iCs/>
                <w:noProof/>
                <w:color w:val="000000"/>
                <w:sz w:val="20"/>
              </w:rPr>
            </w:pPr>
            <w:r>
              <w:rPr>
                <w:i/>
                <w:iCs/>
                <w:noProof/>
                <w:color w:val="000000"/>
                <w:sz w:val="20"/>
              </w:rPr>
              <w:t>Kamra tad-Deputati</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Țările de Jos</w:t>
            </w:r>
          </w:p>
        </w:tc>
        <w:tc>
          <w:tcPr>
            <w:tcW w:w="3609" w:type="dxa"/>
            <w:shd w:val="clear" w:color="auto" w:fill="auto"/>
            <w:vAlign w:val="center"/>
          </w:tcPr>
          <w:p>
            <w:pPr>
              <w:jc w:val="center"/>
              <w:rPr>
                <w:i/>
                <w:iCs/>
                <w:noProof/>
                <w:color w:val="000000"/>
                <w:sz w:val="20"/>
              </w:rPr>
            </w:pPr>
            <w:r>
              <w:rPr>
                <w:i/>
                <w:iCs/>
                <w:noProof/>
                <w:color w:val="000000"/>
                <w:sz w:val="20"/>
              </w:rPr>
              <w:t>Tweede Kamer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Polonia</w:t>
            </w:r>
          </w:p>
        </w:tc>
        <w:tc>
          <w:tcPr>
            <w:tcW w:w="3609" w:type="dxa"/>
            <w:shd w:val="clear" w:color="auto" w:fill="auto"/>
            <w:vAlign w:val="center"/>
          </w:tcPr>
          <w:p>
            <w:pPr>
              <w:jc w:val="center"/>
              <w:rPr>
                <w:i/>
                <w:iCs/>
                <w:noProof/>
                <w:color w:val="000000"/>
                <w:sz w:val="20"/>
              </w:rPr>
            </w:pPr>
            <w:r>
              <w:rPr>
                <w:i/>
                <w:iCs/>
                <w:noProof/>
                <w:color w:val="000000"/>
                <w:sz w:val="20"/>
              </w:rPr>
              <w:t>Sejm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Polonia</w:t>
            </w:r>
          </w:p>
        </w:tc>
        <w:tc>
          <w:tcPr>
            <w:tcW w:w="3609" w:type="dxa"/>
            <w:shd w:val="clear" w:color="auto" w:fill="auto"/>
            <w:vAlign w:val="center"/>
          </w:tcPr>
          <w:p>
            <w:pPr>
              <w:jc w:val="center"/>
              <w:rPr>
                <w:i/>
                <w:iCs/>
                <w:noProof/>
                <w:color w:val="000000"/>
                <w:sz w:val="20"/>
              </w:rPr>
            </w:pPr>
            <w:r>
              <w:rPr>
                <w:i/>
                <w:iCs/>
                <w:noProof/>
                <w:color w:val="000000"/>
                <w:sz w:val="20"/>
              </w:rPr>
              <w:t>Senat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Belgia</w:t>
            </w:r>
          </w:p>
        </w:tc>
        <w:tc>
          <w:tcPr>
            <w:tcW w:w="3609" w:type="dxa"/>
            <w:shd w:val="clear" w:color="auto" w:fill="auto"/>
            <w:vAlign w:val="center"/>
          </w:tcPr>
          <w:p>
            <w:pPr>
              <w:jc w:val="center"/>
              <w:rPr>
                <w:i/>
                <w:iCs/>
                <w:noProof/>
                <w:color w:val="000000"/>
                <w:sz w:val="20"/>
              </w:rPr>
            </w:pPr>
            <w:r>
              <w:rPr>
                <w:i/>
                <w:iCs/>
                <w:noProof/>
                <w:color w:val="000000"/>
                <w:sz w:val="20"/>
              </w:rPr>
              <w:t>Sénat de Belgique / Belgische Senaat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Belgia</w:t>
            </w:r>
          </w:p>
        </w:tc>
        <w:tc>
          <w:tcPr>
            <w:tcW w:w="3609" w:type="dxa"/>
            <w:shd w:val="clear" w:color="auto" w:fill="auto"/>
            <w:vAlign w:val="center"/>
          </w:tcPr>
          <w:p>
            <w:pPr>
              <w:jc w:val="center"/>
              <w:rPr>
                <w:i/>
                <w:iCs/>
                <w:noProof/>
                <w:color w:val="000000"/>
                <w:sz w:val="20"/>
              </w:rPr>
            </w:pPr>
            <w:r>
              <w:rPr>
                <w:i/>
                <w:iCs/>
                <w:noProof/>
                <w:color w:val="000000"/>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Bulgaria</w:t>
            </w:r>
          </w:p>
        </w:tc>
        <w:tc>
          <w:tcPr>
            <w:tcW w:w="3609" w:type="dxa"/>
            <w:shd w:val="clear" w:color="auto" w:fill="auto"/>
            <w:vAlign w:val="center"/>
          </w:tcPr>
          <w:p>
            <w:pPr>
              <w:jc w:val="center"/>
              <w:rPr>
                <w:i/>
                <w:iCs/>
                <w:noProof/>
                <w:color w:val="000000"/>
                <w:sz w:val="20"/>
              </w:rPr>
            </w:pPr>
            <w:r>
              <w:rPr>
                <w:i/>
                <w:iCs/>
                <w:noProof/>
                <w:color w:val="000000"/>
                <w:sz w:val="20"/>
              </w:rPr>
              <w:t>Narodno Sabranie</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Danemarca</w:t>
            </w:r>
          </w:p>
        </w:tc>
        <w:tc>
          <w:tcPr>
            <w:tcW w:w="3609" w:type="dxa"/>
            <w:shd w:val="clear" w:color="auto" w:fill="auto"/>
            <w:vAlign w:val="center"/>
          </w:tcPr>
          <w:p>
            <w:pPr>
              <w:jc w:val="center"/>
              <w:rPr>
                <w:i/>
                <w:iCs/>
                <w:noProof/>
                <w:color w:val="000000"/>
                <w:sz w:val="20"/>
              </w:rPr>
            </w:pPr>
            <w:r>
              <w:rPr>
                <w:i/>
                <w:iCs/>
                <w:noProof/>
                <w:color w:val="000000"/>
                <w:sz w:val="20"/>
              </w:rPr>
              <w:t>Folketing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Germania</w:t>
            </w:r>
          </w:p>
        </w:tc>
        <w:tc>
          <w:tcPr>
            <w:tcW w:w="3609" w:type="dxa"/>
            <w:shd w:val="clear" w:color="auto" w:fill="auto"/>
            <w:vAlign w:val="center"/>
          </w:tcPr>
          <w:p>
            <w:pPr>
              <w:jc w:val="center"/>
              <w:rPr>
                <w:i/>
                <w:iCs/>
                <w:noProof/>
                <w:color w:val="000000"/>
                <w:sz w:val="20"/>
              </w:rPr>
            </w:pPr>
            <w:r>
              <w:rPr>
                <w:i/>
                <w:iCs/>
                <w:noProof/>
                <w:color w:val="000000"/>
                <w:sz w:val="20"/>
              </w:rPr>
              <w:t>Bundestag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Estonia</w:t>
            </w:r>
          </w:p>
        </w:tc>
        <w:tc>
          <w:tcPr>
            <w:tcW w:w="3609" w:type="dxa"/>
            <w:shd w:val="clear" w:color="auto" w:fill="auto"/>
            <w:vAlign w:val="center"/>
          </w:tcPr>
          <w:p>
            <w:pPr>
              <w:jc w:val="center"/>
              <w:rPr>
                <w:i/>
                <w:iCs/>
                <w:noProof/>
                <w:color w:val="000000"/>
                <w:sz w:val="20"/>
              </w:rPr>
            </w:pPr>
            <w:r>
              <w:rPr>
                <w:i/>
                <w:iCs/>
                <w:noProof/>
                <w:color w:val="000000"/>
                <w:sz w:val="20"/>
              </w:rPr>
              <w:t>Riigikogu</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lastRenderedPageBreak/>
              <w:t>Irlanda</w:t>
            </w:r>
          </w:p>
        </w:tc>
        <w:tc>
          <w:tcPr>
            <w:tcW w:w="3609" w:type="dxa"/>
            <w:shd w:val="clear" w:color="auto" w:fill="auto"/>
            <w:vAlign w:val="center"/>
          </w:tcPr>
          <w:p>
            <w:pPr>
              <w:jc w:val="center"/>
              <w:rPr>
                <w:noProof/>
                <w:color w:val="000000"/>
                <w:sz w:val="20"/>
              </w:rPr>
            </w:pPr>
            <w:r>
              <w:rPr>
                <w:noProof/>
                <w:color w:val="000000"/>
                <w:sz w:val="20"/>
              </w:rPr>
              <w:t xml:space="preserve">Camerele </w:t>
            </w:r>
            <w:r>
              <w:rPr>
                <w:i/>
                <w:iCs/>
                <w:noProof/>
                <w:color w:val="000000"/>
                <w:sz w:val="20"/>
              </w:rPr>
              <w:t>Oireachtas:</w:t>
            </w:r>
            <w:r>
              <w:rPr>
                <w:noProof/>
                <w:color w:val="000000"/>
                <w:sz w:val="20"/>
              </w:rPr>
              <w:cr/>
            </w:r>
            <w:r>
              <w:rPr>
                <w:noProof/>
                <w:color w:val="000000"/>
                <w:sz w:val="20"/>
              </w:rPr>
              <w:br/>
            </w:r>
            <w:r>
              <w:rPr>
                <w:i/>
                <w:iCs/>
                <w:noProof/>
                <w:color w:val="000000"/>
                <w:sz w:val="20"/>
              </w:rPr>
              <w:t>Dáil</w:t>
            </w:r>
            <w:r>
              <w:rPr>
                <w:noProof/>
                <w:color w:val="000000"/>
                <w:sz w:val="20"/>
              </w:rPr>
              <w:t xml:space="preserve"> și </w:t>
            </w:r>
            <w:r>
              <w:rPr>
                <w:i/>
                <w:iCs/>
                <w:noProof/>
                <w:color w:val="000000"/>
                <w:sz w:val="20"/>
              </w:rPr>
              <w:t xml:space="preserve">Seanad Éireann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Grecia</w:t>
            </w:r>
          </w:p>
        </w:tc>
        <w:tc>
          <w:tcPr>
            <w:tcW w:w="3609" w:type="dxa"/>
            <w:shd w:val="clear" w:color="auto" w:fill="auto"/>
            <w:vAlign w:val="center"/>
          </w:tcPr>
          <w:p>
            <w:pPr>
              <w:jc w:val="center"/>
              <w:rPr>
                <w:i/>
                <w:iCs/>
                <w:noProof/>
                <w:color w:val="000000"/>
                <w:sz w:val="20"/>
              </w:rPr>
            </w:pPr>
            <w:r>
              <w:rPr>
                <w:i/>
                <w:iCs/>
                <w:noProof/>
                <w:color w:val="000000"/>
                <w:sz w:val="20"/>
              </w:rPr>
              <w:t>Vouli ton Ellinon</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Croația</w:t>
            </w:r>
          </w:p>
        </w:tc>
        <w:tc>
          <w:tcPr>
            <w:tcW w:w="3609" w:type="dxa"/>
            <w:shd w:val="clear" w:color="auto" w:fill="auto"/>
            <w:vAlign w:val="center"/>
          </w:tcPr>
          <w:p>
            <w:pPr>
              <w:jc w:val="center"/>
              <w:rPr>
                <w:i/>
                <w:iCs/>
                <w:noProof/>
                <w:color w:val="000000"/>
                <w:sz w:val="20"/>
              </w:rPr>
            </w:pPr>
            <w:r>
              <w:rPr>
                <w:i/>
                <w:iCs/>
                <w:noProof/>
                <w:color w:val="000000"/>
                <w:sz w:val="20"/>
              </w:rPr>
              <w:t xml:space="preserve">Hrvatski Sabor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Cipru</w:t>
            </w:r>
          </w:p>
        </w:tc>
        <w:tc>
          <w:tcPr>
            <w:tcW w:w="3609" w:type="dxa"/>
            <w:shd w:val="clear" w:color="auto" w:fill="auto"/>
            <w:vAlign w:val="center"/>
          </w:tcPr>
          <w:p>
            <w:pPr>
              <w:jc w:val="center"/>
              <w:rPr>
                <w:i/>
                <w:iCs/>
                <w:noProof/>
                <w:color w:val="000000"/>
                <w:sz w:val="20"/>
              </w:rPr>
            </w:pPr>
            <w:r>
              <w:rPr>
                <w:i/>
                <w:iCs/>
                <w:noProof/>
                <w:color w:val="000000"/>
                <w:sz w:val="20"/>
              </w:rPr>
              <w:t xml:space="preserve">Vouli ton Antiprosopon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Letonia</w:t>
            </w:r>
          </w:p>
        </w:tc>
        <w:tc>
          <w:tcPr>
            <w:tcW w:w="3609" w:type="dxa"/>
            <w:shd w:val="clear" w:color="auto" w:fill="auto"/>
            <w:vAlign w:val="center"/>
          </w:tcPr>
          <w:p>
            <w:pPr>
              <w:jc w:val="center"/>
              <w:rPr>
                <w:i/>
                <w:iCs/>
                <w:noProof/>
                <w:color w:val="000000"/>
                <w:sz w:val="20"/>
              </w:rPr>
            </w:pPr>
            <w:r>
              <w:rPr>
                <w:i/>
                <w:iCs/>
                <w:noProof/>
                <w:color w:val="000000"/>
                <w:sz w:val="20"/>
              </w:rPr>
              <w:t>Saeima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Luxemburg</w:t>
            </w:r>
          </w:p>
        </w:tc>
        <w:tc>
          <w:tcPr>
            <w:tcW w:w="3609" w:type="dxa"/>
            <w:shd w:val="clear" w:color="auto" w:fill="auto"/>
            <w:vAlign w:val="center"/>
          </w:tcPr>
          <w:p>
            <w:pPr>
              <w:jc w:val="center"/>
              <w:rPr>
                <w:i/>
                <w:iCs/>
                <w:noProof/>
                <w:color w:val="000000"/>
                <w:sz w:val="20"/>
              </w:rPr>
            </w:pPr>
            <w:r>
              <w:rPr>
                <w:i/>
                <w:iCs/>
                <w:noProof/>
                <w:color w:val="000000"/>
                <w:sz w:val="20"/>
              </w:rPr>
              <w:t>Chambre des Députés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Austria</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Austria</w:t>
            </w:r>
          </w:p>
        </w:tc>
        <w:tc>
          <w:tcPr>
            <w:tcW w:w="3609" w:type="dxa"/>
            <w:shd w:val="clear" w:color="auto" w:fill="auto"/>
            <w:vAlign w:val="center"/>
          </w:tcPr>
          <w:p>
            <w:pPr>
              <w:jc w:val="center"/>
              <w:rPr>
                <w:i/>
                <w:iCs/>
                <w:noProof/>
                <w:color w:val="000000"/>
                <w:sz w:val="20"/>
              </w:rPr>
            </w:pPr>
            <w:r>
              <w:rPr>
                <w:i/>
                <w:iCs/>
                <w:noProof/>
                <w:color w:val="000000"/>
                <w:sz w:val="20"/>
              </w:rPr>
              <w:t>Nationalrat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Slovenia</w:t>
            </w:r>
          </w:p>
        </w:tc>
        <w:tc>
          <w:tcPr>
            <w:tcW w:w="3609" w:type="dxa"/>
            <w:shd w:val="clear" w:color="auto" w:fill="auto"/>
            <w:vAlign w:val="center"/>
          </w:tcPr>
          <w:p>
            <w:pPr>
              <w:jc w:val="center"/>
              <w:rPr>
                <w:i/>
                <w:iCs/>
                <w:noProof/>
                <w:color w:val="000000"/>
                <w:sz w:val="20"/>
              </w:rPr>
            </w:pPr>
            <w:r>
              <w:rPr>
                <w:i/>
                <w:iCs/>
                <w:noProof/>
                <w:color w:val="000000"/>
                <w:sz w:val="20"/>
              </w:rPr>
              <w:t>Državni svet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Slovenia</w:t>
            </w:r>
          </w:p>
        </w:tc>
        <w:tc>
          <w:tcPr>
            <w:tcW w:w="3609" w:type="dxa"/>
            <w:shd w:val="clear" w:color="auto" w:fill="auto"/>
            <w:vAlign w:val="center"/>
          </w:tcPr>
          <w:p>
            <w:pPr>
              <w:jc w:val="center"/>
              <w:rPr>
                <w:i/>
                <w:iCs/>
                <w:noProof/>
                <w:color w:val="000000"/>
                <w:sz w:val="20"/>
              </w:rPr>
            </w:pPr>
            <w:r>
              <w:rPr>
                <w:i/>
                <w:iCs/>
                <w:noProof/>
                <w:color w:val="000000"/>
                <w:sz w:val="20"/>
              </w:rPr>
              <w:t>Državni zbor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Finlanda</w:t>
            </w:r>
          </w:p>
        </w:tc>
        <w:tc>
          <w:tcPr>
            <w:tcW w:w="3609" w:type="dxa"/>
            <w:shd w:val="clear" w:color="auto" w:fill="auto"/>
            <w:vAlign w:val="center"/>
          </w:tcPr>
          <w:p>
            <w:pPr>
              <w:jc w:val="center"/>
              <w:rPr>
                <w:i/>
                <w:iCs/>
                <w:noProof/>
                <w:color w:val="000000"/>
                <w:sz w:val="20"/>
              </w:rPr>
            </w:pPr>
            <w:r>
              <w:rPr>
                <w:i/>
                <w:iCs/>
                <w:noProof/>
                <w:color w:val="000000"/>
                <w:sz w:val="20"/>
              </w:rPr>
              <w:t>Eduskunta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Regatul Unit</w:t>
            </w:r>
          </w:p>
        </w:tc>
        <w:tc>
          <w:tcPr>
            <w:tcW w:w="3609" w:type="dxa"/>
            <w:shd w:val="clear" w:color="auto" w:fill="auto"/>
            <w:vAlign w:val="center"/>
          </w:tcPr>
          <w:p>
            <w:pPr>
              <w:jc w:val="center"/>
              <w:rPr>
                <w:noProof/>
                <w:color w:val="000000"/>
                <w:sz w:val="20"/>
              </w:rPr>
            </w:pPr>
            <w:r>
              <w:rPr>
                <w:i/>
                <w:iCs/>
                <w:noProof/>
                <w:color w:val="000000"/>
                <w:sz w:val="20"/>
              </w:rPr>
              <w:t>House of Commons</w:t>
            </w:r>
            <w:r>
              <w:rPr>
                <w:noProof/>
                <w:color w:val="000000"/>
                <w:sz w:val="20"/>
              </w:rPr>
              <w:t xml:space="preserve"> (Camera Comunelor)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TOTAL</w:t>
            </w:r>
          </w:p>
        </w:tc>
        <w:tc>
          <w:tcPr>
            <w:tcW w:w="1660" w:type="dxa"/>
            <w:shd w:val="clear" w:color="auto" w:fill="auto"/>
          </w:tcPr>
          <w:p>
            <w:pPr>
              <w:jc w:val="center"/>
              <w:rPr>
                <w:b/>
                <w:noProof/>
                <w:sz w:val="20"/>
              </w:rPr>
            </w:pPr>
            <w:r>
              <w:rPr>
                <w:b/>
                <w:noProof/>
                <w:sz w:val="20"/>
              </w:rPr>
              <w:t>159</w:t>
            </w:r>
          </w:p>
        </w:tc>
        <w:tc>
          <w:tcPr>
            <w:tcW w:w="2364" w:type="dxa"/>
            <w:shd w:val="clear" w:color="auto" w:fill="auto"/>
          </w:tcPr>
          <w:p>
            <w:pPr>
              <w:jc w:val="center"/>
              <w:rPr>
                <w:b/>
                <w:noProof/>
                <w:sz w:val="20"/>
              </w:rPr>
            </w:pPr>
            <w:r>
              <w:rPr>
                <w:b/>
                <w:noProof/>
                <w:sz w:val="20"/>
              </w:rPr>
              <w:t>0</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lastRenderedPageBreak/>
        <w:t>ANEXA 2</w:t>
      </w:r>
    </w:p>
    <w:p>
      <w:pPr>
        <w:spacing w:after="240"/>
        <w:jc w:val="center"/>
        <w:rPr>
          <w:b/>
          <w:noProof/>
        </w:rPr>
      </w:pPr>
      <w:r>
        <w:rPr>
          <w:b/>
          <w:noProof/>
        </w:rPr>
        <w:t>Documentele Comisiei care au generat cel mai mare număr de avize</w:t>
      </w:r>
      <w:r>
        <w:rPr>
          <w:rStyle w:val="FootnoteReference"/>
          <w:noProof/>
        </w:rPr>
        <w:footnoteReference w:id="4"/>
      </w:r>
      <w:r>
        <w:rPr>
          <w:b/>
          <w:noProof/>
        </w:rPr>
        <w:t xml:space="preserve"> primite de Comisie în 2019 (dialogul politic și mecanismul de control al subsidiarității)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lang w:eastAsia="en-GB"/>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Documentul</w:t>
            </w:r>
            <w:r>
              <w:rPr>
                <w:b/>
                <w:bCs/>
                <w:noProof/>
                <w:color w:val="000000"/>
                <w:sz w:val="22"/>
                <w:szCs w:val="22"/>
              </w:rPr>
              <w:cr/>
            </w:r>
            <w:r>
              <w:rPr>
                <w:b/>
                <w:bCs/>
                <w:noProof/>
                <w:color w:val="000000"/>
                <w:sz w:val="22"/>
                <w:szCs w:val="22"/>
              </w:rPr>
              <w:br/>
              <w:t>Comisiei</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Titlu</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Număr</w:t>
            </w:r>
            <w:r>
              <w:rPr>
                <w:b/>
                <w:bCs/>
                <w:noProof/>
                <w:color w:val="000000"/>
                <w:sz w:val="22"/>
                <w:szCs w:val="22"/>
              </w:rPr>
              <w:cr/>
            </w:r>
            <w:r>
              <w:rPr>
                <w:b/>
                <w:bCs/>
                <w:noProof/>
                <w:color w:val="000000"/>
                <w:sz w:val="22"/>
                <w:szCs w:val="22"/>
              </w:rPr>
              <w:br/>
              <w:t>total</w:t>
            </w:r>
            <w:r>
              <w:rPr>
                <w:b/>
                <w:bCs/>
                <w:noProof/>
                <w:color w:val="000000"/>
                <w:sz w:val="22"/>
                <w:szCs w:val="22"/>
              </w:rPr>
              <w:cr/>
            </w:r>
            <w:r>
              <w:rPr>
                <w:b/>
                <w:bCs/>
                <w:noProof/>
                <w:color w:val="000000"/>
                <w:sz w:val="22"/>
                <w:szCs w:val="22"/>
              </w:rPr>
              <w:br/>
              <w:t>de</w:t>
            </w:r>
            <w:r>
              <w:rPr>
                <w:b/>
                <w:bCs/>
                <w:noProof/>
                <w:color w:val="000000"/>
                <w:sz w:val="22"/>
                <w:szCs w:val="22"/>
              </w:rPr>
              <w:cr/>
            </w:r>
            <w:r>
              <w:rPr>
                <w:b/>
                <w:bCs/>
                <w:noProof/>
                <w:color w:val="000000"/>
                <w:sz w:val="22"/>
                <w:szCs w:val="22"/>
              </w:rPr>
              <w:br/>
              <w:t>avize</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Numărul</w:t>
            </w:r>
            <w:r>
              <w:rPr>
                <w:b/>
                <w:bCs/>
                <w:noProof/>
                <w:color w:val="000000"/>
                <w:sz w:val="22"/>
                <w:szCs w:val="22"/>
              </w:rPr>
              <w:cr/>
            </w:r>
            <w:r>
              <w:rPr>
                <w:b/>
                <w:bCs/>
                <w:noProof/>
                <w:color w:val="000000"/>
                <w:sz w:val="22"/>
                <w:szCs w:val="22"/>
              </w:rPr>
              <w:br/>
              <w:t>avizelor</w:t>
            </w:r>
            <w:r>
              <w:rPr>
                <w:b/>
                <w:bCs/>
                <w:noProof/>
                <w:color w:val="000000"/>
                <w:sz w:val="22"/>
                <w:szCs w:val="22"/>
              </w:rPr>
              <w:cr/>
            </w:r>
            <w:r>
              <w:rPr>
                <w:b/>
                <w:bCs/>
                <w:noProof/>
                <w:color w:val="000000"/>
                <w:sz w:val="22"/>
                <w:szCs w:val="22"/>
              </w:rPr>
              <w:br/>
              <w:t>motivate</w:t>
            </w:r>
            <w:r>
              <w:rPr>
                <w:b/>
                <w:bCs/>
                <w:noProof/>
                <w:color w:val="000000"/>
                <w:sz w:val="22"/>
                <w:szCs w:val="22"/>
              </w:rPr>
              <w:cr/>
            </w:r>
            <w:r>
              <w:rPr>
                <w:b/>
                <w:bCs/>
                <w:noProof/>
                <w:color w:val="000000"/>
                <w:sz w:val="22"/>
                <w:szCs w:val="22"/>
              </w:rPr>
              <w:br/>
              <w:t>(Protocolul nr.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COM(2018) 703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Comunicare către Parlamentul European, Consiliul European, Consiliu, Comitetul Economic și Social European și Comitetul Regiunilor „Principiile subsidiarității și proporționalității: consolidarea rolului lor în elaborarea politicilor UE”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22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Document de reflecție „Către o Europă durabilă până în 2030”</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5</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800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Comunicare către Parlamentul European, Consiliu, Comitetul Economic și Social European și Comitetul Regiunilor „Programul de lucru al Comisiei pentru 2019 - Îndeplinirea promisiunilor făcute și pregătirea pentru viitor”</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Comunicare către Parlamentul European, Consiliul European și Consiliu „Către un proces decizional mai eficient și mai democratic în domeniul politicii fiscale a UE”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COM(2019) 163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Comunicare către Parlamentul European, Consiliul European și Consiliu „Consolidarea în continuare a statului de drept în cadrul Uniunii - Situația actuală și posibile etape ulterioare”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bl>
    <w:p>
      <w:pPr>
        <w:rPr>
          <w:b/>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Inclusiv avizele transmise în cadrul „dialogului politic” și avizele motivate primite de la parlamentele naționale.</w:t>
      </w:r>
    </w:p>
  </w:footnote>
  <w:footnote w:id="2">
    <w:p>
      <w:pPr>
        <w:pStyle w:val="FootnoteText"/>
        <w:ind w:left="284" w:hanging="284"/>
      </w:pPr>
      <w:r>
        <w:rPr>
          <w:rStyle w:val="FootnoteReference"/>
        </w:rPr>
        <w:footnoteRef/>
      </w:r>
      <w:r>
        <w:t xml:space="preserve"> </w:t>
      </w:r>
      <w:r>
        <w:tab/>
        <w:t>Toate cele opt avize au fost avize comune ale celor două camere.</w:t>
      </w:r>
    </w:p>
  </w:footnote>
  <w:footnote w:id="3">
    <w:p>
      <w:pPr>
        <w:pStyle w:val="FootnoteText"/>
        <w:ind w:left="284" w:hanging="284"/>
      </w:pPr>
      <w:r>
        <w:rPr>
          <w:rStyle w:val="FootnoteReference"/>
        </w:rPr>
        <w:footnoteRef/>
      </w:r>
      <w:r>
        <w:t xml:space="preserve"> </w:t>
      </w:r>
      <w:r>
        <w:tab/>
        <w:t xml:space="preserve">Pentru aceste avize, nu s-a așteptat niciun răspuns din partea Comisiei. </w:t>
      </w:r>
    </w:p>
  </w:footnote>
  <w:footnote w:id="4">
    <w:p>
      <w:pPr>
        <w:pStyle w:val="FootnoteText"/>
        <w:tabs>
          <w:tab w:val="left" w:pos="284"/>
        </w:tabs>
        <w:ind w:left="284" w:hanging="284"/>
      </w:pPr>
      <w:r>
        <w:rPr>
          <w:rStyle w:val="FootnoteReference"/>
        </w:rPr>
        <w:footnoteRef/>
      </w:r>
      <w:r>
        <w:t xml:space="preserve"> </w:t>
      </w:r>
      <w:r>
        <w:tab/>
        <w:t xml:space="preserve">Tabelul prezintă toate documentele Comisiei pentru care s-au primit cel puțin </w:t>
      </w:r>
      <w:r>
        <w:rPr>
          <w:u w:val="single"/>
        </w:rPr>
        <w:t>patru</w:t>
      </w:r>
      <w:r>
        <w:t xml:space="preserve"> avize. În unele cazuri, avizul se referea și la alte documente ale Comisiei. Trebuie observat că, în 2019, nicio propunere legislativă nu a atins acest prag de patru avize.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2"/>
    <w:docVar w:name="LW_ANNEX_UNIQUE" w:val="0"/>
    <w:docVar w:name="LW_CORRIGENDUM" w:val="&lt;UNUSED&gt;"/>
    <w:docVar w:name="LW_COVERPAGE_EXISTS" w:val="True"/>
    <w:docVar w:name="LW_COVERPAGE_GUID" w:val="0C2CCCB4-B1F8-4DE0-AC5C-CB57E1FFB8CC"/>
    <w:docVar w:name="LW_COVERPAGE_TYPE" w:val="1"/>
    <w:docVar w:name="LW_CROSSREFERENCE" w:val="&lt;UNUSED&gt;"/>
    <w:docVar w:name="LW_DocType" w:val="REP"/>
    <w:docVar w:name="LW_EMISSION" w:val="30.6.2020"/>
    <w:docVar w:name="LW_EMISSION_ISODATE" w:val="2020-06-30"/>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lt;FMT:Bold&gt;RAPORTUL ANUAL PE 2019&lt;/FMT&gt;&lt;FMT:Font=Calibri&gt; &lt;/FMT&gt;_x000b_&lt;FMT:Bold&gt;PRIVIND APLICAREA PRINCIPIILOR SUBSIDIARIT\u258?\u538?II \u536?I PROPOR\u538?IONALIT\u258?\u538?II \u536?I RELA\u538?IILE CU PARLAMENTELE NA\u538?IONALE&lt;/FMT&gt;_x000b_"/>
    <w:docVar w:name="LW_PART_NBR" w:val="&lt;UNUSED&gt;"/>
    <w:docVar w:name="LW_PART_NBR_TOTAL" w:val="&lt;UNUSED&gt;"/>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E_x000b_"/>
    <w:docVar w:name="LW_TYPEACTEPRINCIPAL.CP" w:val="RAPORTUL COMISIEI"/>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ProductCustomizationId/>
  <Created>
    <Version>4.6</Version>
    <Date>2018-08-29T12:28:07</Date>
    <Language>EN</Language>
  </Created>
  <Edited>
    <Version>10.0.40183.0</Version>
    <Date>2020-06-19T16:06:28</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85D78C-AD8C-44D8-9F36-C303026A0844}">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0D61C8E-61D8-48E1-A8A1-D7C9F052D3FF}">
  <ds:schemaRefs/>
</ds:datastoreItem>
</file>

<file path=customXml/itemProps4.xml><?xml version="1.0" encoding="utf-8"?>
<ds:datastoreItem xmlns:ds="http://schemas.openxmlformats.org/officeDocument/2006/customXml" ds:itemID="{4E64E496-B9D1-47C1-AA20-298BB799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454</Words>
  <Characters>2411</Characters>
  <Application>Microsoft Office Word</Application>
  <DocSecurity>0</DocSecurity>
  <PresentationFormat>Microsoft Word 14.0</PresentationFormat>
  <Lines>267</Lines>
  <Paragraphs>238</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XXXXXXX</dc:creator>
  <cp:keywords>EL4</cp:keywords>
  <cp:lastModifiedBy>DIGIT/C6</cp:lastModifiedBy>
  <cp:revision>11</cp:revision>
  <cp:lastPrinted>2020-02-19T06:37:00Z</cp:lastPrinted>
  <dcterms:created xsi:type="dcterms:W3CDTF">2020-02-28T10:53:00Z</dcterms:created>
  <dcterms:modified xsi:type="dcterms:W3CDTF">2020-06-25T19:38:00Z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7.0.1, Build 20190916</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DocStatus">
    <vt:lpwstr>Green</vt:lpwstr>
  </property>
  <property fmtid="{D5CDD505-2E9C-101B-9397-08002B2CF9AE}" pid="12" name="CPTemplateID">
    <vt:lpwstr>CP-039</vt:lpwstr>
  </property>
  <property fmtid="{D5CDD505-2E9C-101B-9397-08002B2CF9AE}" pid="13" name="_LW_INVALIDATED__LW_INVALIDATED__LW_INVALIDATED__LW_INVALIDATED_TemplateVersion">
    <vt:lpwstr>4.6.5.0000</vt:lpwstr>
  </property>
  <property fmtid="{D5CDD505-2E9C-101B-9397-08002B2CF9AE}" pid="14" name="_LW_INVALIDATED__LW_INVALIDATED__LW_INVALIDATED__LW_INVALIDATED_EurolookVersion">
    <vt:lpwstr>4.6</vt:lpwstr>
  </property>
  <property fmtid="{D5CDD505-2E9C-101B-9397-08002B2CF9AE}" pid="15" name="_LW_INVALIDATED__LW_INVALIDATED__LW_INVALIDATED__LW_INVALIDATED_DocID_EU">
    <vt:lpwstr> </vt:lpwstr>
  </property>
  <property fmtid="{D5CDD505-2E9C-101B-9397-08002B2CF9AE}" pid="16" name="_LW_INVALIDATED__LW_INVALIDATED__LW_INVALIDATED__LW_INVALIDATED_ELDocType">
    <vt:lpwstr>rep.dot</vt:lpwstr>
  </property>
  <property fmtid="{D5CDD505-2E9C-101B-9397-08002B2CF9AE}" pid="17" name="_LW_INVALIDATED__LW_INVALIDATED__LW_INVALIDATED__LW_INVALIDATED_Formatting">
    <vt:lpwstr>4.1</vt:lpwstr>
  </property>
  <property fmtid="{D5CDD505-2E9C-101B-9397-08002B2CF9AE}" pid="18" name="_LW_INVALIDATED__LW_INVALIDATED__LW_INVALIDATED__LW_INVALIDATED_EL_Author">
    <vt:lpwstr>Christine Therace</vt:lpwstr>
  </property>
  <property fmtid="{D5CDD505-2E9C-101B-9397-08002B2CF9AE}" pid="19" name="_LW_INVALIDATED__LW_INVALIDATED__LW_INVALIDATED__LW_INVALIDATED_Type">
    <vt:lpwstr>Eurolook Report</vt:lpwstr>
  </property>
  <property fmtid="{D5CDD505-2E9C-101B-9397-08002B2CF9AE}" pid="20" name="_LW_INVALIDATED__LW_INVALIDATED__LW_INVALIDATED__LW_INVALIDATED_EL_Language">
    <vt:lpwstr>EN</vt:lpwstr>
  </property>
</Properties>
</file>