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F02E9AF5-2417-44DF-8C30-6C6D33BDD03F" style="width:450.75pt;height:434.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BILAG 1</w:t>
      </w:r>
    </w:p>
    <w:p>
      <w:pPr>
        <w:spacing w:after="240"/>
        <w:jc w:val="center"/>
        <w:rPr>
          <w:b/>
          <w:noProof/>
        </w:rPr>
      </w:pPr>
      <w:r>
        <w:rPr>
          <w:b/>
          <w:noProof/>
        </w:rPr>
        <w:t>Antal udtalelser til Kommissionen i 2019 pr. nationalt parlament/kammer (politisk dialog og proceduren for kontrol med overholdelsen af nærhedsprincippet)</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0"/>
              </w:rPr>
            </w:pPr>
            <w:r>
              <w:rPr>
                <w:b/>
                <w:bCs/>
                <w:noProof/>
                <w:sz w:val="20"/>
              </w:rPr>
              <w:t>Medlemsstat</w:t>
            </w:r>
          </w:p>
        </w:tc>
        <w:tc>
          <w:tcPr>
            <w:tcW w:w="3609" w:type="dxa"/>
            <w:shd w:val="clear" w:color="auto" w:fill="auto"/>
            <w:vAlign w:val="center"/>
          </w:tcPr>
          <w:p>
            <w:pPr>
              <w:spacing w:before="60" w:after="60"/>
              <w:jc w:val="center"/>
              <w:rPr>
                <w:b/>
                <w:bCs/>
                <w:noProof/>
                <w:color w:val="000000"/>
                <w:sz w:val="20"/>
              </w:rPr>
            </w:pPr>
            <w:r>
              <w:rPr>
                <w:b/>
                <w:bCs/>
                <w:noProof/>
                <w:sz w:val="20"/>
              </w:rPr>
              <w:t>Kammer</w:t>
            </w:r>
          </w:p>
        </w:tc>
        <w:tc>
          <w:tcPr>
            <w:tcW w:w="1660" w:type="dxa"/>
            <w:shd w:val="clear" w:color="auto" w:fill="auto"/>
            <w:vAlign w:val="center"/>
          </w:tcPr>
          <w:p>
            <w:pPr>
              <w:spacing w:before="60" w:after="60"/>
              <w:jc w:val="center"/>
              <w:rPr>
                <w:b/>
                <w:bCs/>
                <w:noProof/>
                <w:color w:val="000000"/>
                <w:sz w:val="20"/>
              </w:rPr>
            </w:pPr>
            <w:r>
              <w:rPr>
                <w:b/>
                <w:bCs/>
                <w:noProof/>
                <w:sz w:val="20"/>
              </w:rPr>
              <w:t>Samlet</w:t>
            </w:r>
            <w:r>
              <w:rPr>
                <w:b/>
                <w:bCs/>
                <w:noProof/>
                <w:sz w:val="20"/>
              </w:rPr>
              <w:br/>
              <w:t>antal</w:t>
            </w:r>
            <w:r>
              <w:rPr>
                <w:b/>
                <w:bCs/>
                <w:noProof/>
                <w:sz w:val="20"/>
              </w:rPr>
              <w:br/>
              <w:t>udtalelser</w:t>
            </w:r>
            <w:r>
              <w:rPr>
                <w:rStyle w:val="FootnoteReference"/>
                <w:noProof/>
                <w:sz w:val="20"/>
              </w:rPr>
              <w:footnoteReference w:id="1"/>
            </w:r>
          </w:p>
        </w:tc>
        <w:tc>
          <w:tcPr>
            <w:tcW w:w="2364" w:type="dxa"/>
            <w:shd w:val="clear" w:color="auto" w:fill="auto"/>
            <w:vAlign w:val="center"/>
          </w:tcPr>
          <w:p>
            <w:pPr>
              <w:spacing w:before="60" w:after="60"/>
              <w:jc w:val="center"/>
              <w:rPr>
                <w:b/>
                <w:bCs/>
                <w:noProof/>
                <w:color w:val="000000"/>
                <w:sz w:val="20"/>
              </w:rPr>
            </w:pPr>
            <w:r>
              <w:rPr>
                <w:b/>
                <w:bCs/>
                <w:noProof/>
                <w:sz w:val="20"/>
              </w:rPr>
              <w:t>Antal</w:t>
            </w:r>
            <w:r>
              <w:rPr>
                <w:b/>
                <w:bCs/>
                <w:noProof/>
                <w:sz w:val="20"/>
              </w:rPr>
              <w:br/>
              <w:t>begrundede</w:t>
            </w:r>
            <w:r>
              <w:rPr>
                <w:b/>
                <w:bCs/>
                <w:noProof/>
                <w:sz w:val="20"/>
              </w:rPr>
              <w:br/>
              <w:t>udtalelser</w:t>
            </w:r>
            <w:r>
              <w:rPr>
                <w:b/>
                <w:bCs/>
                <w:noProof/>
                <w:sz w:val="20"/>
              </w:rPr>
              <w:br/>
            </w:r>
            <w:r>
              <w:rPr>
                <w:b/>
                <w:noProof/>
                <w:sz w:val="20"/>
              </w:rPr>
              <w:t>(protokol nr. 2)</w:t>
            </w:r>
          </w:p>
        </w:tc>
      </w:tr>
      <w:tr>
        <w:trPr>
          <w:cantSplit/>
        </w:trPr>
        <w:tc>
          <w:tcPr>
            <w:tcW w:w="1909" w:type="dxa"/>
            <w:shd w:val="clear" w:color="auto" w:fill="auto"/>
            <w:vAlign w:val="center"/>
          </w:tcPr>
          <w:p>
            <w:pPr>
              <w:jc w:val="center"/>
              <w:rPr>
                <w:noProof/>
                <w:color w:val="000000"/>
                <w:sz w:val="20"/>
              </w:rPr>
            </w:pPr>
            <w:r>
              <w:rPr>
                <w:noProof/>
                <w:sz w:val="20"/>
              </w:rPr>
              <w:t>Tjekkiet</w:t>
            </w:r>
          </w:p>
        </w:tc>
        <w:tc>
          <w:tcPr>
            <w:tcW w:w="3609" w:type="dxa"/>
            <w:shd w:val="clear" w:color="auto" w:fill="auto"/>
            <w:vAlign w:val="center"/>
          </w:tcPr>
          <w:p>
            <w:pPr>
              <w:jc w:val="center"/>
              <w:rPr>
                <w:i/>
                <w:iCs/>
                <w:noProof/>
                <w:color w:val="000000"/>
                <w:sz w:val="20"/>
              </w:rPr>
            </w:pPr>
            <w:r>
              <w:rPr>
                <w:i/>
                <w:iCs/>
                <w:noProof/>
                <w:sz w:val="20"/>
              </w:rPr>
              <w:t>Senát</w:t>
            </w:r>
          </w:p>
        </w:tc>
        <w:tc>
          <w:tcPr>
            <w:tcW w:w="1660" w:type="dxa"/>
            <w:shd w:val="clear" w:color="auto" w:fill="auto"/>
            <w:vAlign w:val="center"/>
          </w:tcPr>
          <w:p>
            <w:pPr>
              <w:jc w:val="center"/>
              <w:rPr>
                <w:noProof/>
                <w:color w:val="000000"/>
                <w:sz w:val="20"/>
              </w:rPr>
            </w:pPr>
            <w:r>
              <w:rPr>
                <w:noProof/>
                <w:sz w:val="20"/>
              </w:rPr>
              <w:t>21</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Rumænien</w:t>
            </w:r>
          </w:p>
        </w:tc>
        <w:tc>
          <w:tcPr>
            <w:tcW w:w="3609" w:type="dxa"/>
            <w:shd w:val="clear" w:color="auto" w:fill="auto"/>
            <w:vAlign w:val="center"/>
          </w:tcPr>
          <w:p>
            <w:pPr>
              <w:jc w:val="center"/>
              <w:rPr>
                <w:i/>
                <w:iCs/>
                <w:noProof/>
                <w:color w:val="000000"/>
                <w:sz w:val="20"/>
              </w:rPr>
            </w:pPr>
            <w:r>
              <w:rPr>
                <w:i/>
                <w:iCs/>
                <w:noProof/>
                <w:sz w:val="20"/>
              </w:rPr>
              <w:t>Camera Deputaților</w:t>
            </w:r>
          </w:p>
        </w:tc>
        <w:tc>
          <w:tcPr>
            <w:tcW w:w="1660" w:type="dxa"/>
            <w:shd w:val="clear" w:color="auto" w:fill="auto"/>
            <w:vAlign w:val="center"/>
          </w:tcPr>
          <w:p>
            <w:pPr>
              <w:jc w:val="center"/>
              <w:rPr>
                <w:noProof/>
                <w:color w:val="000000"/>
                <w:sz w:val="20"/>
              </w:rPr>
            </w:pPr>
            <w:r>
              <w:rPr>
                <w:noProof/>
                <w:sz w:val="20"/>
              </w:rPr>
              <w:t>15</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Portugal</w:t>
            </w:r>
          </w:p>
        </w:tc>
        <w:tc>
          <w:tcPr>
            <w:tcW w:w="3609" w:type="dxa"/>
            <w:shd w:val="clear" w:color="auto" w:fill="auto"/>
            <w:vAlign w:val="center"/>
          </w:tcPr>
          <w:p>
            <w:pPr>
              <w:jc w:val="center"/>
              <w:rPr>
                <w:i/>
                <w:iCs/>
                <w:noProof/>
                <w:color w:val="000000"/>
                <w:sz w:val="20"/>
              </w:rPr>
            </w:pPr>
            <w:r>
              <w:rPr>
                <w:i/>
                <w:iCs/>
                <w:noProof/>
                <w:sz w:val="20"/>
              </w:rPr>
              <w:t>Assembleia da República</w:t>
            </w:r>
          </w:p>
        </w:tc>
        <w:tc>
          <w:tcPr>
            <w:tcW w:w="1660" w:type="dxa"/>
            <w:shd w:val="clear" w:color="auto" w:fill="auto"/>
            <w:vAlign w:val="center"/>
          </w:tcPr>
          <w:p>
            <w:pPr>
              <w:jc w:val="center"/>
              <w:rPr>
                <w:noProof/>
                <w:color w:val="000000"/>
                <w:sz w:val="20"/>
              </w:rPr>
            </w:pPr>
            <w:r>
              <w:rPr>
                <w:noProof/>
                <w:sz w:val="20"/>
              </w:rPr>
              <w:t>14</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Tjekkiet</w:t>
            </w:r>
          </w:p>
        </w:tc>
        <w:tc>
          <w:tcPr>
            <w:tcW w:w="3609" w:type="dxa"/>
            <w:shd w:val="clear" w:color="auto" w:fill="auto"/>
            <w:vAlign w:val="center"/>
          </w:tcPr>
          <w:p>
            <w:pPr>
              <w:jc w:val="center"/>
              <w:rPr>
                <w:i/>
                <w:iCs/>
                <w:noProof/>
                <w:color w:val="000000"/>
                <w:sz w:val="20"/>
              </w:rPr>
            </w:pPr>
            <w:r>
              <w:rPr>
                <w:i/>
                <w:iCs/>
                <w:noProof/>
                <w:sz w:val="20"/>
              </w:rPr>
              <w:t>Poslanecká sněmovna</w:t>
            </w:r>
          </w:p>
        </w:tc>
        <w:tc>
          <w:tcPr>
            <w:tcW w:w="1660" w:type="dxa"/>
            <w:shd w:val="clear" w:color="auto" w:fill="auto"/>
            <w:vAlign w:val="center"/>
          </w:tcPr>
          <w:p>
            <w:pPr>
              <w:jc w:val="center"/>
              <w:rPr>
                <w:noProof/>
                <w:color w:val="000000"/>
                <w:sz w:val="20"/>
              </w:rPr>
            </w:pPr>
            <w:r>
              <w:rPr>
                <w:noProof/>
                <w:sz w:val="20"/>
              </w:rPr>
              <w:t>13</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Frankrig</w:t>
            </w:r>
          </w:p>
        </w:tc>
        <w:tc>
          <w:tcPr>
            <w:tcW w:w="3609" w:type="dxa"/>
            <w:shd w:val="clear" w:color="auto" w:fill="auto"/>
            <w:vAlign w:val="center"/>
          </w:tcPr>
          <w:p>
            <w:pPr>
              <w:jc w:val="center"/>
              <w:rPr>
                <w:i/>
                <w:iCs/>
                <w:noProof/>
                <w:color w:val="000000"/>
                <w:sz w:val="20"/>
              </w:rPr>
            </w:pPr>
            <w:r>
              <w:rPr>
                <w:i/>
                <w:iCs/>
                <w:noProof/>
                <w:sz w:val="20"/>
              </w:rPr>
              <w:t>Sénat</w:t>
            </w:r>
          </w:p>
        </w:tc>
        <w:tc>
          <w:tcPr>
            <w:tcW w:w="1660" w:type="dxa"/>
            <w:shd w:val="clear" w:color="auto" w:fill="auto"/>
            <w:vAlign w:val="center"/>
          </w:tcPr>
          <w:p>
            <w:pPr>
              <w:jc w:val="center"/>
              <w:rPr>
                <w:noProof/>
                <w:color w:val="000000"/>
                <w:sz w:val="20"/>
              </w:rPr>
            </w:pPr>
            <w:r>
              <w:rPr>
                <w:noProof/>
                <w:sz w:val="20"/>
              </w:rPr>
              <w:t>12</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Tyskland</w:t>
            </w:r>
          </w:p>
        </w:tc>
        <w:tc>
          <w:tcPr>
            <w:tcW w:w="3609" w:type="dxa"/>
            <w:shd w:val="clear" w:color="auto" w:fill="auto"/>
            <w:vAlign w:val="center"/>
          </w:tcPr>
          <w:p>
            <w:pPr>
              <w:jc w:val="center"/>
              <w:rPr>
                <w:i/>
                <w:iCs/>
                <w:noProof/>
                <w:color w:val="000000"/>
                <w:sz w:val="20"/>
              </w:rPr>
            </w:pPr>
            <w:r>
              <w:rPr>
                <w:i/>
                <w:iCs/>
                <w:noProof/>
                <w:sz w:val="20"/>
              </w:rPr>
              <w:t>Bundesrat</w:t>
            </w:r>
          </w:p>
        </w:tc>
        <w:tc>
          <w:tcPr>
            <w:tcW w:w="1660" w:type="dxa"/>
            <w:shd w:val="clear" w:color="auto" w:fill="auto"/>
            <w:vAlign w:val="center"/>
          </w:tcPr>
          <w:p>
            <w:pPr>
              <w:jc w:val="center"/>
              <w:rPr>
                <w:noProof/>
                <w:color w:val="000000"/>
                <w:sz w:val="20"/>
              </w:rPr>
            </w:pPr>
            <w:r>
              <w:rPr>
                <w:noProof/>
                <w:sz w:val="20"/>
              </w:rPr>
              <w:t>11</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Spanien</w:t>
            </w:r>
          </w:p>
        </w:tc>
        <w:tc>
          <w:tcPr>
            <w:tcW w:w="3609" w:type="dxa"/>
            <w:shd w:val="clear" w:color="auto" w:fill="auto"/>
            <w:vAlign w:val="center"/>
          </w:tcPr>
          <w:p>
            <w:pPr>
              <w:jc w:val="center"/>
              <w:rPr>
                <w:noProof/>
                <w:color w:val="000000"/>
                <w:sz w:val="20"/>
              </w:rPr>
            </w:pPr>
            <w:r>
              <w:rPr>
                <w:i/>
                <w:iCs/>
                <w:noProof/>
                <w:sz w:val="20"/>
              </w:rPr>
              <w:t>Las Cortes Generales:</w:t>
            </w:r>
            <w:r>
              <w:rPr>
                <w:noProof/>
                <w:sz w:val="20"/>
              </w:rPr>
              <w:br/>
            </w:r>
            <w:r>
              <w:rPr>
                <w:i/>
                <w:iCs/>
                <w:noProof/>
                <w:sz w:val="20"/>
              </w:rPr>
              <w:t>Senado de España</w:t>
            </w:r>
            <w:r>
              <w:rPr>
                <w:noProof/>
                <w:sz w:val="20"/>
              </w:rPr>
              <w:t xml:space="preserve"> og</w:t>
            </w:r>
            <w:r>
              <w:rPr>
                <w:noProof/>
                <w:sz w:val="20"/>
              </w:rPr>
              <w:br/>
            </w:r>
            <w:r>
              <w:rPr>
                <w:i/>
                <w:iCs/>
                <w:noProof/>
                <w:sz w:val="20"/>
              </w:rPr>
              <w:t>Congreso de los Diputados</w:t>
            </w:r>
          </w:p>
        </w:tc>
        <w:tc>
          <w:tcPr>
            <w:tcW w:w="1660" w:type="dxa"/>
            <w:shd w:val="clear" w:color="auto" w:fill="auto"/>
            <w:vAlign w:val="center"/>
          </w:tcPr>
          <w:p>
            <w:pPr>
              <w:jc w:val="center"/>
              <w:rPr>
                <w:noProof/>
                <w:color w:val="000000"/>
                <w:sz w:val="20"/>
              </w:rPr>
            </w:pPr>
            <w:r>
              <w:rPr>
                <w:noProof/>
                <w:sz w:val="20"/>
              </w:rPr>
              <w:t>8</w:t>
            </w:r>
            <w:r>
              <w:rPr>
                <w:rStyle w:val="FootnoteReference"/>
                <w:noProof/>
                <w:sz w:val="20"/>
              </w:rPr>
              <w:footnoteReference w:id="2"/>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Det Forenede Kongerige</w:t>
            </w:r>
          </w:p>
        </w:tc>
        <w:tc>
          <w:tcPr>
            <w:tcW w:w="3609" w:type="dxa"/>
            <w:shd w:val="clear" w:color="auto" w:fill="auto"/>
            <w:vAlign w:val="center"/>
          </w:tcPr>
          <w:p>
            <w:pPr>
              <w:jc w:val="center"/>
              <w:rPr>
                <w:iCs/>
                <w:noProof/>
                <w:color w:val="000000"/>
                <w:sz w:val="20"/>
              </w:rPr>
            </w:pPr>
            <w:r>
              <w:rPr>
                <w:i/>
                <w:iCs/>
                <w:noProof/>
                <w:sz w:val="20"/>
              </w:rPr>
              <w:t>House of Lords</w:t>
            </w:r>
          </w:p>
        </w:tc>
        <w:tc>
          <w:tcPr>
            <w:tcW w:w="1660" w:type="dxa"/>
            <w:shd w:val="clear" w:color="auto" w:fill="auto"/>
            <w:vAlign w:val="center"/>
          </w:tcPr>
          <w:p>
            <w:pPr>
              <w:jc w:val="center"/>
              <w:rPr>
                <w:noProof/>
                <w:color w:val="000000"/>
                <w:sz w:val="20"/>
              </w:rPr>
            </w:pPr>
            <w:r>
              <w:rPr>
                <w:noProof/>
                <w:sz w:val="20"/>
              </w:rPr>
              <w:t>8</w:t>
            </w:r>
            <w:r>
              <w:rPr>
                <w:rStyle w:val="FootnoteReference"/>
                <w:noProof/>
                <w:sz w:val="20"/>
              </w:rPr>
              <w:footnoteReference w:id="3"/>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Italien</w:t>
            </w:r>
          </w:p>
        </w:tc>
        <w:tc>
          <w:tcPr>
            <w:tcW w:w="3609" w:type="dxa"/>
            <w:shd w:val="clear" w:color="auto" w:fill="auto"/>
            <w:vAlign w:val="center"/>
          </w:tcPr>
          <w:p>
            <w:pPr>
              <w:jc w:val="center"/>
              <w:rPr>
                <w:i/>
                <w:iCs/>
                <w:noProof/>
                <w:color w:val="000000"/>
                <w:sz w:val="20"/>
              </w:rPr>
            </w:pPr>
            <w:r>
              <w:rPr>
                <w:i/>
                <w:iCs/>
                <w:noProof/>
                <w:sz w:val="20"/>
              </w:rPr>
              <w:t>Senato della Repubblica</w:t>
            </w:r>
          </w:p>
        </w:tc>
        <w:tc>
          <w:tcPr>
            <w:tcW w:w="1660" w:type="dxa"/>
            <w:shd w:val="clear" w:color="auto" w:fill="auto"/>
            <w:vAlign w:val="center"/>
          </w:tcPr>
          <w:p>
            <w:pPr>
              <w:jc w:val="center"/>
              <w:rPr>
                <w:noProof/>
                <w:color w:val="000000"/>
                <w:sz w:val="20"/>
              </w:rPr>
            </w:pPr>
            <w:r>
              <w:rPr>
                <w:noProof/>
                <w:sz w:val="20"/>
              </w:rPr>
              <w:t>7</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Rumænien</w:t>
            </w:r>
          </w:p>
        </w:tc>
        <w:tc>
          <w:tcPr>
            <w:tcW w:w="3609" w:type="dxa"/>
            <w:shd w:val="clear" w:color="auto" w:fill="auto"/>
            <w:vAlign w:val="center"/>
          </w:tcPr>
          <w:p>
            <w:pPr>
              <w:jc w:val="center"/>
              <w:rPr>
                <w:i/>
                <w:iCs/>
                <w:noProof/>
                <w:color w:val="000000"/>
                <w:sz w:val="20"/>
              </w:rPr>
            </w:pPr>
            <w:r>
              <w:rPr>
                <w:i/>
                <w:iCs/>
                <w:noProof/>
                <w:sz w:val="20"/>
              </w:rPr>
              <w:t>Senatul</w:t>
            </w:r>
          </w:p>
        </w:tc>
        <w:tc>
          <w:tcPr>
            <w:tcW w:w="1660" w:type="dxa"/>
            <w:shd w:val="clear" w:color="auto" w:fill="auto"/>
            <w:vAlign w:val="center"/>
          </w:tcPr>
          <w:p>
            <w:pPr>
              <w:jc w:val="center"/>
              <w:rPr>
                <w:noProof/>
                <w:color w:val="000000"/>
                <w:sz w:val="20"/>
              </w:rPr>
            </w:pPr>
            <w:r>
              <w:rPr>
                <w:noProof/>
                <w:sz w:val="20"/>
              </w:rPr>
              <w:t>7</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Sverige</w:t>
            </w:r>
          </w:p>
        </w:tc>
        <w:tc>
          <w:tcPr>
            <w:tcW w:w="3609" w:type="dxa"/>
            <w:shd w:val="clear" w:color="auto" w:fill="auto"/>
            <w:vAlign w:val="center"/>
          </w:tcPr>
          <w:p>
            <w:pPr>
              <w:jc w:val="center"/>
              <w:rPr>
                <w:noProof/>
                <w:color w:val="000000"/>
                <w:sz w:val="20"/>
              </w:rPr>
            </w:pPr>
            <w:r>
              <w:rPr>
                <w:i/>
                <w:iCs/>
                <w:noProof/>
                <w:sz w:val="20"/>
              </w:rPr>
              <w:t>Riksdag</w:t>
            </w:r>
          </w:p>
        </w:tc>
        <w:tc>
          <w:tcPr>
            <w:tcW w:w="1660" w:type="dxa"/>
            <w:shd w:val="clear" w:color="auto" w:fill="auto"/>
            <w:vAlign w:val="center"/>
          </w:tcPr>
          <w:p>
            <w:pPr>
              <w:jc w:val="center"/>
              <w:rPr>
                <w:noProof/>
                <w:color w:val="000000"/>
                <w:sz w:val="20"/>
              </w:rPr>
            </w:pPr>
            <w:r>
              <w:rPr>
                <w:noProof/>
                <w:sz w:val="20"/>
              </w:rPr>
              <w:t>7</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Frankrig</w:t>
            </w:r>
          </w:p>
        </w:tc>
        <w:tc>
          <w:tcPr>
            <w:tcW w:w="3609" w:type="dxa"/>
            <w:shd w:val="clear" w:color="auto" w:fill="auto"/>
            <w:vAlign w:val="center"/>
          </w:tcPr>
          <w:p>
            <w:pPr>
              <w:jc w:val="center"/>
              <w:rPr>
                <w:i/>
                <w:iCs/>
                <w:noProof/>
                <w:color w:val="000000"/>
                <w:sz w:val="20"/>
              </w:rPr>
            </w:pPr>
            <w:r>
              <w:rPr>
                <w:i/>
                <w:iCs/>
                <w:noProof/>
                <w:sz w:val="20"/>
              </w:rPr>
              <w:t>Assemblée nationale</w:t>
            </w:r>
          </w:p>
        </w:tc>
        <w:tc>
          <w:tcPr>
            <w:tcW w:w="1660" w:type="dxa"/>
            <w:shd w:val="clear" w:color="auto" w:fill="auto"/>
            <w:vAlign w:val="center"/>
          </w:tcPr>
          <w:p>
            <w:pPr>
              <w:jc w:val="center"/>
              <w:rPr>
                <w:noProof/>
                <w:color w:val="000000"/>
                <w:sz w:val="20"/>
              </w:rPr>
            </w:pPr>
            <w:r>
              <w:rPr>
                <w:noProof/>
                <w:sz w:val="20"/>
              </w:rPr>
              <w:t>6</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Nederlandene</w:t>
            </w:r>
          </w:p>
        </w:tc>
        <w:tc>
          <w:tcPr>
            <w:tcW w:w="3609" w:type="dxa"/>
            <w:shd w:val="clear" w:color="auto" w:fill="auto"/>
            <w:vAlign w:val="center"/>
          </w:tcPr>
          <w:p>
            <w:pPr>
              <w:jc w:val="center"/>
              <w:rPr>
                <w:i/>
                <w:iCs/>
                <w:noProof/>
                <w:color w:val="000000"/>
                <w:sz w:val="20"/>
              </w:rPr>
            </w:pPr>
            <w:r>
              <w:rPr>
                <w:i/>
                <w:iCs/>
                <w:noProof/>
                <w:sz w:val="20"/>
              </w:rPr>
              <w:t>Eerste Kamer</w:t>
            </w:r>
          </w:p>
        </w:tc>
        <w:tc>
          <w:tcPr>
            <w:tcW w:w="1660" w:type="dxa"/>
            <w:shd w:val="clear" w:color="auto" w:fill="auto"/>
            <w:vAlign w:val="center"/>
          </w:tcPr>
          <w:p>
            <w:pPr>
              <w:jc w:val="center"/>
              <w:rPr>
                <w:noProof/>
                <w:color w:val="000000"/>
                <w:sz w:val="20"/>
              </w:rPr>
            </w:pPr>
            <w:r>
              <w:rPr>
                <w:noProof/>
                <w:sz w:val="20"/>
              </w:rPr>
              <w:t>6</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Ungarn</w:t>
            </w:r>
          </w:p>
        </w:tc>
        <w:tc>
          <w:tcPr>
            <w:tcW w:w="3609" w:type="dxa"/>
            <w:shd w:val="clear" w:color="auto" w:fill="auto"/>
            <w:vAlign w:val="center"/>
          </w:tcPr>
          <w:p>
            <w:pPr>
              <w:jc w:val="center"/>
              <w:rPr>
                <w:i/>
                <w:iCs/>
                <w:noProof/>
                <w:color w:val="000000"/>
                <w:sz w:val="20"/>
              </w:rPr>
            </w:pPr>
            <w:r>
              <w:rPr>
                <w:i/>
                <w:iCs/>
                <w:noProof/>
                <w:sz w:val="20"/>
              </w:rPr>
              <w:t>Országgyűlés</w:t>
            </w:r>
          </w:p>
        </w:tc>
        <w:tc>
          <w:tcPr>
            <w:tcW w:w="1660" w:type="dxa"/>
            <w:shd w:val="clear" w:color="auto" w:fill="auto"/>
            <w:vAlign w:val="center"/>
          </w:tcPr>
          <w:p>
            <w:pPr>
              <w:jc w:val="center"/>
              <w:rPr>
                <w:noProof/>
                <w:color w:val="000000"/>
                <w:sz w:val="20"/>
              </w:rPr>
            </w:pPr>
            <w:r>
              <w:rPr>
                <w:noProof/>
                <w:sz w:val="20"/>
              </w:rPr>
              <w:t>5</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Italien</w:t>
            </w:r>
          </w:p>
        </w:tc>
        <w:tc>
          <w:tcPr>
            <w:tcW w:w="3609" w:type="dxa"/>
            <w:shd w:val="clear" w:color="auto" w:fill="auto"/>
            <w:vAlign w:val="center"/>
          </w:tcPr>
          <w:p>
            <w:pPr>
              <w:jc w:val="center"/>
              <w:rPr>
                <w:i/>
                <w:iCs/>
                <w:noProof/>
                <w:color w:val="000000"/>
                <w:sz w:val="20"/>
              </w:rPr>
            </w:pPr>
            <w:r>
              <w:rPr>
                <w:i/>
                <w:iCs/>
                <w:noProof/>
                <w:sz w:val="20"/>
              </w:rPr>
              <w:t xml:space="preserve">Camera dei Deputati </w:t>
            </w:r>
          </w:p>
        </w:tc>
        <w:tc>
          <w:tcPr>
            <w:tcW w:w="1660" w:type="dxa"/>
            <w:shd w:val="clear" w:color="auto" w:fill="auto"/>
            <w:vAlign w:val="center"/>
          </w:tcPr>
          <w:p>
            <w:pPr>
              <w:jc w:val="center"/>
              <w:rPr>
                <w:noProof/>
                <w:color w:val="000000"/>
                <w:sz w:val="20"/>
              </w:rPr>
            </w:pPr>
            <w:r>
              <w:rPr>
                <w:noProof/>
                <w:sz w:val="20"/>
              </w:rPr>
              <w:t>4</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Litauen</w:t>
            </w:r>
          </w:p>
        </w:tc>
        <w:tc>
          <w:tcPr>
            <w:tcW w:w="3609" w:type="dxa"/>
            <w:shd w:val="clear" w:color="auto" w:fill="auto"/>
            <w:vAlign w:val="center"/>
          </w:tcPr>
          <w:p>
            <w:pPr>
              <w:jc w:val="center"/>
              <w:rPr>
                <w:i/>
                <w:iCs/>
                <w:noProof/>
                <w:color w:val="000000"/>
                <w:sz w:val="20"/>
              </w:rPr>
            </w:pPr>
            <w:r>
              <w:rPr>
                <w:i/>
                <w:iCs/>
                <w:noProof/>
                <w:sz w:val="20"/>
              </w:rPr>
              <w:t>Seimas</w:t>
            </w:r>
          </w:p>
        </w:tc>
        <w:tc>
          <w:tcPr>
            <w:tcW w:w="1660" w:type="dxa"/>
            <w:shd w:val="clear" w:color="auto" w:fill="auto"/>
            <w:vAlign w:val="center"/>
          </w:tcPr>
          <w:p>
            <w:pPr>
              <w:jc w:val="center"/>
              <w:rPr>
                <w:noProof/>
                <w:color w:val="000000"/>
                <w:sz w:val="20"/>
              </w:rPr>
            </w:pPr>
            <w:r>
              <w:rPr>
                <w:noProof/>
                <w:sz w:val="20"/>
              </w:rPr>
              <w:t>3</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Slovakiet</w:t>
            </w:r>
          </w:p>
        </w:tc>
        <w:tc>
          <w:tcPr>
            <w:tcW w:w="3609" w:type="dxa"/>
            <w:shd w:val="clear" w:color="auto" w:fill="auto"/>
            <w:vAlign w:val="center"/>
          </w:tcPr>
          <w:p>
            <w:pPr>
              <w:jc w:val="center"/>
              <w:rPr>
                <w:i/>
                <w:iCs/>
                <w:noProof/>
                <w:color w:val="000000"/>
                <w:sz w:val="20"/>
              </w:rPr>
            </w:pPr>
            <w:r>
              <w:rPr>
                <w:i/>
                <w:iCs/>
                <w:noProof/>
                <w:sz w:val="20"/>
              </w:rPr>
              <w:t>Národná rada</w:t>
            </w:r>
          </w:p>
        </w:tc>
        <w:tc>
          <w:tcPr>
            <w:tcW w:w="1660" w:type="dxa"/>
            <w:shd w:val="clear" w:color="auto" w:fill="auto"/>
            <w:vAlign w:val="center"/>
          </w:tcPr>
          <w:p>
            <w:pPr>
              <w:jc w:val="center"/>
              <w:rPr>
                <w:noProof/>
                <w:color w:val="000000"/>
                <w:sz w:val="20"/>
              </w:rPr>
            </w:pPr>
            <w:r>
              <w:rPr>
                <w:noProof/>
                <w:sz w:val="20"/>
              </w:rPr>
              <w:t>3</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Malta</w:t>
            </w:r>
          </w:p>
        </w:tc>
        <w:tc>
          <w:tcPr>
            <w:tcW w:w="3609" w:type="dxa"/>
            <w:shd w:val="clear" w:color="auto" w:fill="auto"/>
            <w:vAlign w:val="center"/>
          </w:tcPr>
          <w:p>
            <w:pPr>
              <w:jc w:val="center"/>
              <w:rPr>
                <w:i/>
                <w:iCs/>
                <w:noProof/>
                <w:color w:val="000000"/>
                <w:sz w:val="20"/>
              </w:rPr>
            </w:pPr>
            <w:r>
              <w:rPr>
                <w:i/>
                <w:iCs/>
                <w:noProof/>
                <w:sz w:val="20"/>
              </w:rPr>
              <w:t>Kamra tad-Deputati</w:t>
            </w:r>
          </w:p>
        </w:tc>
        <w:tc>
          <w:tcPr>
            <w:tcW w:w="1660" w:type="dxa"/>
            <w:shd w:val="clear" w:color="auto" w:fill="auto"/>
            <w:vAlign w:val="center"/>
          </w:tcPr>
          <w:p>
            <w:pPr>
              <w:jc w:val="center"/>
              <w:rPr>
                <w:noProof/>
                <w:color w:val="000000"/>
                <w:sz w:val="20"/>
              </w:rPr>
            </w:pPr>
            <w:r>
              <w:rPr>
                <w:noProof/>
                <w:sz w:val="20"/>
              </w:rPr>
              <w:t>2</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Nederlandene</w:t>
            </w:r>
          </w:p>
        </w:tc>
        <w:tc>
          <w:tcPr>
            <w:tcW w:w="3609" w:type="dxa"/>
            <w:shd w:val="clear" w:color="auto" w:fill="auto"/>
            <w:vAlign w:val="center"/>
          </w:tcPr>
          <w:p>
            <w:pPr>
              <w:jc w:val="center"/>
              <w:rPr>
                <w:i/>
                <w:iCs/>
                <w:noProof/>
                <w:color w:val="000000"/>
                <w:sz w:val="20"/>
              </w:rPr>
            </w:pPr>
            <w:r>
              <w:rPr>
                <w:i/>
                <w:iCs/>
                <w:noProof/>
                <w:sz w:val="20"/>
              </w:rPr>
              <w:t>Tweede Kamer</w:t>
            </w:r>
          </w:p>
        </w:tc>
        <w:tc>
          <w:tcPr>
            <w:tcW w:w="1660" w:type="dxa"/>
            <w:shd w:val="clear" w:color="auto" w:fill="auto"/>
            <w:vAlign w:val="center"/>
          </w:tcPr>
          <w:p>
            <w:pPr>
              <w:jc w:val="center"/>
              <w:rPr>
                <w:noProof/>
                <w:color w:val="000000"/>
                <w:sz w:val="20"/>
              </w:rPr>
            </w:pPr>
            <w:r>
              <w:rPr>
                <w:noProof/>
                <w:sz w:val="20"/>
              </w:rPr>
              <w:t>2</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Polen</w:t>
            </w:r>
          </w:p>
        </w:tc>
        <w:tc>
          <w:tcPr>
            <w:tcW w:w="3609" w:type="dxa"/>
            <w:shd w:val="clear" w:color="auto" w:fill="auto"/>
            <w:vAlign w:val="center"/>
          </w:tcPr>
          <w:p>
            <w:pPr>
              <w:jc w:val="center"/>
              <w:rPr>
                <w:i/>
                <w:iCs/>
                <w:noProof/>
                <w:color w:val="000000"/>
                <w:sz w:val="20"/>
              </w:rPr>
            </w:pPr>
            <w:r>
              <w:rPr>
                <w:i/>
                <w:iCs/>
                <w:noProof/>
                <w:sz w:val="20"/>
              </w:rPr>
              <w:t>Sejm Rzeczypospolitej Polskiej</w:t>
            </w:r>
          </w:p>
        </w:tc>
        <w:tc>
          <w:tcPr>
            <w:tcW w:w="1660" w:type="dxa"/>
            <w:shd w:val="clear" w:color="auto" w:fill="auto"/>
            <w:vAlign w:val="center"/>
          </w:tcPr>
          <w:p>
            <w:pPr>
              <w:jc w:val="center"/>
              <w:rPr>
                <w:noProof/>
                <w:color w:val="000000"/>
                <w:sz w:val="20"/>
              </w:rPr>
            </w:pPr>
            <w:r>
              <w:rPr>
                <w:noProof/>
                <w:sz w:val="20"/>
              </w:rPr>
              <w:t>2</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Polen</w:t>
            </w:r>
          </w:p>
        </w:tc>
        <w:tc>
          <w:tcPr>
            <w:tcW w:w="3609" w:type="dxa"/>
            <w:shd w:val="clear" w:color="auto" w:fill="auto"/>
            <w:vAlign w:val="center"/>
          </w:tcPr>
          <w:p>
            <w:pPr>
              <w:jc w:val="center"/>
              <w:rPr>
                <w:i/>
                <w:iCs/>
                <w:noProof/>
                <w:color w:val="000000"/>
                <w:sz w:val="20"/>
              </w:rPr>
            </w:pPr>
            <w:r>
              <w:rPr>
                <w:i/>
                <w:iCs/>
                <w:noProof/>
                <w:sz w:val="20"/>
              </w:rPr>
              <w:t>Senat Rzeczypospolitej Polskiej</w:t>
            </w:r>
          </w:p>
        </w:tc>
        <w:tc>
          <w:tcPr>
            <w:tcW w:w="1660" w:type="dxa"/>
            <w:shd w:val="clear" w:color="auto" w:fill="auto"/>
            <w:vAlign w:val="center"/>
          </w:tcPr>
          <w:p>
            <w:pPr>
              <w:jc w:val="center"/>
              <w:rPr>
                <w:noProof/>
                <w:color w:val="000000"/>
                <w:sz w:val="20"/>
              </w:rPr>
            </w:pPr>
            <w:r>
              <w:rPr>
                <w:noProof/>
                <w:sz w:val="20"/>
              </w:rPr>
              <w:t>2</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Belgien</w:t>
            </w:r>
          </w:p>
        </w:tc>
        <w:tc>
          <w:tcPr>
            <w:tcW w:w="3609" w:type="dxa"/>
            <w:shd w:val="clear" w:color="auto" w:fill="auto"/>
            <w:vAlign w:val="center"/>
          </w:tcPr>
          <w:p>
            <w:pPr>
              <w:jc w:val="center"/>
              <w:rPr>
                <w:i/>
                <w:iCs/>
                <w:noProof/>
                <w:color w:val="000000"/>
                <w:sz w:val="20"/>
              </w:rPr>
            </w:pPr>
            <w:r>
              <w:rPr>
                <w:i/>
                <w:iCs/>
                <w:noProof/>
                <w:sz w:val="20"/>
              </w:rPr>
              <w:t>Sénat de Belgique / Belgische Senaat</w:t>
            </w:r>
          </w:p>
        </w:tc>
        <w:tc>
          <w:tcPr>
            <w:tcW w:w="1660" w:type="dxa"/>
            <w:shd w:val="clear" w:color="auto" w:fill="auto"/>
            <w:vAlign w:val="center"/>
          </w:tcPr>
          <w:p>
            <w:pPr>
              <w:jc w:val="center"/>
              <w:rPr>
                <w:noProof/>
                <w:color w:val="000000"/>
                <w:sz w:val="20"/>
              </w:rPr>
            </w:pPr>
            <w:r>
              <w:rPr>
                <w:noProof/>
                <w:sz w:val="20"/>
              </w:rPr>
              <w:t>1</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Belgien</w:t>
            </w:r>
          </w:p>
        </w:tc>
        <w:tc>
          <w:tcPr>
            <w:tcW w:w="3609" w:type="dxa"/>
            <w:shd w:val="clear" w:color="auto" w:fill="auto"/>
            <w:vAlign w:val="center"/>
          </w:tcPr>
          <w:p>
            <w:pPr>
              <w:jc w:val="center"/>
              <w:rPr>
                <w:i/>
                <w:iCs/>
                <w:noProof/>
                <w:color w:val="000000"/>
                <w:sz w:val="20"/>
              </w:rPr>
            </w:pPr>
            <w:r>
              <w:rPr>
                <w:i/>
                <w:iCs/>
                <w:noProof/>
                <w:sz w:val="20"/>
              </w:rPr>
              <w:t>Chambre des Représentants de Belgique / Belgische Kamer van volksvertegenwoordigers</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Bulgarien</w:t>
            </w:r>
          </w:p>
        </w:tc>
        <w:tc>
          <w:tcPr>
            <w:tcW w:w="3609" w:type="dxa"/>
            <w:shd w:val="clear" w:color="auto" w:fill="auto"/>
            <w:vAlign w:val="center"/>
          </w:tcPr>
          <w:p>
            <w:pPr>
              <w:jc w:val="center"/>
              <w:rPr>
                <w:i/>
                <w:iCs/>
                <w:noProof/>
                <w:color w:val="000000"/>
                <w:sz w:val="20"/>
              </w:rPr>
            </w:pPr>
            <w:r>
              <w:rPr>
                <w:i/>
                <w:iCs/>
                <w:noProof/>
                <w:sz w:val="20"/>
              </w:rPr>
              <w:t>Narodno Sabranie</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Danmark</w:t>
            </w:r>
          </w:p>
        </w:tc>
        <w:tc>
          <w:tcPr>
            <w:tcW w:w="3609" w:type="dxa"/>
            <w:shd w:val="clear" w:color="auto" w:fill="auto"/>
            <w:vAlign w:val="center"/>
          </w:tcPr>
          <w:p>
            <w:pPr>
              <w:jc w:val="center"/>
              <w:rPr>
                <w:i/>
                <w:iCs/>
                <w:noProof/>
                <w:color w:val="000000"/>
                <w:sz w:val="20"/>
              </w:rPr>
            </w:pPr>
            <w:r>
              <w:rPr>
                <w:i/>
                <w:iCs/>
                <w:noProof/>
                <w:sz w:val="20"/>
              </w:rPr>
              <w:t>Folketinget</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Tyskland</w:t>
            </w:r>
          </w:p>
        </w:tc>
        <w:tc>
          <w:tcPr>
            <w:tcW w:w="3609" w:type="dxa"/>
            <w:shd w:val="clear" w:color="auto" w:fill="auto"/>
            <w:vAlign w:val="center"/>
          </w:tcPr>
          <w:p>
            <w:pPr>
              <w:jc w:val="center"/>
              <w:rPr>
                <w:i/>
                <w:iCs/>
                <w:noProof/>
                <w:color w:val="000000"/>
                <w:sz w:val="20"/>
              </w:rPr>
            </w:pPr>
            <w:r>
              <w:rPr>
                <w:i/>
                <w:iCs/>
                <w:noProof/>
                <w:sz w:val="20"/>
              </w:rPr>
              <w:t>Bundestag</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Estland</w:t>
            </w:r>
          </w:p>
        </w:tc>
        <w:tc>
          <w:tcPr>
            <w:tcW w:w="3609" w:type="dxa"/>
            <w:shd w:val="clear" w:color="auto" w:fill="auto"/>
            <w:vAlign w:val="center"/>
          </w:tcPr>
          <w:p>
            <w:pPr>
              <w:jc w:val="center"/>
              <w:rPr>
                <w:i/>
                <w:iCs/>
                <w:noProof/>
                <w:color w:val="000000"/>
                <w:sz w:val="20"/>
              </w:rPr>
            </w:pPr>
            <w:r>
              <w:rPr>
                <w:i/>
                <w:iCs/>
                <w:noProof/>
                <w:sz w:val="20"/>
              </w:rPr>
              <w:t>Riigikogu</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Irland</w:t>
            </w:r>
          </w:p>
        </w:tc>
        <w:tc>
          <w:tcPr>
            <w:tcW w:w="3609" w:type="dxa"/>
            <w:shd w:val="clear" w:color="auto" w:fill="auto"/>
            <w:vAlign w:val="center"/>
          </w:tcPr>
          <w:p>
            <w:pPr>
              <w:jc w:val="center"/>
              <w:rPr>
                <w:noProof/>
                <w:color w:val="000000"/>
                <w:sz w:val="20"/>
              </w:rPr>
            </w:pPr>
            <w:r>
              <w:rPr>
                <w:i/>
                <w:iCs/>
                <w:noProof/>
                <w:sz w:val="20"/>
              </w:rPr>
              <w:t>Houses of the Oireachtas:</w:t>
            </w:r>
            <w:r>
              <w:rPr>
                <w:noProof/>
                <w:sz w:val="20"/>
              </w:rPr>
              <w:br/>
            </w:r>
            <w:r>
              <w:rPr>
                <w:i/>
                <w:iCs/>
                <w:noProof/>
                <w:sz w:val="20"/>
              </w:rPr>
              <w:t>Dáil</w:t>
            </w:r>
            <w:r>
              <w:rPr>
                <w:noProof/>
                <w:sz w:val="20"/>
              </w:rPr>
              <w:t xml:space="preserve"> og </w:t>
            </w:r>
            <w:r>
              <w:rPr>
                <w:i/>
                <w:iCs/>
                <w:noProof/>
                <w:sz w:val="20"/>
              </w:rPr>
              <w:t xml:space="preserve">Seanad Éireann </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Grækenland</w:t>
            </w:r>
          </w:p>
        </w:tc>
        <w:tc>
          <w:tcPr>
            <w:tcW w:w="3609" w:type="dxa"/>
            <w:shd w:val="clear" w:color="auto" w:fill="auto"/>
            <w:vAlign w:val="center"/>
          </w:tcPr>
          <w:p>
            <w:pPr>
              <w:jc w:val="center"/>
              <w:rPr>
                <w:i/>
                <w:iCs/>
                <w:noProof/>
                <w:color w:val="000000"/>
                <w:sz w:val="20"/>
              </w:rPr>
            </w:pPr>
            <w:r>
              <w:rPr>
                <w:i/>
                <w:iCs/>
                <w:noProof/>
                <w:sz w:val="20"/>
              </w:rPr>
              <w:t>Vouli ton Ellinon</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Kroatien</w:t>
            </w:r>
          </w:p>
        </w:tc>
        <w:tc>
          <w:tcPr>
            <w:tcW w:w="3609" w:type="dxa"/>
            <w:shd w:val="clear" w:color="auto" w:fill="auto"/>
            <w:vAlign w:val="center"/>
          </w:tcPr>
          <w:p>
            <w:pPr>
              <w:jc w:val="center"/>
              <w:rPr>
                <w:i/>
                <w:iCs/>
                <w:noProof/>
                <w:color w:val="000000"/>
                <w:sz w:val="20"/>
              </w:rPr>
            </w:pPr>
            <w:r>
              <w:rPr>
                <w:i/>
                <w:iCs/>
                <w:noProof/>
                <w:sz w:val="20"/>
              </w:rPr>
              <w:t xml:space="preserve">Hrvatski Sabor </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Cypern</w:t>
            </w:r>
          </w:p>
        </w:tc>
        <w:tc>
          <w:tcPr>
            <w:tcW w:w="3609" w:type="dxa"/>
            <w:shd w:val="clear" w:color="auto" w:fill="auto"/>
            <w:vAlign w:val="center"/>
          </w:tcPr>
          <w:p>
            <w:pPr>
              <w:jc w:val="center"/>
              <w:rPr>
                <w:i/>
                <w:iCs/>
                <w:noProof/>
                <w:color w:val="000000"/>
                <w:sz w:val="20"/>
              </w:rPr>
            </w:pPr>
            <w:r>
              <w:rPr>
                <w:i/>
                <w:iCs/>
                <w:noProof/>
                <w:sz w:val="20"/>
              </w:rPr>
              <w:t xml:space="preserve">Vouli ton Antiprosopon (Repræsentanternes Hus) </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Letland</w:t>
            </w:r>
          </w:p>
        </w:tc>
        <w:tc>
          <w:tcPr>
            <w:tcW w:w="3609" w:type="dxa"/>
            <w:shd w:val="clear" w:color="auto" w:fill="auto"/>
            <w:vAlign w:val="center"/>
          </w:tcPr>
          <w:p>
            <w:pPr>
              <w:jc w:val="center"/>
              <w:rPr>
                <w:i/>
                <w:iCs/>
                <w:noProof/>
                <w:color w:val="000000"/>
                <w:sz w:val="20"/>
              </w:rPr>
            </w:pPr>
            <w:r>
              <w:rPr>
                <w:i/>
                <w:iCs/>
                <w:noProof/>
                <w:sz w:val="20"/>
              </w:rPr>
              <w:t>Saeima</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Luxembourg</w:t>
            </w:r>
          </w:p>
        </w:tc>
        <w:tc>
          <w:tcPr>
            <w:tcW w:w="3609" w:type="dxa"/>
            <w:shd w:val="clear" w:color="auto" w:fill="auto"/>
            <w:vAlign w:val="center"/>
          </w:tcPr>
          <w:p>
            <w:pPr>
              <w:jc w:val="center"/>
              <w:rPr>
                <w:i/>
                <w:iCs/>
                <w:noProof/>
                <w:color w:val="000000"/>
                <w:sz w:val="20"/>
              </w:rPr>
            </w:pPr>
            <w:r>
              <w:rPr>
                <w:i/>
                <w:iCs/>
                <w:noProof/>
                <w:sz w:val="20"/>
              </w:rPr>
              <w:t>Chambre des Députés</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Østrig</w:t>
            </w:r>
          </w:p>
        </w:tc>
        <w:tc>
          <w:tcPr>
            <w:tcW w:w="3609" w:type="dxa"/>
            <w:shd w:val="clear" w:color="auto" w:fill="auto"/>
            <w:vAlign w:val="center"/>
          </w:tcPr>
          <w:p>
            <w:pPr>
              <w:jc w:val="center"/>
              <w:rPr>
                <w:i/>
                <w:iCs/>
                <w:noProof/>
                <w:color w:val="000000"/>
                <w:sz w:val="20"/>
              </w:rPr>
            </w:pPr>
            <w:r>
              <w:rPr>
                <w:i/>
                <w:iCs/>
                <w:noProof/>
                <w:sz w:val="20"/>
              </w:rPr>
              <w:t>Bundesrat</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Østrig</w:t>
            </w:r>
          </w:p>
        </w:tc>
        <w:tc>
          <w:tcPr>
            <w:tcW w:w="3609" w:type="dxa"/>
            <w:shd w:val="clear" w:color="auto" w:fill="auto"/>
            <w:vAlign w:val="center"/>
          </w:tcPr>
          <w:p>
            <w:pPr>
              <w:jc w:val="center"/>
              <w:rPr>
                <w:i/>
                <w:iCs/>
                <w:noProof/>
                <w:color w:val="000000"/>
                <w:sz w:val="20"/>
              </w:rPr>
            </w:pPr>
            <w:r>
              <w:rPr>
                <w:i/>
                <w:iCs/>
                <w:noProof/>
                <w:sz w:val="20"/>
              </w:rPr>
              <w:t>Nationalrat</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Slovenien</w:t>
            </w:r>
          </w:p>
        </w:tc>
        <w:tc>
          <w:tcPr>
            <w:tcW w:w="3609" w:type="dxa"/>
            <w:shd w:val="clear" w:color="auto" w:fill="auto"/>
            <w:vAlign w:val="center"/>
          </w:tcPr>
          <w:p>
            <w:pPr>
              <w:jc w:val="center"/>
              <w:rPr>
                <w:i/>
                <w:iCs/>
                <w:noProof/>
                <w:color w:val="000000"/>
                <w:sz w:val="20"/>
              </w:rPr>
            </w:pPr>
            <w:r>
              <w:rPr>
                <w:i/>
                <w:iCs/>
                <w:noProof/>
                <w:sz w:val="20"/>
              </w:rPr>
              <w:t>Državni svet</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Slovenien</w:t>
            </w:r>
          </w:p>
        </w:tc>
        <w:tc>
          <w:tcPr>
            <w:tcW w:w="3609" w:type="dxa"/>
            <w:shd w:val="clear" w:color="auto" w:fill="auto"/>
            <w:vAlign w:val="center"/>
          </w:tcPr>
          <w:p>
            <w:pPr>
              <w:jc w:val="center"/>
              <w:rPr>
                <w:i/>
                <w:iCs/>
                <w:noProof/>
                <w:color w:val="000000"/>
                <w:sz w:val="20"/>
              </w:rPr>
            </w:pPr>
            <w:r>
              <w:rPr>
                <w:i/>
                <w:iCs/>
                <w:noProof/>
                <w:sz w:val="20"/>
              </w:rPr>
              <w:t>Državni zbor</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Finland</w:t>
            </w:r>
          </w:p>
        </w:tc>
        <w:tc>
          <w:tcPr>
            <w:tcW w:w="3609" w:type="dxa"/>
            <w:shd w:val="clear" w:color="auto" w:fill="auto"/>
            <w:vAlign w:val="center"/>
          </w:tcPr>
          <w:p>
            <w:pPr>
              <w:jc w:val="center"/>
              <w:rPr>
                <w:i/>
                <w:iCs/>
                <w:noProof/>
                <w:color w:val="000000"/>
                <w:sz w:val="20"/>
              </w:rPr>
            </w:pPr>
            <w:r>
              <w:rPr>
                <w:i/>
                <w:iCs/>
                <w:noProof/>
                <w:sz w:val="20"/>
              </w:rPr>
              <w:t>Eduskunta</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1909" w:type="dxa"/>
            <w:shd w:val="clear" w:color="auto" w:fill="auto"/>
            <w:vAlign w:val="center"/>
          </w:tcPr>
          <w:p>
            <w:pPr>
              <w:jc w:val="center"/>
              <w:rPr>
                <w:noProof/>
                <w:color w:val="000000"/>
                <w:sz w:val="20"/>
              </w:rPr>
            </w:pPr>
            <w:r>
              <w:rPr>
                <w:noProof/>
                <w:sz w:val="20"/>
              </w:rPr>
              <w:t>Det Forenede Kongerige</w:t>
            </w:r>
          </w:p>
        </w:tc>
        <w:tc>
          <w:tcPr>
            <w:tcW w:w="3609" w:type="dxa"/>
            <w:shd w:val="clear" w:color="auto" w:fill="auto"/>
            <w:vAlign w:val="center"/>
          </w:tcPr>
          <w:p>
            <w:pPr>
              <w:jc w:val="center"/>
              <w:rPr>
                <w:noProof/>
                <w:color w:val="000000"/>
                <w:sz w:val="20"/>
              </w:rPr>
            </w:pPr>
            <w:r>
              <w:rPr>
                <w:i/>
                <w:iCs/>
                <w:noProof/>
                <w:sz w:val="20"/>
              </w:rPr>
              <w:t>House of Commons</w:t>
            </w:r>
          </w:p>
        </w:tc>
        <w:tc>
          <w:tcPr>
            <w:tcW w:w="1660" w:type="dxa"/>
            <w:shd w:val="clear" w:color="auto" w:fill="auto"/>
            <w:vAlign w:val="center"/>
          </w:tcPr>
          <w:p>
            <w:pPr>
              <w:jc w:val="center"/>
              <w:rPr>
                <w:noProof/>
                <w:color w:val="000000"/>
                <w:sz w:val="20"/>
              </w:rPr>
            </w:pPr>
            <w:r>
              <w:rPr>
                <w:noProof/>
                <w:sz w:val="20"/>
              </w:rPr>
              <w:t>0</w:t>
            </w:r>
          </w:p>
        </w:tc>
        <w:tc>
          <w:tcPr>
            <w:tcW w:w="2364" w:type="dxa"/>
            <w:shd w:val="clear" w:color="auto" w:fill="auto"/>
            <w:vAlign w:val="center"/>
          </w:tcPr>
          <w:p>
            <w:pPr>
              <w:jc w:val="center"/>
              <w:rPr>
                <w:noProof/>
                <w:color w:val="000000"/>
                <w:sz w:val="20"/>
              </w:rPr>
            </w:pPr>
            <w:r>
              <w:rPr>
                <w:noProof/>
                <w:sz w:val="20"/>
              </w:rPr>
              <w:t>0</w:t>
            </w:r>
          </w:p>
        </w:tc>
      </w:tr>
      <w:tr>
        <w:trPr>
          <w:cantSplit/>
        </w:trPr>
        <w:tc>
          <w:tcPr>
            <w:tcW w:w="5518" w:type="dxa"/>
            <w:gridSpan w:val="2"/>
            <w:shd w:val="clear" w:color="auto" w:fill="auto"/>
            <w:vAlign w:val="center"/>
          </w:tcPr>
          <w:p>
            <w:pPr>
              <w:jc w:val="center"/>
              <w:rPr>
                <w:b/>
                <w:noProof/>
                <w:sz w:val="20"/>
              </w:rPr>
            </w:pPr>
            <w:r>
              <w:rPr>
                <w:b/>
                <w:noProof/>
                <w:sz w:val="20"/>
              </w:rPr>
              <w:t>I ALT:</w:t>
            </w:r>
          </w:p>
        </w:tc>
        <w:tc>
          <w:tcPr>
            <w:tcW w:w="1660" w:type="dxa"/>
            <w:shd w:val="clear" w:color="auto" w:fill="auto"/>
          </w:tcPr>
          <w:p>
            <w:pPr>
              <w:jc w:val="center"/>
              <w:rPr>
                <w:b/>
                <w:noProof/>
                <w:sz w:val="20"/>
              </w:rPr>
            </w:pPr>
            <w:r>
              <w:rPr>
                <w:b/>
                <w:noProof/>
                <w:sz w:val="20"/>
              </w:rPr>
              <w:t>159</w:t>
            </w:r>
          </w:p>
        </w:tc>
        <w:tc>
          <w:tcPr>
            <w:tcW w:w="2364" w:type="dxa"/>
            <w:shd w:val="clear" w:color="auto" w:fill="auto"/>
          </w:tcPr>
          <w:p>
            <w:pPr>
              <w:jc w:val="center"/>
              <w:rPr>
                <w:b/>
                <w:noProof/>
                <w:sz w:val="20"/>
              </w:rPr>
            </w:pPr>
            <w:r>
              <w:rPr>
                <w:b/>
                <w:noProof/>
                <w:sz w:val="20"/>
              </w:rPr>
              <w:t>0</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BILAG 2</w:t>
      </w:r>
    </w:p>
    <w:p>
      <w:pPr>
        <w:spacing w:after="240"/>
        <w:jc w:val="center"/>
        <w:rPr>
          <w:b/>
          <w:noProof/>
        </w:rPr>
      </w:pPr>
      <w:r>
        <w:rPr>
          <w:b/>
          <w:bCs/>
          <w:noProof/>
        </w:rPr>
        <w:t>De dokumenter fra Kommissionen, der foranledigede det største antal udtalelser</w:t>
      </w:r>
      <w:r>
        <w:rPr>
          <w:rStyle w:val="FootnoteReference"/>
          <w:noProof/>
        </w:rPr>
        <w:footnoteReference w:id="4"/>
      </w:r>
      <w:r>
        <w:rPr>
          <w:b/>
          <w:bCs/>
          <w:noProof/>
        </w:rPr>
        <w:t xml:space="preserve"> til Kommissionen i 2019 (politisk dialog og procedure for kontrol af overholdelsen af nærhedsprincippet)</w:t>
      </w:r>
      <w:r>
        <w:rPr>
          <w:b/>
          <w:noProof/>
        </w:rPr>
        <w:t xml:space="preserve"> </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sz w:val="22"/>
                <w:szCs w:val="22"/>
              </w:rPr>
              <w:t>Kommissions-</w:t>
            </w:r>
            <w:r>
              <w:rPr>
                <w:b/>
                <w:bCs/>
                <w:noProof/>
                <w:sz w:val="22"/>
                <w:szCs w:val="22"/>
              </w:rPr>
              <w:br/>
              <w:t>dokument</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sz w:val="22"/>
                <w:szCs w:val="22"/>
              </w:rPr>
              <w:t>Titel</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sz w:val="22"/>
                <w:szCs w:val="22"/>
              </w:rPr>
              <w:t>Samlet</w:t>
            </w:r>
            <w:r>
              <w:rPr>
                <w:b/>
                <w:bCs/>
                <w:noProof/>
                <w:sz w:val="22"/>
                <w:szCs w:val="22"/>
              </w:rPr>
              <w:br/>
              <w:t>antal</w:t>
            </w:r>
            <w:r>
              <w:rPr>
                <w:b/>
                <w:bCs/>
                <w:noProof/>
                <w:sz w:val="22"/>
                <w:szCs w:val="22"/>
              </w:rPr>
              <w:br/>
              <w:t>udtalelser</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sz w:val="22"/>
                <w:szCs w:val="22"/>
              </w:rPr>
              <w:t>Antal</w:t>
            </w:r>
            <w:r>
              <w:rPr>
                <w:b/>
                <w:bCs/>
                <w:noProof/>
                <w:sz w:val="22"/>
                <w:szCs w:val="22"/>
              </w:rPr>
              <w:br/>
              <w:t>begrundede</w:t>
            </w:r>
            <w:r>
              <w:rPr>
                <w:b/>
                <w:bCs/>
                <w:noProof/>
                <w:sz w:val="22"/>
                <w:szCs w:val="22"/>
              </w:rPr>
              <w:br/>
              <w:t>udtalelser</w:t>
            </w:r>
            <w:r>
              <w:rPr>
                <w:b/>
                <w:bCs/>
                <w:noProof/>
                <w:sz w:val="22"/>
                <w:szCs w:val="22"/>
              </w:rPr>
              <w:br/>
              <w:t>(protokol nr. 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sz w:val="22"/>
                <w:szCs w:val="22"/>
              </w:rPr>
              <w:t>COM(2018) 703 final</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Meddelelse fra Kommissionen til Europa-Parlamentet, Det Europæiske Råd, Rådet, Det Europæiske Økonomiske og Sociale Udvalg og Regionsudvalget "Nærhedsprincippet og proportionalitetsprincippet: Styrkelse af deres rolle i EU's politiske beslutningsproces"</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sz w:val="22"/>
                <w:szCs w:val="22"/>
              </w:rPr>
              <w:t>6</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sz w:val="22"/>
                <w:szCs w:val="22"/>
              </w:rPr>
              <w:t>COM(2019) 22 final</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Oplæg "På vej mod et bæredygtigt Europa i 2030"</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sz w:val="22"/>
                <w:szCs w:val="22"/>
              </w:rPr>
              <w:t>5</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sz w:val="22"/>
                <w:szCs w:val="22"/>
              </w:rPr>
              <w:t>COM(2018) 800 final</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Meddelelse fra Kommissionen til Europa-Parlamentet, Rådet, Det Europæiske Økonomiske og Sociale Udvalg og Regionsudvalget "Kommissionens arbejdsprogram for 2019 – Vi opfylder vores løfter og forbereder os på fremtiden"</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sz w:val="22"/>
                <w:szCs w:val="22"/>
              </w:rPr>
              <w:t>COM(2019) 8 final</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Meddelelse fra Kommissionen til Europa-Parlamentet, Det Europæiske Råd og Rådet "På vej mod en mere effektiv og demokratisk beslutningstagning inden for EU's skattepolitik"</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sz w:val="22"/>
                <w:szCs w:val="22"/>
              </w:rPr>
              <w:t>COM(2019) 163 final</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Meddelelse fra Kommissionen til Europa-Parlamentet, Det Europæiske Råd og Rådet "Yderligere styrkelse af retsstatsprincippet i Unionen: Status og eventuelle næste skridt"</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sz w:val="22"/>
                <w:szCs w:val="22"/>
              </w:rPr>
              <w:t>0</w:t>
            </w:r>
          </w:p>
        </w:tc>
      </w:tr>
    </w:tbl>
    <w:p>
      <w:pPr>
        <w:rPr>
          <w:b/>
          <w:noProof/>
        </w:rPr>
      </w:pPr>
    </w:p>
    <w:sectPr>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Antallet omfatter både udtalelser inden for rammerne af den "politiske dialog" og begrundede udtalelser fra de nationale parlamenter.</w:t>
      </w:r>
    </w:p>
  </w:footnote>
  <w:footnote w:id="2">
    <w:p>
      <w:pPr>
        <w:pStyle w:val="FootnoteText"/>
        <w:ind w:left="284" w:hanging="284"/>
      </w:pPr>
      <w:r>
        <w:rPr>
          <w:rStyle w:val="FootnoteReference"/>
        </w:rPr>
        <w:footnoteRef/>
      </w:r>
      <w:r>
        <w:t xml:space="preserve"> </w:t>
      </w:r>
      <w:r>
        <w:tab/>
        <w:t>Alle otte udtalelser var fælles udtalelser fra de to kamre.</w:t>
      </w:r>
    </w:p>
  </w:footnote>
  <w:footnote w:id="3">
    <w:p>
      <w:pPr>
        <w:pStyle w:val="FootnoteText"/>
        <w:ind w:left="284" w:hanging="284"/>
      </w:pPr>
      <w:r>
        <w:rPr>
          <w:rStyle w:val="FootnoteReference"/>
        </w:rPr>
        <w:footnoteRef/>
      </w:r>
      <w:r>
        <w:t xml:space="preserve"> </w:t>
      </w:r>
      <w:r>
        <w:tab/>
        <w:t xml:space="preserve">Der forventedes ikke noget svar fra Kommissionen for disse udtalelser. </w:t>
      </w:r>
    </w:p>
  </w:footnote>
  <w:footnote w:id="4">
    <w:p>
      <w:pPr>
        <w:pStyle w:val="FootnoteText"/>
        <w:tabs>
          <w:tab w:val="left" w:pos="284"/>
        </w:tabs>
        <w:ind w:left="284" w:hanging="284"/>
      </w:pPr>
      <w:r>
        <w:rPr>
          <w:rStyle w:val="FootnoteReference"/>
        </w:rPr>
        <w:footnoteRef/>
      </w:r>
      <w:r>
        <w:t xml:space="preserve"> </w:t>
      </w:r>
      <w:r>
        <w:tab/>
        <w:t xml:space="preserve">Tabellen viser alle Kommissionens dokumenter, som var genstand for mindst </w:t>
      </w:r>
      <w:r>
        <w:rPr>
          <w:u w:val="single"/>
        </w:rPr>
        <w:t>fire</w:t>
      </w:r>
      <w:r>
        <w:t xml:space="preserve"> udtalelser. I nogle tilfælde vedrørte udtalelsen også andre kommissionsdokumenter. Det er værd at bemærke, at ingen lovgivningsforslag nåede denne grænse på fire udtalelser i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2"/>
    <w:docVar w:name="LW_ANNEX_UNIQUE" w:val="0"/>
    <w:docVar w:name="LW_CORRIGENDUM" w:val="&lt;UNUSED&gt;"/>
    <w:docVar w:name="LW_COVERPAGE_EXISTS" w:val="True"/>
    <w:docVar w:name="LW_COVERPAGE_GUID" w:val="F02E9AF5-2417-44DF-8C30-6C6D33BDD03F"/>
    <w:docVar w:name="LW_COVERPAGE_TYPE" w:val="1"/>
    <w:docVar w:name="LW_CROSSREFERENCE" w:val="&lt;UNUSED&gt;"/>
    <w:docVar w:name="LW_DocType" w:val="REP"/>
    <w:docVar w:name="LW_EMISSION" w:val="30.6.2020"/>
    <w:docVar w:name="LW_EMISSION_ISODATE" w:val="2020-06-30"/>
    <w:docVar w:name="LW_EMISSION_LOCATION" w:val="BRX"/>
    <w:docVar w:name="LW_EMISSION_PREFIX" w:val="Bruxelles, den "/>
    <w:docVar w:name="LW_EMISSION_SUFFIX" w:val=" "/>
    <w:docVar w:name="LW_ID_DOCTYPE_NONLW" w:val="CP-039"/>
    <w:docVar w:name="LW_LANGUE" w:val="DA"/>
    <w:docVar w:name="LW_LEVEL_OF_SENSITIVITY" w:val="Standard treatment"/>
    <w:docVar w:name="LW_NOM.INST" w:val="EUROPA-KOMMISSIONEN"/>
    <w:docVar w:name="LW_NOM.INST_JOINTDOC" w:val="&lt;EMPTY&gt;"/>
    <w:docVar w:name="LW_OBJETACTEPRINCIPAL.CP" w:val="ÅRSRAPPORT 2019_x000d__x000d__x000d__x000d__x000b_OM ANVENDELSEN AF NÆRHEDSPRINCIPPET OG PROPORTIONALITETSPRINCIPPET OG OM FORBINDELSERNE MED DE NATIONALE PARLAMENTER_x000b__x000b_"/>
    <w:docVar w:name="LW_PART_NBR" w:val="&lt;UNUSED&gt;"/>
    <w:docVar w:name="LW_PART_NBR_TOTAL" w:val="&lt;UNUSED&gt;"/>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_x000b_"/>
    <w:docVar w:name="LW_TYPEACTEPRINCIPAL.CP" w:val="BERETNING FRA KOMMISSIONE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EurolookProperties>
  <ProductCustomizationId/>
  <Created>
    <Version>4.6</Version>
    <Date>2018-08-29T12:28:07</Date>
    <Language>EN</Language>
  </Created>
  <Edited>
    <Version>10.0.40183.0</Version>
    <Date>2020-06-23T16:04:38</Date>
  </Edited>
  <DocumentModel>
    <Id>6cbda13a-4db2-46c6-876a-ef72275827ef</Id>
    <Name>Report</Name>
  </DocumentModel>
  <DocumentDate/>
  <DocumentVersion/>
  <CompatibilityMode>Eurolook4X</CompatibilityMode>
  <Address/>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9A81CD-47B2-43EE-A84B-07911B2F577B}">
  <ds:schemaRefs/>
</ds:datastoreItem>
</file>

<file path=customXml/itemProps2.xml><?xml version="1.0" encoding="utf-8"?>
<ds:datastoreItem xmlns:ds="http://schemas.openxmlformats.org/officeDocument/2006/customXml" ds:itemID="{E0D61C8E-61D8-48E1-A8A1-D7C9F052D3FF}">
  <ds:schemaRefs/>
</ds:datastoreItem>
</file>

<file path=customXml/itemProps3.xml><?xml version="1.0" encoding="utf-8"?>
<ds:datastoreItem xmlns:ds="http://schemas.openxmlformats.org/officeDocument/2006/customXml" ds:itemID="{E185D78C-AD8C-44D8-9F36-C303026A0844}">
  <ds:schemaRefs/>
</ds:datastoreItem>
</file>

<file path=customXml/itemProps4.xml><?xml version="1.0" encoding="utf-8"?>
<ds:datastoreItem xmlns:ds="http://schemas.openxmlformats.org/officeDocument/2006/customXml" ds:itemID="{22616FD1-3D44-4B00-8CA7-B35C5BB3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445</Words>
  <Characters>2481</Characters>
  <Application>Microsoft Office Word</Application>
  <DocSecurity>0</DocSecurity>
  <PresentationFormat>Microsoft Word 14.0</PresentationFormat>
  <Lines>275</Lines>
  <Paragraphs>225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Therace</dc:creator>
  <cp:keywords>EL4</cp:keywords>
  <cp:lastModifiedBy>WES PDFC Administrator</cp:lastModifiedBy>
  <cp:revision>9</cp:revision>
  <cp:lastPrinted>2020-02-19T06:37:00Z</cp:lastPrinted>
  <dcterms:created xsi:type="dcterms:W3CDTF">2020-02-28T10:53:00Z</dcterms:created>
  <dcterms:modified xsi:type="dcterms:W3CDTF">2020-06-25T19:37:00Z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7.0.1, Build 20190916</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DocStatus">
    <vt:lpwstr>Green</vt:lpwstr>
  </property>
  <property fmtid="{D5CDD505-2E9C-101B-9397-08002B2CF9AE}" pid="12" name="CPTemplateID">
    <vt:lpwstr>CP-039</vt:lpwstr>
  </property>
  <property fmtid="{D5CDD505-2E9C-101B-9397-08002B2CF9AE}" pid="13" name="_LW_INVALIDATED__LW_INVALIDATED__LW_INVALIDATED__LW_INVALIDATED_TemplateVersion">
    <vt:lpwstr>4.6.5.0000</vt:lpwstr>
  </property>
  <property fmtid="{D5CDD505-2E9C-101B-9397-08002B2CF9AE}" pid="14" name="_LW_INVALIDATED__LW_INVALIDATED__LW_INVALIDATED__LW_INVALIDATED_EurolookVersion">
    <vt:lpwstr>4.6</vt:lpwstr>
  </property>
  <property fmtid="{D5CDD505-2E9C-101B-9397-08002B2CF9AE}" pid="15" name="_LW_INVALIDATED__LW_INVALIDATED__LW_INVALIDATED__LW_INVALIDATED_DocID_EU">
    <vt:lpwstr> </vt:lpwstr>
  </property>
  <property fmtid="{D5CDD505-2E9C-101B-9397-08002B2CF9AE}" pid="16" name="_LW_INVALIDATED__LW_INVALIDATED__LW_INVALIDATED__LW_INVALIDATED_ELDocType">
    <vt:lpwstr>rep.dot</vt:lpwstr>
  </property>
  <property fmtid="{D5CDD505-2E9C-101B-9397-08002B2CF9AE}" pid="17" name="_LW_INVALIDATED__LW_INVALIDATED__LW_INVALIDATED__LW_INVALIDATED_Formatting">
    <vt:lpwstr>4.1</vt:lpwstr>
  </property>
  <property fmtid="{D5CDD505-2E9C-101B-9397-08002B2CF9AE}" pid="18" name="_LW_INVALIDATED__LW_INVALIDATED__LW_INVALIDATED__LW_INVALIDATED_EL_Author">
    <vt:lpwstr>Christine Therace</vt:lpwstr>
  </property>
  <property fmtid="{D5CDD505-2E9C-101B-9397-08002B2CF9AE}" pid="19" name="_LW_INVALIDATED__LW_INVALIDATED__LW_INVALIDATED__LW_INVALIDATED_Type">
    <vt:lpwstr>Eurolook Report</vt:lpwstr>
  </property>
  <property fmtid="{D5CDD505-2E9C-101B-9397-08002B2CF9AE}" pid="20" name="_LW_INVALIDATED__LW_INVALIDATED__LW_INVALIDATED__LW_INVALIDATED_EL_Language">
    <vt:lpwstr>EN</vt:lpwstr>
  </property>
</Properties>
</file>