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948DADE-B5BA-40D0-9C84-F15F9F4F2E0E" style="width:450.2pt;height:393.85pt">
            <v:imagedata r:id="rId12" o:title=""/>
          </v:shape>
        </w:pict>
      </w:r>
    </w:p>
    <w:bookmarkEnd w:id="0"/>
    <w:p>
      <w:pPr>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1. PIELIKUMS</w:t>
      </w:r>
    </w:p>
    <w:p>
      <w:pPr>
        <w:spacing w:after="240"/>
        <w:jc w:val="center"/>
        <w:rPr>
          <w:b/>
          <w:noProof/>
        </w:rPr>
      </w:pPr>
      <w:r>
        <w:rPr>
          <w:b/>
          <w:noProof/>
        </w:rPr>
        <w:t>To atzinumu skaits, kurus Komisija 2019. gadā saņēma no valstu parlamentiem/palātām (politiskais dialogs un subsidiaritātes kontroles mehānisms)</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bCs/>
                <w:noProof/>
                <w:color w:val="000000"/>
                <w:sz w:val="20"/>
              </w:rPr>
              <w:t>Dalībvalsts</w:t>
            </w:r>
          </w:p>
        </w:tc>
        <w:tc>
          <w:tcPr>
            <w:tcW w:w="3609" w:type="dxa"/>
            <w:shd w:val="clear" w:color="auto" w:fill="auto"/>
            <w:vAlign w:val="center"/>
          </w:tcPr>
          <w:p>
            <w:pPr>
              <w:spacing w:before="60" w:after="60"/>
              <w:jc w:val="center"/>
              <w:rPr>
                <w:b/>
                <w:bCs/>
                <w:noProof/>
                <w:color w:val="000000"/>
                <w:sz w:val="20"/>
              </w:rPr>
            </w:pPr>
            <w:r>
              <w:rPr>
                <w:b/>
                <w:bCs/>
                <w:noProof/>
                <w:color w:val="000000"/>
                <w:sz w:val="20"/>
              </w:rPr>
              <w:t>Palāta</w:t>
            </w:r>
          </w:p>
        </w:tc>
        <w:tc>
          <w:tcPr>
            <w:tcW w:w="1660" w:type="dxa"/>
            <w:shd w:val="clear" w:color="auto" w:fill="auto"/>
            <w:vAlign w:val="center"/>
          </w:tcPr>
          <w:p>
            <w:pPr>
              <w:spacing w:before="60" w:after="60"/>
              <w:jc w:val="center"/>
              <w:rPr>
                <w:b/>
                <w:bCs/>
                <w:noProof/>
                <w:color w:val="000000"/>
                <w:sz w:val="20"/>
              </w:rPr>
            </w:pPr>
            <w:r>
              <w:rPr>
                <w:b/>
                <w:bCs/>
                <w:noProof/>
                <w:color w:val="000000"/>
                <w:sz w:val="20"/>
              </w:rPr>
              <w:t>Atzinumu</w:t>
            </w:r>
            <w:r>
              <w:rPr>
                <w:b/>
                <w:bCs/>
                <w:noProof/>
                <w:color w:val="000000"/>
                <w:sz w:val="20"/>
              </w:rPr>
              <w:br/>
              <w:t>kopējais</w:t>
            </w:r>
            <w:r>
              <w:rPr>
                <w:b/>
                <w:bCs/>
                <w:noProof/>
                <w:color w:val="000000"/>
                <w:sz w:val="20"/>
              </w:rPr>
              <w:br/>
              <w:t>skaits</w:t>
            </w:r>
            <w:r>
              <w:rPr>
                <w:rStyle w:val="FootnoteReference"/>
                <w:noProof/>
                <w:sz w:val="20"/>
              </w:rPr>
              <w:footnoteReference w:id="1"/>
            </w:r>
          </w:p>
        </w:tc>
        <w:tc>
          <w:tcPr>
            <w:tcW w:w="2364" w:type="dxa"/>
            <w:shd w:val="clear" w:color="auto" w:fill="auto"/>
            <w:vAlign w:val="center"/>
          </w:tcPr>
          <w:p>
            <w:pPr>
              <w:spacing w:before="60" w:after="60"/>
              <w:jc w:val="center"/>
              <w:rPr>
                <w:b/>
                <w:bCs/>
                <w:noProof/>
                <w:color w:val="000000"/>
                <w:sz w:val="20"/>
              </w:rPr>
            </w:pPr>
            <w:r>
              <w:rPr>
                <w:b/>
                <w:bCs/>
                <w:noProof/>
                <w:color w:val="000000"/>
                <w:sz w:val="20"/>
              </w:rPr>
              <w:t>Pamatoto</w:t>
            </w:r>
            <w:r>
              <w:rPr>
                <w:b/>
                <w:bCs/>
                <w:noProof/>
                <w:color w:val="000000"/>
                <w:sz w:val="20"/>
              </w:rPr>
              <w:br/>
              <w:t>atzinumu</w:t>
            </w:r>
            <w:r>
              <w:rPr>
                <w:b/>
                <w:bCs/>
                <w:noProof/>
                <w:color w:val="000000"/>
                <w:sz w:val="20"/>
              </w:rPr>
              <w:br/>
              <w:t>skaits</w:t>
            </w:r>
            <w:r>
              <w:rPr>
                <w:b/>
                <w:bCs/>
                <w:noProof/>
                <w:color w:val="000000"/>
                <w:sz w:val="20"/>
              </w:rPr>
              <w:br/>
            </w:r>
            <w:r>
              <w:rPr>
                <w:b/>
                <w:noProof/>
                <w:sz w:val="20"/>
              </w:rPr>
              <w:t>(Protokols Nr. 2)</w:t>
            </w:r>
          </w:p>
        </w:tc>
      </w:tr>
      <w:tr>
        <w:trPr>
          <w:cantSplit/>
        </w:trPr>
        <w:tc>
          <w:tcPr>
            <w:tcW w:w="1909" w:type="dxa"/>
            <w:shd w:val="clear" w:color="auto" w:fill="auto"/>
            <w:vAlign w:val="center"/>
          </w:tcPr>
          <w:p>
            <w:pPr>
              <w:jc w:val="center"/>
              <w:rPr>
                <w:noProof/>
                <w:color w:val="000000"/>
                <w:sz w:val="20"/>
              </w:rPr>
            </w:pPr>
            <w:r>
              <w:rPr>
                <w:noProof/>
                <w:color w:val="000000"/>
                <w:sz w:val="20"/>
              </w:rPr>
              <w:t>Čehija</w:t>
            </w:r>
          </w:p>
        </w:tc>
        <w:tc>
          <w:tcPr>
            <w:tcW w:w="3609" w:type="dxa"/>
            <w:shd w:val="clear" w:color="auto" w:fill="auto"/>
            <w:vAlign w:val="center"/>
          </w:tcPr>
          <w:p>
            <w:pPr>
              <w:jc w:val="center"/>
              <w:rPr>
                <w:i/>
                <w:iCs/>
                <w:noProof/>
                <w:color w:val="000000"/>
                <w:sz w:val="20"/>
              </w:rPr>
            </w:pPr>
            <w:r>
              <w:rPr>
                <w:i/>
                <w:iCs/>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21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Rumānija</w:t>
            </w:r>
          </w:p>
        </w:tc>
        <w:tc>
          <w:tcPr>
            <w:tcW w:w="3609" w:type="dxa"/>
            <w:shd w:val="clear" w:color="auto" w:fill="auto"/>
            <w:vAlign w:val="center"/>
          </w:tcPr>
          <w:p>
            <w:pPr>
              <w:jc w:val="center"/>
              <w:rPr>
                <w:i/>
                <w:iCs/>
                <w:noProof/>
                <w:color w:val="000000"/>
                <w:sz w:val="20"/>
              </w:rPr>
            </w:pPr>
            <w:r>
              <w:rPr>
                <w:i/>
                <w:iCs/>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Portugāle</w:t>
            </w:r>
          </w:p>
        </w:tc>
        <w:tc>
          <w:tcPr>
            <w:tcW w:w="3609" w:type="dxa"/>
            <w:shd w:val="clear" w:color="auto" w:fill="auto"/>
            <w:vAlign w:val="center"/>
          </w:tcPr>
          <w:p>
            <w:pPr>
              <w:jc w:val="center"/>
              <w:rPr>
                <w:i/>
                <w:iCs/>
                <w:noProof/>
                <w:color w:val="000000"/>
                <w:sz w:val="20"/>
              </w:rPr>
            </w:pPr>
            <w:r>
              <w:rPr>
                <w:i/>
                <w:iCs/>
                <w:noProof/>
                <w:color w:val="000000"/>
                <w:sz w:val="20"/>
              </w:rPr>
              <w:t>Assembleia da República</w:t>
            </w:r>
          </w:p>
        </w:tc>
        <w:tc>
          <w:tcPr>
            <w:tcW w:w="1660" w:type="dxa"/>
            <w:shd w:val="clear" w:color="auto" w:fill="auto"/>
            <w:vAlign w:val="center"/>
          </w:tcPr>
          <w:p>
            <w:pPr>
              <w:jc w:val="center"/>
              <w:rPr>
                <w:noProof/>
                <w:color w:val="000000"/>
                <w:sz w:val="20"/>
              </w:rPr>
            </w:pPr>
            <w:r>
              <w:rPr>
                <w:noProof/>
                <w:color w:val="000000"/>
                <w:sz w:val="20"/>
              </w:rPr>
              <w:t>14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Čehija</w:t>
            </w:r>
          </w:p>
        </w:tc>
        <w:tc>
          <w:tcPr>
            <w:tcW w:w="3609" w:type="dxa"/>
            <w:shd w:val="clear" w:color="auto" w:fill="auto"/>
            <w:vAlign w:val="center"/>
          </w:tcPr>
          <w:p>
            <w:pPr>
              <w:jc w:val="center"/>
              <w:rPr>
                <w:i/>
                <w:iCs/>
                <w:noProof/>
                <w:color w:val="000000"/>
                <w:sz w:val="20"/>
              </w:rPr>
            </w:pPr>
            <w:r>
              <w:rPr>
                <w:i/>
                <w:iCs/>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Francija</w:t>
            </w:r>
          </w:p>
        </w:tc>
        <w:tc>
          <w:tcPr>
            <w:tcW w:w="3609" w:type="dxa"/>
            <w:shd w:val="clear" w:color="auto" w:fill="auto"/>
            <w:vAlign w:val="center"/>
          </w:tcPr>
          <w:p>
            <w:pPr>
              <w:jc w:val="center"/>
              <w:rPr>
                <w:i/>
                <w:iCs/>
                <w:noProof/>
                <w:color w:val="000000"/>
                <w:sz w:val="20"/>
              </w:rPr>
            </w:pPr>
            <w:r>
              <w:rPr>
                <w:i/>
                <w:iCs/>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12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Vācija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Spānija</w:t>
            </w:r>
          </w:p>
        </w:tc>
        <w:tc>
          <w:tcPr>
            <w:tcW w:w="3609" w:type="dxa"/>
            <w:shd w:val="clear" w:color="auto" w:fill="auto"/>
            <w:vAlign w:val="center"/>
          </w:tcPr>
          <w:p>
            <w:pPr>
              <w:jc w:val="center"/>
              <w:rPr>
                <w:noProof/>
                <w:color w:val="000000"/>
                <w:sz w:val="20"/>
              </w:rPr>
            </w:pPr>
            <w:r>
              <w:rPr>
                <w:i/>
                <w:iCs/>
                <w:noProof/>
                <w:color w:val="000000"/>
                <w:sz w:val="20"/>
              </w:rPr>
              <w:t>Las Cortes Generales:</w:t>
            </w:r>
            <w:r>
              <w:rPr>
                <w:noProof/>
                <w:color w:val="000000"/>
                <w:sz w:val="20"/>
              </w:rPr>
              <w:br/>
            </w:r>
            <w:r>
              <w:rPr>
                <w:i/>
                <w:iCs/>
                <w:noProof/>
                <w:color w:val="000000"/>
                <w:sz w:val="20"/>
              </w:rPr>
              <w:t>Senado de España</w:t>
            </w:r>
            <w:r>
              <w:rPr>
                <w:noProof/>
                <w:color w:val="000000"/>
                <w:sz w:val="20"/>
              </w:rPr>
              <w:t xml:space="preserve"> un</w:t>
            </w:r>
            <w:r>
              <w:rPr>
                <w:noProof/>
                <w:color w:val="000000"/>
                <w:sz w:val="20"/>
              </w:rPr>
              <w:br/>
            </w:r>
            <w:r>
              <w:rPr>
                <w:i/>
                <w:iCs/>
                <w:noProof/>
                <w:color w:val="000000"/>
                <w:sz w:val="20"/>
              </w:rPr>
              <w:t>Congreso de los Diputados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2"/>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Apvienotā Karaliste</w:t>
            </w:r>
          </w:p>
        </w:tc>
        <w:tc>
          <w:tcPr>
            <w:tcW w:w="3609" w:type="dxa"/>
            <w:shd w:val="clear" w:color="auto" w:fill="auto"/>
            <w:vAlign w:val="center"/>
          </w:tcPr>
          <w:p>
            <w:pPr>
              <w:jc w:val="center"/>
              <w:rPr>
                <w:iCs/>
                <w:noProof/>
                <w:color w:val="000000"/>
                <w:sz w:val="20"/>
              </w:rPr>
            </w:pPr>
            <w:r>
              <w:rPr>
                <w:i/>
                <w:iCs/>
                <w:noProof/>
                <w:color w:val="000000"/>
                <w:sz w:val="20"/>
              </w:rPr>
              <w:t>House of Lords</w:t>
            </w:r>
          </w:p>
        </w:tc>
        <w:tc>
          <w:tcPr>
            <w:tcW w:w="1660" w:type="dxa"/>
            <w:shd w:val="clear" w:color="auto" w:fill="auto"/>
            <w:vAlign w:val="center"/>
          </w:tcPr>
          <w:p>
            <w:pPr>
              <w:jc w:val="center"/>
              <w:rPr>
                <w:noProof/>
                <w:color w:val="000000"/>
                <w:sz w:val="20"/>
              </w:rPr>
            </w:pPr>
            <w:r>
              <w:rPr>
                <w:noProof/>
                <w:color w:val="000000"/>
                <w:sz w:val="20"/>
              </w:rPr>
              <w:t>8</w:t>
            </w:r>
            <w:r>
              <w:rPr>
                <w:rStyle w:val="FootnoteReference"/>
                <w:noProof/>
                <w:color w:val="000000"/>
                <w:sz w:val="20"/>
              </w:rPr>
              <w:footnoteReference w:id="3"/>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Itālija</w:t>
            </w:r>
          </w:p>
        </w:tc>
        <w:tc>
          <w:tcPr>
            <w:tcW w:w="3609" w:type="dxa"/>
            <w:shd w:val="clear" w:color="auto" w:fill="auto"/>
            <w:vAlign w:val="center"/>
          </w:tcPr>
          <w:p>
            <w:pPr>
              <w:jc w:val="center"/>
              <w:rPr>
                <w:i/>
                <w:iCs/>
                <w:noProof/>
                <w:color w:val="000000"/>
                <w:sz w:val="20"/>
              </w:rPr>
            </w:pPr>
            <w:r>
              <w:rPr>
                <w:i/>
                <w:iCs/>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Rumānija</w:t>
            </w:r>
          </w:p>
        </w:tc>
        <w:tc>
          <w:tcPr>
            <w:tcW w:w="3609" w:type="dxa"/>
            <w:shd w:val="clear" w:color="auto" w:fill="auto"/>
            <w:vAlign w:val="center"/>
          </w:tcPr>
          <w:p>
            <w:pPr>
              <w:jc w:val="center"/>
              <w:rPr>
                <w:i/>
                <w:iCs/>
                <w:noProof/>
                <w:color w:val="000000"/>
                <w:sz w:val="20"/>
              </w:rPr>
            </w:pPr>
            <w:r>
              <w:rPr>
                <w:i/>
                <w:iCs/>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Zviedrija</w:t>
            </w:r>
          </w:p>
        </w:tc>
        <w:tc>
          <w:tcPr>
            <w:tcW w:w="3609" w:type="dxa"/>
            <w:shd w:val="clear" w:color="auto" w:fill="auto"/>
            <w:vAlign w:val="center"/>
          </w:tcPr>
          <w:p>
            <w:pPr>
              <w:jc w:val="center"/>
              <w:rPr>
                <w:noProof/>
                <w:color w:val="000000"/>
                <w:sz w:val="20"/>
              </w:rPr>
            </w:pPr>
            <w:r>
              <w:rPr>
                <w:i/>
                <w:iCs/>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Francija</w:t>
            </w:r>
          </w:p>
        </w:tc>
        <w:tc>
          <w:tcPr>
            <w:tcW w:w="3609" w:type="dxa"/>
            <w:shd w:val="clear" w:color="auto" w:fill="auto"/>
            <w:vAlign w:val="center"/>
          </w:tcPr>
          <w:p>
            <w:pPr>
              <w:jc w:val="center"/>
              <w:rPr>
                <w:i/>
                <w:iCs/>
                <w:noProof/>
                <w:color w:val="000000"/>
                <w:sz w:val="20"/>
              </w:rPr>
            </w:pPr>
            <w:r>
              <w:rPr>
                <w:i/>
                <w:iCs/>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Nīderlande</w:t>
            </w:r>
          </w:p>
        </w:tc>
        <w:tc>
          <w:tcPr>
            <w:tcW w:w="3609" w:type="dxa"/>
            <w:shd w:val="clear" w:color="auto" w:fill="auto"/>
            <w:vAlign w:val="center"/>
          </w:tcPr>
          <w:p>
            <w:pPr>
              <w:jc w:val="center"/>
              <w:rPr>
                <w:i/>
                <w:iCs/>
                <w:noProof/>
                <w:color w:val="000000"/>
                <w:sz w:val="20"/>
              </w:rPr>
            </w:pPr>
            <w:r>
              <w:rPr>
                <w:i/>
                <w:iCs/>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Ungārija</w:t>
            </w:r>
          </w:p>
        </w:tc>
        <w:tc>
          <w:tcPr>
            <w:tcW w:w="3609" w:type="dxa"/>
            <w:shd w:val="clear" w:color="auto" w:fill="auto"/>
            <w:vAlign w:val="center"/>
          </w:tcPr>
          <w:p>
            <w:pPr>
              <w:jc w:val="center"/>
              <w:rPr>
                <w:i/>
                <w:iCs/>
                <w:noProof/>
                <w:color w:val="000000"/>
                <w:sz w:val="20"/>
              </w:rPr>
            </w:pPr>
            <w:r>
              <w:rPr>
                <w:i/>
                <w:iCs/>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Itālija</w:t>
            </w:r>
          </w:p>
        </w:tc>
        <w:tc>
          <w:tcPr>
            <w:tcW w:w="3609" w:type="dxa"/>
            <w:shd w:val="clear" w:color="auto" w:fill="auto"/>
            <w:vAlign w:val="center"/>
          </w:tcPr>
          <w:p>
            <w:pPr>
              <w:jc w:val="center"/>
              <w:rPr>
                <w:i/>
                <w:iCs/>
                <w:noProof/>
                <w:color w:val="000000"/>
                <w:sz w:val="20"/>
              </w:rPr>
            </w:pPr>
            <w:r>
              <w:rPr>
                <w:i/>
                <w:iCs/>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Lietuva</w:t>
            </w:r>
          </w:p>
        </w:tc>
        <w:tc>
          <w:tcPr>
            <w:tcW w:w="3609" w:type="dxa"/>
            <w:shd w:val="clear" w:color="auto" w:fill="auto"/>
            <w:vAlign w:val="center"/>
          </w:tcPr>
          <w:p>
            <w:pPr>
              <w:jc w:val="center"/>
              <w:rPr>
                <w:i/>
                <w:iCs/>
                <w:noProof/>
                <w:color w:val="000000"/>
                <w:sz w:val="20"/>
              </w:rPr>
            </w:pPr>
            <w:r>
              <w:rPr>
                <w:i/>
                <w:iCs/>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Slovākija</w:t>
            </w:r>
          </w:p>
        </w:tc>
        <w:tc>
          <w:tcPr>
            <w:tcW w:w="3609" w:type="dxa"/>
            <w:shd w:val="clear" w:color="auto" w:fill="auto"/>
            <w:vAlign w:val="center"/>
          </w:tcPr>
          <w:p>
            <w:pPr>
              <w:jc w:val="center"/>
              <w:rPr>
                <w:i/>
                <w:iCs/>
                <w:noProof/>
                <w:color w:val="000000"/>
                <w:sz w:val="20"/>
              </w:rPr>
            </w:pPr>
            <w:r>
              <w:rPr>
                <w:i/>
                <w:iCs/>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Malta</w:t>
            </w:r>
          </w:p>
        </w:tc>
        <w:tc>
          <w:tcPr>
            <w:tcW w:w="3609" w:type="dxa"/>
            <w:shd w:val="clear" w:color="auto" w:fill="auto"/>
            <w:vAlign w:val="center"/>
          </w:tcPr>
          <w:p>
            <w:pPr>
              <w:jc w:val="center"/>
              <w:rPr>
                <w:i/>
                <w:iCs/>
                <w:noProof/>
                <w:color w:val="000000"/>
                <w:sz w:val="20"/>
              </w:rPr>
            </w:pPr>
            <w:r>
              <w:rPr>
                <w:i/>
                <w:iCs/>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Nīderlande</w:t>
            </w:r>
          </w:p>
        </w:tc>
        <w:tc>
          <w:tcPr>
            <w:tcW w:w="3609" w:type="dxa"/>
            <w:shd w:val="clear" w:color="auto" w:fill="auto"/>
            <w:vAlign w:val="center"/>
          </w:tcPr>
          <w:p>
            <w:pPr>
              <w:jc w:val="center"/>
              <w:rPr>
                <w:i/>
                <w:iCs/>
                <w:noProof/>
                <w:color w:val="000000"/>
                <w:sz w:val="20"/>
              </w:rPr>
            </w:pPr>
            <w:r>
              <w:rPr>
                <w:i/>
                <w:iCs/>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Polija</w:t>
            </w:r>
          </w:p>
        </w:tc>
        <w:tc>
          <w:tcPr>
            <w:tcW w:w="3609" w:type="dxa"/>
            <w:shd w:val="clear" w:color="auto" w:fill="auto"/>
            <w:vAlign w:val="center"/>
          </w:tcPr>
          <w:p>
            <w:pPr>
              <w:jc w:val="center"/>
              <w:rPr>
                <w:i/>
                <w:iCs/>
                <w:noProof/>
                <w:color w:val="000000"/>
                <w:sz w:val="20"/>
              </w:rPr>
            </w:pPr>
            <w:r>
              <w:rPr>
                <w:i/>
                <w:iCs/>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Polija</w:t>
            </w:r>
          </w:p>
        </w:tc>
        <w:tc>
          <w:tcPr>
            <w:tcW w:w="3609" w:type="dxa"/>
            <w:shd w:val="clear" w:color="auto" w:fill="auto"/>
            <w:vAlign w:val="center"/>
          </w:tcPr>
          <w:p>
            <w:pPr>
              <w:jc w:val="center"/>
              <w:rPr>
                <w:i/>
                <w:iCs/>
                <w:noProof/>
                <w:color w:val="000000"/>
                <w:sz w:val="20"/>
              </w:rPr>
            </w:pPr>
            <w:r>
              <w:rPr>
                <w:i/>
                <w:iCs/>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Beļģija</w:t>
            </w:r>
          </w:p>
        </w:tc>
        <w:tc>
          <w:tcPr>
            <w:tcW w:w="3609" w:type="dxa"/>
            <w:shd w:val="clear" w:color="auto" w:fill="auto"/>
            <w:vAlign w:val="center"/>
          </w:tcPr>
          <w:p>
            <w:pPr>
              <w:jc w:val="center"/>
              <w:rPr>
                <w:i/>
                <w:iCs/>
                <w:noProof/>
                <w:color w:val="000000"/>
                <w:sz w:val="20"/>
              </w:rPr>
            </w:pPr>
            <w:r>
              <w:rPr>
                <w:i/>
                <w:iCs/>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Beļģija</w:t>
            </w:r>
          </w:p>
        </w:tc>
        <w:tc>
          <w:tcPr>
            <w:tcW w:w="3609" w:type="dxa"/>
            <w:shd w:val="clear" w:color="auto" w:fill="auto"/>
            <w:vAlign w:val="center"/>
          </w:tcPr>
          <w:p>
            <w:pPr>
              <w:jc w:val="center"/>
              <w:rPr>
                <w:i/>
                <w:iCs/>
                <w:noProof/>
                <w:color w:val="000000"/>
                <w:sz w:val="20"/>
              </w:rPr>
            </w:pPr>
            <w:r>
              <w:rPr>
                <w:i/>
                <w:iCs/>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Bulgārija</w:t>
            </w:r>
          </w:p>
        </w:tc>
        <w:tc>
          <w:tcPr>
            <w:tcW w:w="3609" w:type="dxa"/>
            <w:shd w:val="clear" w:color="auto" w:fill="auto"/>
            <w:vAlign w:val="center"/>
          </w:tcPr>
          <w:p>
            <w:pPr>
              <w:jc w:val="center"/>
              <w:rPr>
                <w:i/>
                <w:iCs/>
                <w:noProof/>
                <w:color w:val="000000"/>
                <w:sz w:val="20"/>
              </w:rPr>
            </w:pPr>
            <w:r>
              <w:rPr>
                <w:i/>
                <w:iCs/>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Dānija</w:t>
            </w:r>
          </w:p>
        </w:tc>
        <w:tc>
          <w:tcPr>
            <w:tcW w:w="3609" w:type="dxa"/>
            <w:shd w:val="clear" w:color="auto" w:fill="auto"/>
            <w:vAlign w:val="center"/>
          </w:tcPr>
          <w:p>
            <w:pPr>
              <w:jc w:val="center"/>
              <w:rPr>
                <w:i/>
                <w:iCs/>
                <w:noProof/>
                <w:color w:val="000000"/>
                <w:sz w:val="20"/>
              </w:rPr>
            </w:pPr>
            <w:r>
              <w:rPr>
                <w:i/>
                <w:iCs/>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Vācija</w:t>
            </w:r>
          </w:p>
        </w:tc>
        <w:tc>
          <w:tcPr>
            <w:tcW w:w="3609" w:type="dxa"/>
            <w:shd w:val="clear" w:color="auto" w:fill="auto"/>
            <w:vAlign w:val="center"/>
          </w:tcPr>
          <w:p>
            <w:pPr>
              <w:jc w:val="center"/>
              <w:rPr>
                <w:i/>
                <w:iCs/>
                <w:noProof/>
                <w:color w:val="000000"/>
                <w:sz w:val="20"/>
              </w:rPr>
            </w:pPr>
            <w:r>
              <w:rPr>
                <w:i/>
                <w:iCs/>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Igaunija</w:t>
            </w:r>
          </w:p>
        </w:tc>
        <w:tc>
          <w:tcPr>
            <w:tcW w:w="3609" w:type="dxa"/>
            <w:shd w:val="clear" w:color="auto" w:fill="auto"/>
            <w:vAlign w:val="center"/>
          </w:tcPr>
          <w:p>
            <w:pPr>
              <w:jc w:val="center"/>
              <w:rPr>
                <w:i/>
                <w:iCs/>
                <w:noProof/>
                <w:color w:val="000000"/>
                <w:sz w:val="20"/>
              </w:rPr>
            </w:pPr>
            <w:r>
              <w:rPr>
                <w:i/>
                <w:iCs/>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lastRenderedPageBreak/>
              <w:t>Īrija</w:t>
            </w:r>
          </w:p>
        </w:tc>
        <w:tc>
          <w:tcPr>
            <w:tcW w:w="3609" w:type="dxa"/>
            <w:shd w:val="clear" w:color="auto" w:fill="auto"/>
            <w:vAlign w:val="center"/>
          </w:tcPr>
          <w:p>
            <w:pPr>
              <w:jc w:val="center"/>
              <w:rPr>
                <w:noProof/>
                <w:color w:val="000000"/>
                <w:sz w:val="20"/>
              </w:rPr>
            </w:pPr>
            <w:r>
              <w:rPr>
                <w:i/>
                <w:iCs/>
                <w:noProof/>
                <w:color w:val="000000"/>
                <w:sz w:val="20"/>
              </w:rPr>
              <w:t>Houses of the</w:t>
            </w:r>
            <w:r>
              <w:rPr>
                <w:noProof/>
                <w:color w:val="000000"/>
                <w:sz w:val="20"/>
              </w:rPr>
              <w:t xml:space="preserve"> </w:t>
            </w:r>
            <w:r>
              <w:rPr>
                <w:i/>
                <w:iCs/>
                <w:noProof/>
                <w:color w:val="000000"/>
                <w:sz w:val="20"/>
              </w:rPr>
              <w:t>Oireachtas:</w:t>
            </w:r>
            <w:r>
              <w:rPr>
                <w:noProof/>
                <w:color w:val="000000"/>
                <w:sz w:val="20"/>
              </w:rPr>
              <w:br/>
            </w:r>
            <w:r>
              <w:rPr>
                <w:i/>
                <w:iCs/>
                <w:noProof/>
                <w:color w:val="000000"/>
                <w:sz w:val="20"/>
              </w:rPr>
              <w:t>Dáil</w:t>
            </w:r>
            <w:r>
              <w:rPr>
                <w:noProof/>
                <w:color w:val="000000"/>
                <w:sz w:val="20"/>
              </w:rPr>
              <w:t xml:space="preserve"> un </w:t>
            </w:r>
            <w:r>
              <w:rPr>
                <w:i/>
                <w:iCs/>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Grieķija</w:t>
            </w:r>
          </w:p>
        </w:tc>
        <w:tc>
          <w:tcPr>
            <w:tcW w:w="3609" w:type="dxa"/>
            <w:shd w:val="clear" w:color="auto" w:fill="auto"/>
            <w:vAlign w:val="center"/>
          </w:tcPr>
          <w:p>
            <w:pPr>
              <w:jc w:val="center"/>
              <w:rPr>
                <w:i/>
                <w:iCs/>
                <w:noProof/>
                <w:color w:val="000000"/>
                <w:sz w:val="20"/>
              </w:rPr>
            </w:pPr>
            <w:r>
              <w:rPr>
                <w:i/>
                <w:iCs/>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Horvātija</w:t>
            </w:r>
          </w:p>
        </w:tc>
        <w:tc>
          <w:tcPr>
            <w:tcW w:w="3609" w:type="dxa"/>
            <w:shd w:val="clear" w:color="auto" w:fill="auto"/>
            <w:vAlign w:val="center"/>
          </w:tcPr>
          <w:p>
            <w:pPr>
              <w:jc w:val="center"/>
              <w:rPr>
                <w:i/>
                <w:iCs/>
                <w:noProof/>
                <w:color w:val="000000"/>
                <w:sz w:val="20"/>
              </w:rPr>
            </w:pPr>
            <w:r>
              <w:rPr>
                <w:i/>
                <w:iCs/>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Kipra</w:t>
            </w:r>
          </w:p>
        </w:tc>
        <w:tc>
          <w:tcPr>
            <w:tcW w:w="3609" w:type="dxa"/>
            <w:shd w:val="clear" w:color="auto" w:fill="auto"/>
            <w:vAlign w:val="center"/>
          </w:tcPr>
          <w:p>
            <w:pPr>
              <w:jc w:val="center"/>
              <w:rPr>
                <w:i/>
                <w:iCs/>
                <w:noProof/>
                <w:color w:val="000000"/>
                <w:sz w:val="20"/>
              </w:rPr>
            </w:pPr>
            <w:r>
              <w:rPr>
                <w:i/>
                <w:iCs/>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Latvija</w:t>
            </w:r>
          </w:p>
        </w:tc>
        <w:tc>
          <w:tcPr>
            <w:tcW w:w="3609" w:type="dxa"/>
            <w:shd w:val="clear" w:color="auto" w:fill="auto"/>
            <w:vAlign w:val="center"/>
          </w:tcPr>
          <w:p>
            <w:pPr>
              <w:jc w:val="center"/>
              <w:rPr>
                <w:i/>
                <w:iCs/>
                <w:noProof/>
                <w:color w:val="000000"/>
                <w:sz w:val="20"/>
              </w:rPr>
            </w:pPr>
            <w:r>
              <w:rPr>
                <w:i/>
                <w:iCs/>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Luksemburga</w:t>
            </w:r>
          </w:p>
        </w:tc>
        <w:tc>
          <w:tcPr>
            <w:tcW w:w="3609" w:type="dxa"/>
            <w:shd w:val="clear" w:color="auto" w:fill="auto"/>
            <w:vAlign w:val="center"/>
          </w:tcPr>
          <w:p>
            <w:pPr>
              <w:jc w:val="center"/>
              <w:rPr>
                <w:i/>
                <w:iCs/>
                <w:noProof/>
                <w:color w:val="000000"/>
                <w:sz w:val="20"/>
              </w:rPr>
            </w:pPr>
            <w:r>
              <w:rPr>
                <w:i/>
                <w:iCs/>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Austrija</w:t>
            </w:r>
          </w:p>
        </w:tc>
        <w:tc>
          <w:tcPr>
            <w:tcW w:w="3609" w:type="dxa"/>
            <w:shd w:val="clear" w:color="auto" w:fill="auto"/>
            <w:vAlign w:val="center"/>
          </w:tcPr>
          <w:p>
            <w:pPr>
              <w:jc w:val="center"/>
              <w:rPr>
                <w:i/>
                <w:iCs/>
                <w:noProof/>
                <w:color w:val="000000"/>
                <w:sz w:val="20"/>
              </w:rPr>
            </w:pPr>
            <w:r>
              <w:rPr>
                <w:i/>
                <w:iCs/>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Austrija</w:t>
            </w:r>
          </w:p>
        </w:tc>
        <w:tc>
          <w:tcPr>
            <w:tcW w:w="3609" w:type="dxa"/>
            <w:shd w:val="clear" w:color="auto" w:fill="auto"/>
            <w:vAlign w:val="center"/>
          </w:tcPr>
          <w:p>
            <w:pPr>
              <w:jc w:val="center"/>
              <w:rPr>
                <w:i/>
                <w:iCs/>
                <w:noProof/>
                <w:color w:val="000000"/>
                <w:sz w:val="20"/>
              </w:rPr>
            </w:pPr>
            <w:r>
              <w:rPr>
                <w:i/>
                <w:iCs/>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Slovēnija</w:t>
            </w:r>
          </w:p>
        </w:tc>
        <w:tc>
          <w:tcPr>
            <w:tcW w:w="3609" w:type="dxa"/>
            <w:shd w:val="clear" w:color="auto" w:fill="auto"/>
            <w:vAlign w:val="center"/>
          </w:tcPr>
          <w:p>
            <w:pPr>
              <w:jc w:val="center"/>
              <w:rPr>
                <w:i/>
                <w:iCs/>
                <w:noProof/>
                <w:color w:val="000000"/>
                <w:sz w:val="20"/>
              </w:rPr>
            </w:pPr>
            <w:r>
              <w:rPr>
                <w:i/>
                <w:iCs/>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Slovēnija</w:t>
            </w:r>
          </w:p>
        </w:tc>
        <w:tc>
          <w:tcPr>
            <w:tcW w:w="3609" w:type="dxa"/>
            <w:shd w:val="clear" w:color="auto" w:fill="auto"/>
            <w:vAlign w:val="center"/>
          </w:tcPr>
          <w:p>
            <w:pPr>
              <w:jc w:val="center"/>
              <w:rPr>
                <w:i/>
                <w:iCs/>
                <w:noProof/>
                <w:color w:val="000000"/>
                <w:sz w:val="20"/>
              </w:rPr>
            </w:pPr>
            <w:r>
              <w:rPr>
                <w:i/>
                <w:iCs/>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Somija</w:t>
            </w:r>
          </w:p>
        </w:tc>
        <w:tc>
          <w:tcPr>
            <w:tcW w:w="3609" w:type="dxa"/>
            <w:shd w:val="clear" w:color="auto" w:fill="auto"/>
            <w:vAlign w:val="center"/>
          </w:tcPr>
          <w:p>
            <w:pPr>
              <w:jc w:val="center"/>
              <w:rPr>
                <w:i/>
                <w:iCs/>
                <w:noProof/>
                <w:color w:val="000000"/>
                <w:sz w:val="20"/>
              </w:rPr>
            </w:pPr>
            <w:r>
              <w:rPr>
                <w:i/>
                <w:iCs/>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Apvienotā Karaliste</w:t>
            </w:r>
          </w:p>
        </w:tc>
        <w:tc>
          <w:tcPr>
            <w:tcW w:w="3609" w:type="dxa"/>
            <w:shd w:val="clear" w:color="auto" w:fill="auto"/>
            <w:vAlign w:val="center"/>
          </w:tcPr>
          <w:p>
            <w:pPr>
              <w:jc w:val="center"/>
              <w:rPr>
                <w:noProof/>
                <w:color w:val="000000"/>
                <w:sz w:val="20"/>
              </w:rPr>
            </w:pPr>
            <w:r>
              <w:rPr>
                <w:i/>
                <w:iCs/>
                <w:noProof/>
                <w:color w:val="000000"/>
                <w:sz w:val="20"/>
              </w:rPr>
              <w:t>House of Commons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KOPĀ</w:t>
            </w:r>
          </w:p>
        </w:tc>
        <w:tc>
          <w:tcPr>
            <w:tcW w:w="1660" w:type="dxa"/>
            <w:shd w:val="clear" w:color="auto" w:fill="auto"/>
          </w:tcPr>
          <w:p>
            <w:pPr>
              <w:jc w:val="center"/>
              <w:rPr>
                <w:b/>
                <w:noProof/>
                <w:sz w:val="20"/>
              </w:rPr>
            </w:pPr>
            <w:r>
              <w:rPr>
                <w:b/>
                <w:noProof/>
                <w:sz w:val="20"/>
              </w:rPr>
              <w:t>159</w:t>
            </w:r>
          </w:p>
        </w:tc>
        <w:tc>
          <w:tcPr>
            <w:tcW w:w="2364" w:type="dxa"/>
            <w:shd w:val="clear" w:color="auto" w:fill="auto"/>
          </w:tcPr>
          <w:p>
            <w:pPr>
              <w:jc w:val="center"/>
              <w:rPr>
                <w:b/>
                <w:noProof/>
                <w:sz w:val="20"/>
              </w:rPr>
            </w:pPr>
            <w:r>
              <w:rPr>
                <w:b/>
                <w:noProof/>
                <w:sz w:val="20"/>
              </w:rPr>
              <w:t>0</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2. PIELIKUMS</w:t>
      </w:r>
    </w:p>
    <w:p>
      <w:pPr>
        <w:spacing w:after="240"/>
        <w:jc w:val="center"/>
        <w:rPr>
          <w:b/>
          <w:noProof/>
        </w:rPr>
      </w:pPr>
      <w:r>
        <w:rPr>
          <w:b/>
          <w:noProof/>
        </w:rPr>
        <w:t>Komisijas dokumenti, par kuriem Komisija 2019. gadā saņēma visvairāk atzinumu</w:t>
      </w:r>
      <w:r>
        <w:rPr>
          <w:rStyle w:val="FootnoteReference"/>
          <w:noProof/>
        </w:rPr>
        <w:footnoteReference w:id="4"/>
      </w:r>
      <w:r>
        <w:rPr>
          <w:b/>
          <w:noProof/>
        </w:rPr>
        <w:t xml:space="preserve"> (politiskais dialogs un subsidiaritātes kontroles mehānisms)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Komisijas</w:t>
            </w:r>
            <w:r>
              <w:rPr>
                <w:b/>
                <w:bCs/>
                <w:noProof/>
                <w:color w:val="000000"/>
                <w:sz w:val="22"/>
                <w:szCs w:val="22"/>
              </w:rPr>
              <w:br/>
              <w:t>dokuments</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Nosaukums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Atzinumu</w:t>
            </w:r>
            <w:r>
              <w:rPr>
                <w:b/>
                <w:bCs/>
                <w:noProof/>
                <w:color w:val="000000"/>
                <w:sz w:val="22"/>
                <w:szCs w:val="22"/>
              </w:rPr>
              <w:br/>
              <w:t>kopējais</w:t>
            </w:r>
            <w:r>
              <w:rPr>
                <w:b/>
                <w:bCs/>
                <w:noProof/>
                <w:color w:val="000000"/>
                <w:sz w:val="22"/>
                <w:szCs w:val="22"/>
              </w:rPr>
              <w:br/>
              <w:t>skaits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Pamatoto</w:t>
            </w:r>
            <w:r>
              <w:rPr>
                <w:b/>
                <w:bCs/>
                <w:noProof/>
                <w:color w:val="000000"/>
                <w:sz w:val="22"/>
                <w:szCs w:val="22"/>
              </w:rPr>
              <w:br/>
              <w:t>atzinumu</w:t>
            </w:r>
            <w:r>
              <w:rPr>
                <w:b/>
                <w:bCs/>
                <w:noProof/>
                <w:color w:val="000000"/>
                <w:sz w:val="22"/>
                <w:szCs w:val="22"/>
              </w:rPr>
              <w:br/>
              <w:t>skaits</w:t>
            </w:r>
            <w:r>
              <w:rPr>
                <w:b/>
                <w:bCs/>
                <w:noProof/>
                <w:color w:val="000000"/>
                <w:sz w:val="22"/>
                <w:szCs w:val="22"/>
              </w:rPr>
              <w:br/>
              <w:t>(Protokols Nr.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COM(2018) 703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Paziņojums Eiropas Parlamentam, Eiropadomei, Padomei, Eiropas Ekonomikas un sociālo lietu komitejai un Reģionu komitejai “Subsidiaritātes un proporcionalitātes principi — to nozīmes stiprināšana ES politikas veidošanā”</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22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Pārdomu dokuments “Ceļā uz ilgtspējīgu Eiropu 2030. gadā”</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COM(2018) 800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Paziņojums Eiropas Parlamentam, Padomei, Eiropas Ekonomikas un sociālo lietu komitejai un Reģionu komitejai “Komisijas 2019. gada darba programma. Solījumu izpilde un gatavošanās nākotnei”</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COM(2019) 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rStyle w:val="iceouttxt38"/>
                <w:noProof/>
                <w:color w:val="494949"/>
                <w:sz w:val="22"/>
                <w:szCs w:val="22"/>
              </w:rPr>
              <w:t>Paziņojums Eiropas Parlamentam, Eiropadomei un Padomei “Virzība uz efektīvāku un demokrātiskāku lēmumu pieņemšanu ES nodokļu politikā”</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COM(2019) 163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rStyle w:val="iceouttxt38"/>
                <w:noProof/>
                <w:color w:val="494949"/>
                <w:sz w:val="22"/>
                <w:szCs w:val="22"/>
              </w:rPr>
              <w:t>Paziņojums Eiropas Parlamentam, Eiropadomei un Padomei “Tiesiskuma turpmāka stiprināšana Savienībā. Pašreizējā situācija un iespējamie turpmākie pasākumi”</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4</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Kopējais skaits ietver gan atzinumus saskaņā ar “politisko dialogu”, gan pamatotos atzinumus, kas saņemti no valstu parlamentiem.</w:t>
      </w:r>
    </w:p>
  </w:footnote>
  <w:footnote w:id="2">
    <w:p>
      <w:pPr>
        <w:pStyle w:val="FootnoteText"/>
        <w:ind w:left="284" w:hanging="284"/>
      </w:pPr>
      <w:r>
        <w:rPr>
          <w:rStyle w:val="FootnoteReference"/>
        </w:rPr>
        <w:footnoteRef/>
      </w:r>
      <w:r>
        <w:t xml:space="preserve"> </w:t>
      </w:r>
      <w:r>
        <w:tab/>
        <w:t>Visi astoņi atzinumi bija kopīgie atzinumi no abām palātām.</w:t>
      </w:r>
    </w:p>
  </w:footnote>
  <w:footnote w:id="3">
    <w:p>
      <w:pPr>
        <w:pStyle w:val="FootnoteText"/>
        <w:ind w:left="284" w:hanging="284"/>
      </w:pPr>
      <w:r>
        <w:rPr>
          <w:rStyle w:val="FootnoteReference"/>
        </w:rPr>
        <w:footnoteRef/>
      </w:r>
      <w:r>
        <w:t xml:space="preserve"> </w:t>
      </w:r>
      <w:r>
        <w:tab/>
        <w:t xml:space="preserve">Uz šiem atzinumiem netika gaidīta Komisijas atbilde. </w:t>
      </w:r>
    </w:p>
  </w:footnote>
  <w:footnote w:id="4">
    <w:p>
      <w:pPr>
        <w:pStyle w:val="FootnoteText"/>
        <w:tabs>
          <w:tab w:val="left" w:pos="284"/>
        </w:tabs>
        <w:ind w:left="284" w:hanging="284"/>
      </w:pPr>
      <w:r>
        <w:rPr>
          <w:rStyle w:val="FootnoteReference"/>
        </w:rPr>
        <w:footnoteRef/>
      </w:r>
      <w:r>
        <w:t xml:space="preserve"> </w:t>
      </w:r>
      <w:r>
        <w:tab/>
        <w:t xml:space="preserve">Tabulā ir sarindoti visi Komisijas dokumenti, par kuriem tika saņemti vismaz </w:t>
      </w:r>
      <w:r>
        <w:rPr>
          <w:u w:val="single"/>
        </w:rPr>
        <w:t>četri</w:t>
      </w:r>
      <w:r>
        <w:t xml:space="preserve"> atzinumi. Dažos gadījumos atzinums attiecās arī uz citiem Komisijas dokumentiem. Ir vērts atzīmēt, ka neviens tiesību akta priekšlikums 2019. gadā nesasniedza šo četru atzinumu slieksni.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
    <w:docVar w:name="LW_ANNEX_NBR_FIRST" w:val="1"/>
    <w:docVar w:name="LW_ANNEX_NBR_LAST" w:val="2"/>
    <w:docVar w:name="LW_ANNEX_UNIQUE" w:val="0"/>
    <w:docVar w:name="LW_CORRIGENDUM" w:val="&lt;UNUSED&gt;"/>
    <w:docVar w:name="LW_COVERPAGE_EXISTS" w:val="True"/>
    <w:docVar w:name="LW_COVERPAGE_GUID" w:val="3948DADE-B5BA-40D0-9C84-F15F9F4F2E0E"/>
    <w:docVar w:name="LW_COVERPAGE_TYPE" w:val="1"/>
    <w:docVar w:name="LW_CROSSREFERENCE" w:val="&lt;UNUSED&gt;"/>
    <w:docVar w:name="LW_DocType" w:val="REP"/>
    <w:docVar w:name="LW_EMISSION" w:val="30.6.2020"/>
    <w:docVar w:name="LW_EMISSION_ISODATE" w:val="2020-06-30"/>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2019. GADA ZI\u325?OJUMS_x000d__x000d__x000d__x000b_PAR SUBSIDIARIT\u256?TES PRINCIPA UN PROPORCIONALIT\u256?TES PRINCIPA PIEM\u274?RO\u352?ANU UN PAR ATTIEC\u298?B\u256?M AR VALSTU PARLAMENTIEM"/>
    <w:docVar w:name="LW_PART_NBR" w:val="&lt;UNUSED&gt;"/>
    <w:docVar w:name="LW_PART_NBR_TOTAL" w:val="&lt;UNUSED&gt;"/>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I_x000b_"/>
    <w:docVar w:name="LW_TYPEACTEPRINCIPAL.CP" w:val="KOMISIJAS ZI\u325?OJUMS"/>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SecurityMarking">
    <w:name w:val="SecurityMarking"/>
    <w:basedOn w:val="Normal"/>
    <w:pPr>
      <w:spacing w:line="276" w:lineRule="auto"/>
      <w:ind w:left="5103"/>
      <w:jc w:val="left"/>
    </w:pPr>
    <w:rPr>
      <w:rFonts w:eastAsiaTheme="minorHAnsi"/>
      <w:sz w:val="28"/>
      <w:szCs w:val="22"/>
    </w:rPr>
  </w:style>
  <w:style w:type="paragraph" w:customStyle="1" w:styleId="DateMarking">
    <w:name w:val="DateMarking"/>
    <w:basedOn w:val="Normal"/>
    <w:pPr>
      <w:spacing w:line="276" w:lineRule="auto"/>
      <w:ind w:left="5103"/>
      <w:jc w:val="left"/>
    </w:pPr>
    <w:rPr>
      <w:rFonts w:eastAsiaTheme="minorHAnsi"/>
      <w:i/>
      <w:sz w:val="28"/>
      <w:szCs w:val="22"/>
    </w:rPr>
  </w:style>
  <w:style w:type="paragraph" w:customStyle="1" w:styleId="ReleasableTo">
    <w:name w:val="ReleasableTo"/>
    <w:basedOn w:val="Normal"/>
    <w:pPr>
      <w:spacing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4.6</Version>
    <Date>2018-08-29T12:28:07</Date>
    <Language>EN</Language>
  </Created>
  <Edited>
    <Version>10.0.39616.0</Version>
    <Date>2020-06-24T15:46:03</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185D78C-AD8C-44D8-9F36-C303026A0844}">
  <ds:schemaRefs/>
</ds:datastoreItem>
</file>

<file path=customXml/itemProps3.xml><?xml version="1.0" encoding="utf-8"?>
<ds:datastoreItem xmlns:ds="http://schemas.openxmlformats.org/officeDocument/2006/customXml" ds:itemID="{E0D61C8E-61D8-48E1-A8A1-D7C9F052D3FF}">
  <ds:schemaRefs/>
</ds:datastoreItem>
</file>

<file path=customXml/itemProps4.xml><?xml version="1.0" encoding="utf-8"?>
<ds:datastoreItem xmlns:ds="http://schemas.openxmlformats.org/officeDocument/2006/customXml" ds:itemID="{CA61391D-D9E2-4DF7-9443-55CE427A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404</Words>
  <Characters>2305</Characters>
  <Application>Microsoft Office Word</Application>
  <DocSecurity>0</DocSecurity>
  <PresentationFormat>Microsoft Word 14.0</PresentationFormat>
  <Lines>256</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Therace</dc:creator>
  <cp:keywords>EL4</cp:keywords>
  <cp:lastModifiedBy>DIGIT/C6</cp:lastModifiedBy>
  <cp:revision>10</cp:revision>
  <cp:lastPrinted>2020-02-19T06:37:00Z</cp:lastPrinted>
  <dcterms:created xsi:type="dcterms:W3CDTF">2020-02-28T10:53:00Z</dcterms:created>
  <dcterms:modified xsi:type="dcterms:W3CDTF">2020-06-25T19:37:00Z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7.0.1, Build 20190916</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DocStatus">
    <vt:lpwstr>Green</vt:lpwstr>
  </property>
  <property fmtid="{D5CDD505-2E9C-101B-9397-08002B2CF9AE}" pid="12" name="CPTemplateID">
    <vt:lpwstr>CP-039</vt:lpwstr>
  </property>
  <property fmtid="{D5CDD505-2E9C-101B-9397-08002B2CF9AE}" pid="13" name="_LW_INVALIDATED__LW_INVALIDATED__LW_INVALIDATED_TemplateVersion">
    <vt:lpwstr>4.6.5.0000</vt:lpwstr>
  </property>
  <property fmtid="{D5CDD505-2E9C-101B-9397-08002B2CF9AE}" pid="14" name="_LW_INVALIDATED__LW_INVALIDATED__LW_INVALIDATED_EurolookVersion">
    <vt:lpwstr>4.6</vt:lpwstr>
  </property>
  <property fmtid="{D5CDD505-2E9C-101B-9397-08002B2CF9AE}" pid="15" name="_LW_INVALIDATED__LW_INVALIDATED__LW_INVALIDATED_DocID_EU">
    <vt:lpwstr> </vt:lpwstr>
  </property>
  <property fmtid="{D5CDD505-2E9C-101B-9397-08002B2CF9AE}" pid="16" name="_LW_INVALIDATED__LW_INVALIDATED__LW_INVALIDATED_ELDocType">
    <vt:lpwstr>rep.dot</vt:lpwstr>
  </property>
  <property fmtid="{D5CDD505-2E9C-101B-9397-08002B2CF9AE}" pid="17" name="_LW_INVALIDATED__LW_INVALIDATED__LW_INVALIDATED_Formatting">
    <vt:lpwstr>4.1</vt:lpwstr>
  </property>
  <property fmtid="{D5CDD505-2E9C-101B-9397-08002B2CF9AE}" pid="18" name="_LW_INVALIDATED__LW_INVALIDATED__LW_INVALIDATED_EL_Author">
    <vt:lpwstr>Christine Therace</vt:lpwstr>
  </property>
  <property fmtid="{D5CDD505-2E9C-101B-9397-08002B2CF9AE}" pid="19" name="_LW_INVALIDATED__LW_INVALIDATED__LW_INVALIDATED_Type">
    <vt:lpwstr>Eurolook Report</vt:lpwstr>
  </property>
  <property fmtid="{D5CDD505-2E9C-101B-9397-08002B2CF9AE}" pid="20" name="_LW_INVALIDATED__LW_INVALIDATED__LW_INVALIDATED_EL_Language">
    <vt:lpwstr>EN</vt:lpwstr>
  </property>
</Properties>
</file>