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456026166"/>
      <w:bookmarkStart w:id="1"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alt="7530783A-4C6E-4462-B5CF-5E7C8CFE7F52" style="width:450.75pt;height:293.25pt">
            <v:imagedata r:id="rId12" o:title=""/>
          </v:shape>
        </w:pict>
      </w:r>
    </w:p>
    <w:bookmarkEnd w:id="1"/>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fmt="numberInDash" w:start="1"/>
          <w:cols w:space="720"/>
          <w:docGrid w:linePitch="326"/>
        </w:sectPr>
      </w:pPr>
    </w:p>
    <w:p>
      <w:pPr>
        <w:pStyle w:val="Heading1"/>
        <w:numPr>
          <w:ilvl w:val="0"/>
          <w:numId w:val="21"/>
        </w:numPr>
        <w:tabs>
          <w:tab w:val="left" w:pos="720"/>
        </w:tabs>
        <w:spacing w:before="0" w:after="120" w:line="276" w:lineRule="auto"/>
        <w:rPr>
          <w:noProof/>
        </w:rPr>
      </w:pPr>
      <w:bookmarkStart w:id="2" w:name="_Toc494974436"/>
      <w:bookmarkStart w:id="3" w:name="_Toc524523057"/>
      <w:bookmarkStart w:id="4" w:name="_GoBack"/>
      <w:bookmarkEnd w:id="0"/>
      <w:bookmarkEnd w:id="4"/>
      <w:r>
        <w:rPr>
          <w:noProof/>
        </w:rPr>
        <w:lastRenderedPageBreak/>
        <w:t>Wprowadzenie</w:t>
      </w:r>
      <w:bookmarkEnd w:id="2"/>
      <w:bookmarkEnd w:id="3"/>
    </w:p>
    <w:p>
      <w:pPr>
        <w:spacing w:after="120" w:line="276" w:lineRule="auto"/>
        <w:jc w:val="both"/>
        <w:rPr>
          <w:noProof/>
          <w:highlight w:val="yellow"/>
        </w:rPr>
      </w:pPr>
      <w:r>
        <w:rPr>
          <w:noProof/>
        </w:rPr>
        <w:t>W niniejszym sprawozdaniu przedstawiono długoterminową prognozę przyszłych wpływów i wypływów obejmującą kolejne pięć lat (2021–2025) zgodnie z wymogami art. 247 ust. 1 lit. c) rozporządzenia finansowego</w:t>
      </w:r>
      <w:r>
        <w:rPr>
          <w:rStyle w:val="FootnoteReference"/>
          <w:noProof/>
        </w:rPr>
        <w:footnoteReference w:id="2"/>
      </w:r>
      <w:r>
        <w:rPr>
          <w:noProof/>
        </w:rPr>
        <w:t>. W analizie uwzględniono zasady oraz warunki określone w Umowie o wystąpieniu Zjednoczonego Królestwa Wielkiej Brytanii i Irlandii Północnej z Unii Europejskiej i Europejskiej Wspólnoty Energii Atomowej</w:t>
      </w:r>
      <w:r>
        <w:rPr>
          <w:rStyle w:val="FootnoteReference"/>
          <w:noProof/>
          <w:lang w:eastAsia="ko-KR"/>
        </w:rPr>
        <w:footnoteReference w:id="3"/>
      </w:r>
      <w:r>
        <w:rPr>
          <w:noProof/>
        </w:rPr>
        <w:t xml:space="preserve"> (zwanej dalej „Umową o wystąpieniu”).</w:t>
      </w:r>
    </w:p>
    <w:p>
      <w:pPr>
        <w:spacing w:after="120" w:line="276" w:lineRule="auto"/>
        <w:jc w:val="both"/>
        <w:rPr>
          <w:noProof/>
        </w:rPr>
      </w:pPr>
      <w:r>
        <w:rPr>
          <w:noProof/>
        </w:rPr>
        <w:t>Sytuacja społeczno-gospodarcza w UE uległa znacznemu pogorszeniu w wyniku pandemii COVID-19. W związku z tym w dniu 27 maja 2020 r.</w:t>
      </w:r>
      <w:r>
        <w:rPr>
          <w:rStyle w:val="FootnoteReference"/>
          <w:noProof/>
        </w:rPr>
        <w:footnoteReference w:id="4"/>
      </w:r>
      <w:r>
        <w:rPr>
          <w:noProof/>
        </w:rPr>
        <w:t xml:space="preserve"> Komisja przedstawiła zmieniony wniosek w sprawie wzmocnionych wieloletnich ram finansowych (WRF) na lata 2021–2027 oraz ambitny plan odbudowy. W niniejszym sprawozdaniu dotyczącym prognozy przedstawiono szacunki dotyczące wypływów wydatków w ramach pułapów określonych w kolejnych wieloletnich ramach finansowych oraz odpowiadających im wpływów dochodów w ciągu najbliższych pięciu lat na podstawie zmienionego wniosku w sprawie WRF z maja 2020 r. </w:t>
      </w:r>
    </w:p>
    <w:p>
      <w:pPr>
        <w:spacing w:after="120" w:line="276" w:lineRule="auto"/>
        <w:jc w:val="both"/>
        <w:rPr>
          <w:noProof/>
        </w:rPr>
      </w:pPr>
      <w:r>
        <w:rPr>
          <w:noProof/>
        </w:rPr>
        <w:t>W porównaniu z ubiegłoroczną prognozą</w:t>
      </w:r>
      <w:r>
        <w:rPr>
          <w:rStyle w:val="FootnoteReference"/>
          <w:noProof/>
        </w:rPr>
        <w:footnoteReference w:id="5"/>
      </w:r>
      <w:r>
        <w:rPr>
          <w:noProof/>
        </w:rPr>
        <w:t>, która obejmowała lata 2020–2024, niniejsza nowa prognoza obejmuje jeden dodatkowy rok (2025). Zaktualizowano szacunki dotyczące płatności z tytułu zobowiązań wynikających z obecnych ram finansowych, aby uwzględnić faktyczne wyniki wykonania budżetu na 2019 r., budżet na 2020 r. wraz z budżetami korygującymi nr 1</w:t>
      </w:r>
      <w:r>
        <w:rPr>
          <w:rStyle w:val="FootnoteReference"/>
          <w:noProof/>
        </w:rPr>
        <w:t xml:space="preserve"> </w:t>
      </w:r>
      <w:r>
        <w:rPr>
          <w:noProof/>
        </w:rPr>
        <w:t>i nr°2 oraz projekty budżetów korygujących od nr 3 do nr 6</w:t>
      </w:r>
      <w:r>
        <w:rPr>
          <w:rStyle w:val="FootnoteReference"/>
          <w:noProof/>
        </w:rPr>
        <w:footnoteReference w:id="6"/>
      </w:r>
      <w:r>
        <w:rPr>
          <w:noProof/>
        </w:rPr>
        <w:t xml:space="preserve"> i projekt budżetu na 2021 r.</w:t>
      </w:r>
      <w:r>
        <w:rPr>
          <w:rStyle w:val="FootnoteReference"/>
          <w:noProof/>
        </w:rPr>
        <w:footnoteReference w:id="7"/>
      </w:r>
      <w:r>
        <w:rPr>
          <w:noProof/>
        </w:rPr>
        <w:t xml:space="preserve">. </w:t>
      </w:r>
    </w:p>
    <w:p>
      <w:pPr>
        <w:spacing w:after="120" w:line="276" w:lineRule="auto"/>
        <w:jc w:val="both"/>
        <w:rPr>
          <w:noProof/>
        </w:rPr>
      </w:pPr>
      <w:r>
        <w:rPr>
          <w:noProof/>
        </w:rPr>
        <w:t>Płatności związane ze zobowiązaniami po 2021 r., zważywszy, że negocjacje w sprawie wieloletnich ram finansowych na lata 2021–2027 są w toku, są spójne z parametrami wynikającymi ze stanu negocjacji oraz z wniosku Komisji dotyczącego przyszłego okresu finansowego w wersji zmienionej w tym roku.</w:t>
      </w:r>
    </w:p>
    <w:p>
      <w:pPr>
        <w:pStyle w:val="Heading1"/>
        <w:numPr>
          <w:ilvl w:val="0"/>
          <w:numId w:val="21"/>
        </w:numPr>
        <w:tabs>
          <w:tab w:val="left" w:pos="720"/>
        </w:tabs>
        <w:spacing w:before="0" w:after="120" w:line="276" w:lineRule="auto"/>
        <w:rPr>
          <w:noProof/>
        </w:rPr>
      </w:pPr>
      <w:bookmarkStart w:id="5" w:name="_Toc494974438"/>
      <w:bookmarkStart w:id="6" w:name="_Toc524523058"/>
      <w:r>
        <w:rPr>
          <w:noProof/>
        </w:rPr>
        <w:t>Wyniki prognozy</w:t>
      </w:r>
      <w:bookmarkEnd w:id="5"/>
      <w:bookmarkEnd w:id="6"/>
    </w:p>
    <w:p>
      <w:pPr>
        <w:spacing w:after="120" w:line="276" w:lineRule="auto"/>
        <w:jc w:val="both"/>
        <w:rPr>
          <w:noProof/>
        </w:rPr>
      </w:pPr>
      <w:r>
        <w:rPr>
          <w:noProof/>
        </w:rPr>
        <w:t>Ogólnie rzecz biorąc, oczekuje się, że w ciągu pierwszych pięciu lat obowiązywania kolejnych ram finansowych płatności wyniosą 866 mld EUR. Kwota ta nie jest równomiernie rozłożona na poszczególne lata, lecz pokrywa się z oczekiwaną ewolucją: 1) stopniowego wprowadzania płatności z tytułu nowych programów wydatków (około 67% płatności ogółem przez 5 lat) oraz 2) płatności z tytułu zobowiązań pozostających do spłaty za okres 2014–2020 (pozostałe 33% płatności).</w:t>
      </w:r>
    </w:p>
    <w:p>
      <w:pPr>
        <w:pStyle w:val="Heading2"/>
        <w:keepNext w:val="0"/>
        <w:numPr>
          <w:ilvl w:val="1"/>
          <w:numId w:val="21"/>
        </w:numPr>
        <w:tabs>
          <w:tab w:val="left" w:pos="720"/>
        </w:tabs>
        <w:spacing w:after="120" w:line="276" w:lineRule="auto"/>
        <w:ind w:left="788" w:hanging="431"/>
        <w:rPr>
          <w:noProof/>
        </w:rPr>
      </w:pPr>
      <w:bookmarkStart w:id="7" w:name="_Toc524523059"/>
      <w:r>
        <w:rPr>
          <w:noProof/>
        </w:rPr>
        <w:t xml:space="preserve"> Płatności</w:t>
      </w:r>
      <w:bookmarkEnd w:id="7"/>
      <w:r>
        <w:rPr>
          <w:noProof/>
        </w:rPr>
        <w:t xml:space="preserve"> związane z nowymi zobowiązaniami</w:t>
      </w:r>
    </w:p>
    <w:p>
      <w:pPr>
        <w:spacing w:after="120" w:line="276" w:lineRule="auto"/>
        <w:jc w:val="both"/>
        <w:rPr>
          <w:noProof/>
        </w:rPr>
      </w:pPr>
      <w:r>
        <w:rPr>
          <w:noProof/>
        </w:rPr>
        <w:lastRenderedPageBreak/>
        <w:t xml:space="preserve">Prognozowane płatności związane z zobowiązaniami, które zostaną podjęte w latach 2021–2025, są dostosowane do kwot według podziału na programy i lata, jak przedstawiono we wniosku Komisji w sprawie kolejnych wieloletnich ram finansowych z dnia 27 maja 2020 r. Podstawowe założenia dotyczące prognozy pozostają spójne z założeniami zawartymi w sprawozdaniu z poprzedniego roku oraz z wnioskiem Komisji w sprawie wieloletnich ram finansowych z dnia 2 maja 2018 r. Postępy w negocjacjach w sprawie następnej generacji wydatków zostały odzwierciedlone w możliwie najszerszym zakresie (zob. szczegółowe informacje zawarte w pkt 3. Założenia dotyczące prognozy). </w:t>
      </w:r>
    </w:p>
    <w:p>
      <w:pPr>
        <w:spacing w:after="120" w:line="276" w:lineRule="auto"/>
        <w:jc w:val="both"/>
        <w:rPr>
          <w:noProof/>
        </w:rPr>
      </w:pPr>
      <w:r>
        <w:rPr>
          <w:noProof/>
        </w:rPr>
        <w:t xml:space="preserve">Dotyczy to w szczególności negocjacji związanych z rozporządzeniem w sprawie wspólnych przepisów, które określa tempo wdrażania polityki spójności – największego obszaru wydatków realizowanych za pomocą środków zróżnicowanych. Zmiany warunków wdrażania funduszy polityki spójności (np. zasady umorzenia zobowiązań, stawki płatności zaliczkowych, rozliczanie płatności zaliczkowych, wskaźnik zatrzymania) w porównaniu z założeniami przyjętymi w odniesieniu do obecnej prognozy znacząco wpłynęłyby na spodziewany poziom płatności w odniesieniu do całego budżetu UE. </w:t>
      </w:r>
    </w:p>
    <w:p>
      <w:pPr>
        <w:spacing w:after="120" w:line="276" w:lineRule="auto"/>
        <w:jc w:val="both"/>
        <w:rPr>
          <w:noProof/>
        </w:rPr>
      </w:pPr>
      <w:r>
        <w:rPr>
          <w:noProof/>
        </w:rPr>
        <w:t>W związku z tym dokładniejsza aktualizacja prognozy będzie możliwa dopiero po zakończeniu negocjacji w sprawie kolejnych ram finansowych i towarzyszącego im prawodawstwa sektorowego.</w:t>
      </w:r>
    </w:p>
    <w:p>
      <w:pPr>
        <w:pStyle w:val="Heading2"/>
        <w:keepNext w:val="0"/>
        <w:numPr>
          <w:ilvl w:val="1"/>
          <w:numId w:val="21"/>
        </w:numPr>
        <w:tabs>
          <w:tab w:val="left" w:pos="720"/>
        </w:tabs>
        <w:spacing w:after="120" w:line="276" w:lineRule="auto"/>
        <w:ind w:left="788" w:hanging="431"/>
        <w:rPr>
          <w:noProof/>
        </w:rPr>
      </w:pPr>
      <w:r>
        <w:rPr>
          <w:noProof/>
        </w:rPr>
        <w:t xml:space="preserve"> Płatności z tytułu zobowiązań sprzed 2021 r.</w:t>
      </w:r>
    </w:p>
    <w:p>
      <w:pPr>
        <w:spacing w:after="120" w:line="276" w:lineRule="auto"/>
        <w:jc w:val="both"/>
        <w:rPr>
          <w:noProof/>
        </w:rPr>
      </w:pPr>
      <w:r>
        <w:rPr>
          <w:noProof/>
        </w:rPr>
        <w:t>Prognoza Komisji dotycząca płatności wynikających z obecnych zobowiązań (w tym tych, które mają zostać podjęte w 2020 r.) uwzględnia propozycje dotyczące wykorzystania budżetu UE na 2020 r. w odpowiedzi na pandemię COVID-19. Szacunki na lata 2021–2025 obejmują płatności wynikające z wzmocnienia programów w 2020 r. zgodnie z pakietami inicjatyw inwestycyjnych w odpowiedzi na koronawirusa (CRII i CRII+) oraz z projektem budżetu korygującego nr 6. Niektóre z tych propozycji sugerują przesunięcie płatności na wcześniejsze lata, podczas gdy inne mogą wymagać dodatkowych kwot, które nie były wcześniej prognozowane.</w:t>
      </w:r>
    </w:p>
    <w:p>
      <w:pPr>
        <w:spacing w:after="120" w:line="276" w:lineRule="auto"/>
        <w:jc w:val="both"/>
        <w:rPr>
          <w:noProof/>
        </w:rPr>
      </w:pPr>
      <w:r>
        <w:rPr>
          <w:noProof/>
        </w:rPr>
        <w:t xml:space="preserve">W szczególności przewiduje się, że inicjatywy CRII i CRII+ przyspieszą wdrażanie polityki spójności, zwiększając w ten sposób potrzeby w zakresie płatności w 2020 i 2021 r. oraz powodując niższe potrzeby w zakresie płatności w 2024 i 2025 r. W oparciu o wniosek w sprawie udzielenia rolnikom jednorazowego zryczałtowanego wsparcia dochodów w 2021 r. wzrosną również potrzeby w zakresie płatności w ramach rozwoju obszarów wiejskich w latach 2014–2020, natomiast w 2024 r. nastąpi ich analogiczny spadek. </w:t>
      </w:r>
    </w:p>
    <w:p>
      <w:pPr>
        <w:spacing w:after="120" w:line="276" w:lineRule="auto"/>
        <w:jc w:val="both"/>
        <w:rPr>
          <w:noProof/>
        </w:rPr>
      </w:pPr>
      <w:r>
        <w:rPr>
          <w:noProof/>
        </w:rPr>
        <w:t xml:space="preserve">Środki reagowania na COVID-19, które zostały zaproponowane w ramach przeglądu rozporządzenia określającego wieloletnie ramy finansowe na lata 2014–2020 oraz w powiązanym projekcie budżetu korygującego nr 6, zapewnią w 2020 r. 11,5 mld EUR środków na dodatkowe zobowiązania i 6,5 mld EUR środków na płatności. Pozostała kwota 5 mld EUR wynikająca z tego wniosku (2,5 mld EUR w ramach inicjatywy REACT-UE i 2,5 mld EUR w nowym segmencie wsparcia wypłacalności w ramach Europejskiego Funduszu na rzecz Inwestycji Strategicznych) zostanie wypłacona w latach 2021–2025, co zwiększy potrzeby w zakresie płatności w porównaniu z ubiegłoroczną prognozą. </w:t>
      </w:r>
    </w:p>
    <w:p>
      <w:pPr>
        <w:spacing w:after="120" w:line="276" w:lineRule="auto"/>
        <w:jc w:val="both"/>
        <w:rPr>
          <w:noProof/>
        </w:rPr>
      </w:pPr>
      <w:r>
        <w:rPr>
          <w:noProof/>
        </w:rPr>
        <w:t>Wszelkie odchylenia w przyjętych kwotach w odniesieniu do powyższych wniosków Komisji w połączeniu ze zmianami warunków wdrażania funduszy polityki spójności mogą mieć wpływ na potrzeby w zakresie płatności i będą musiały zostać uwzględnione podczas negocjowania pułapów płatności dla kolejnych ram finansowych.</w:t>
      </w:r>
    </w:p>
    <w:p>
      <w:pPr>
        <w:pStyle w:val="Heading2"/>
        <w:keepNext w:val="0"/>
        <w:numPr>
          <w:ilvl w:val="1"/>
          <w:numId w:val="21"/>
        </w:numPr>
        <w:tabs>
          <w:tab w:val="left" w:pos="720"/>
        </w:tabs>
        <w:spacing w:after="120" w:line="276" w:lineRule="auto"/>
        <w:rPr>
          <w:noProof/>
        </w:rPr>
      </w:pPr>
      <w:r>
        <w:rPr>
          <w:noProof/>
        </w:rPr>
        <w:t xml:space="preserve"> Płatności w 2021 r.</w:t>
      </w:r>
    </w:p>
    <w:p>
      <w:pPr>
        <w:spacing w:after="120" w:line="276" w:lineRule="auto"/>
        <w:jc w:val="both"/>
        <w:rPr>
          <w:noProof/>
        </w:rPr>
      </w:pPr>
      <w:r>
        <w:rPr>
          <w:noProof/>
        </w:rPr>
        <w:t>Szczególne znaczenie ma poziom płatności w 2021 r. Niniejsze sprawozdanie jest w pełni zgodne z wnioskiem dotyczącym projektu budżetu na 2021 r., który opiera się na parametrach przedstawionych we wnioskach Komisji, w szczególności w odniesieniu do stawek płatności zaliczkowych dla funduszy polityki spójności zarówno na lata 2014–2020 (stawka płatności zaliczkowej w wysokości 1%), jak i na lata 2021–2027 (stawka płatności zaliczkowej w wysokości 0,5%). Podwyższenie tych stawek miałoby natychmiastowy wpływ na potrzeby w zakresie płatności w 2021 r. Opóźnione rozpoczęcie programów na lata 2021–2027 może doprowadzić do tego, że niektóre płatności zaliczkowe na rzecz nowej generacji polityki spójności zostaną przesunięte na 2022 r.</w:t>
      </w:r>
    </w:p>
    <w:p>
      <w:pPr>
        <w:pStyle w:val="Heading2"/>
        <w:keepNext w:val="0"/>
        <w:numPr>
          <w:ilvl w:val="2"/>
          <w:numId w:val="21"/>
        </w:numPr>
        <w:tabs>
          <w:tab w:val="left" w:pos="720"/>
        </w:tabs>
        <w:spacing w:after="120" w:line="276" w:lineRule="auto"/>
        <w:rPr>
          <w:noProof/>
        </w:rPr>
      </w:pPr>
      <w:bookmarkStart w:id="8" w:name="_Toc524523063"/>
      <w:r>
        <w:rPr>
          <w:noProof/>
        </w:rPr>
        <w:t>Umorzenie zobowiązań</w:t>
      </w:r>
      <w:bookmarkEnd w:id="8"/>
    </w:p>
    <w:p>
      <w:pPr>
        <w:snapToGrid w:val="0"/>
        <w:spacing w:after="120" w:line="276" w:lineRule="auto"/>
        <w:jc w:val="both"/>
        <w:rPr>
          <w:noProof/>
          <w:color w:val="000000"/>
        </w:rPr>
      </w:pPr>
      <w:r>
        <w:rPr>
          <w:noProof/>
        </w:rPr>
        <w:t xml:space="preserve">Całkowita kwota prognozowanych operacji umorzenia zobowiązań na lata 2021–2025 wynosi 9 mld EUR i w całości dotyczy programów z okresu 2014–2020 i wcześniejszych lat. </w:t>
      </w:r>
      <w:r>
        <w:rPr>
          <w:noProof/>
          <w:color w:val="000000"/>
        </w:rPr>
        <w:t>Nie przewiduje się żadnych operacji umorzenia zobowiązań w odniesieniu do zobowiązań zaproponowanych w ramach finansowych na lata 2021–2027.</w:t>
      </w:r>
    </w:p>
    <w:p>
      <w:pPr>
        <w:snapToGrid w:val="0"/>
        <w:spacing w:after="120" w:line="276" w:lineRule="auto"/>
        <w:jc w:val="both"/>
        <w:rPr>
          <w:noProof/>
          <w:color w:val="000000"/>
        </w:rPr>
      </w:pPr>
      <w:r>
        <w:rPr>
          <w:noProof/>
          <w:color w:val="000000"/>
        </w:rPr>
        <w:t xml:space="preserve">Poziomy umorzenia zobowiązań są różne w poszczególnych działach, ponieważ w prognozie uwzględnia się dokonane już operacje umorzenia zobowiązań oraz tego rodzaju operacje zidentyfikowane do czasu przygotowania projektu budżetu na 2021 r. Co do zasady umorzenia zobowiązań są prognozowane dla całego okresu programowania. Ponieważ w przypadku większości programów i działań nie istnieją zasady automatycznego umorzenia zobowiązań, wszelkie roczne zestawienia operacji umorzenia zobowiązań miałyby charakter wysoce orientacyjny. Aby oszacować rozmiar operacji umorzenia zobowiązań do 2025 r., prognozowane umorzenie zobowiązań rozłożono proporcjonalnie do powiązanych z nimi płatności rocznych. </w:t>
      </w:r>
    </w:p>
    <w:p>
      <w:pPr>
        <w:snapToGrid w:val="0"/>
        <w:spacing w:after="120" w:line="276" w:lineRule="auto"/>
        <w:jc w:val="both"/>
        <w:rPr>
          <w:noProof/>
          <w:color w:val="000000"/>
        </w:rPr>
      </w:pPr>
      <w:r>
        <w:rPr>
          <w:noProof/>
          <w:color w:val="000000"/>
        </w:rPr>
        <w:t xml:space="preserve">W odniesieniu do europejskich funduszy strukturalnych i inwestycyjnych (ESI) na lata 2014–2020 tworzy się szczegółową prognozę, w której uwzględnia się doświadczenia dotyczące zamykania programów z lat 2007–2013. Prognoza umorzenia zobowiązań zostanie zaktualizowana w momencie uruchomienia pierwszych procedur zamykania programów z lat 2014–2020. Niższy rzeczywisty poziom operacji umorzenia zobowiązań przełożyłby się na większe potrzeby w zakresie płatności. Faktyczny rok umorzenia zobowiązań jest zależny od konkretnych terminów zamykania poszczególnych programów krajowych. Z uwagi na obowiązujące zasady dotyczące umorzenia zobowiązań n+3 istnieje prawdopodobieństwo, że operacje umorzenia zobowiązań rozłożą się na lata 2024–2026. Ponieważ zakres niniejszego sprawozdania obejmuje jedynie lata 2024–2025, wstępnie zakłada się, że około dwie trzecie spodziewanych operacji umorzenia zobowiązań związanych z funduszami ESI na lata 2014–2020 przypadłyby na ten okres. </w:t>
      </w:r>
    </w:p>
    <w:p>
      <w:pPr>
        <w:snapToGrid w:val="0"/>
        <w:spacing w:after="120" w:line="276" w:lineRule="auto"/>
        <w:jc w:val="both"/>
        <w:rPr>
          <w:noProof/>
          <w:color w:val="000000"/>
        </w:rPr>
      </w:pPr>
      <w:r>
        <w:rPr>
          <w:noProof/>
          <w:color w:val="000000"/>
        </w:rPr>
        <w:t xml:space="preserve">W porównaniu z ubiegłorocznym sprawozdaniem szacowane umorzenie zobowiązań w okresie pięciu lat wzrasta o około 1 mld EUR. Jest to łączny skutek podwyższonych prognoz umorzenia zobowiązań dla programów w ramach działów 1b i 2 na lata 2014–2020 (wzrost o 2,5 mld EUR) oraz obniżonych prognoz w przypadku pozostałych działów (spadek o 1,5 mld EUR). </w:t>
      </w:r>
    </w:p>
    <w:p>
      <w:pPr>
        <w:snapToGrid w:val="0"/>
        <w:spacing w:after="120" w:line="276" w:lineRule="auto"/>
        <w:jc w:val="both"/>
        <w:rPr>
          <w:noProof/>
          <w:color w:val="000000"/>
        </w:rPr>
      </w:pPr>
      <w:r>
        <w:rPr>
          <w:noProof/>
          <w:color w:val="000000"/>
        </w:rPr>
        <w:t xml:space="preserve">Wzrost w przypadku działu 1b na lata 2014–2020 jest mechanicznym skutkiem uwzględnienia dodatkowego roku (2025), którego nie obejmowało ubiegłoroczne sprawozdanie. Ponadto przewiduje się, że operacje umorzenia zobowiązań przewidziane w dziale 2 na lata 2014–2020 zostaną przeprowadzone najpóźniej do 2025 r., ponieważ oczekuje się, że do tego czasu zostanie zrealizowana odpowiednia płatność końcowa. </w:t>
      </w:r>
    </w:p>
    <w:p>
      <w:pPr>
        <w:snapToGrid w:val="0"/>
        <w:spacing w:after="120" w:line="276" w:lineRule="auto"/>
        <w:jc w:val="both"/>
        <w:rPr>
          <w:noProof/>
          <w:color w:val="000000"/>
        </w:rPr>
      </w:pPr>
      <w:r>
        <w:rPr>
          <w:noProof/>
          <w:color w:val="000000"/>
        </w:rPr>
        <w:t xml:space="preserve">W przypadku programów w ramach działów 1a, 3 i 4 na lata 2014–2020 spadek jest łącznym skutkiem aktualizacji założeń na przyszłe lata zgodnie z projektem budżetu na 2021 r. oraz przesunięcia okresu sprawozdawczego o jeden rok. W 2019 r. w tych trzech działach umorzono 1,3 mld EUR w odniesieniu do programów sprzed 2014 r. i kwota ta nie jest już uwzględniona w obecnej prognozie. </w:t>
      </w:r>
    </w:p>
    <w:p>
      <w:pPr>
        <w:pStyle w:val="Heading2"/>
        <w:keepNext w:val="0"/>
        <w:numPr>
          <w:ilvl w:val="2"/>
          <w:numId w:val="21"/>
        </w:numPr>
        <w:tabs>
          <w:tab w:val="left" w:pos="720"/>
        </w:tabs>
        <w:spacing w:after="120" w:line="276" w:lineRule="auto"/>
        <w:rPr>
          <w:noProof/>
        </w:rPr>
      </w:pPr>
      <w:bookmarkStart w:id="9" w:name="_Toc524523064"/>
      <w:r>
        <w:rPr>
          <w:noProof/>
        </w:rPr>
        <w:t>Ewolucja poziomu zobowiązań pozostających do spłaty</w:t>
      </w:r>
      <w:bookmarkEnd w:id="9"/>
    </w:p>
    <w:p>
      <w:pPr>
        <w:spacing w:after="120" w:line="276" w:lineRule="auto"/>
        <w:jc w:val="both"/>
        <w:rPr>
          <w:noProof/>
        </w:rPr>
      </w:pPr>
      <w:r>
        <w:rPr>
          <w:noProof/>
        </w:rPr>
        <w:t xml:space="preserve">Nagromadzenie zobowiązań pozostających do spłaty jest naturalnym skutkiem wykonania budżetu UE ze środkami zróżnicowanymi i nominalnie rosnącej wielkości budżetu UE na przestrzeni lat. Oczekuje się, że zobowiązania pozostające do spłaty na początku okresu sprawozdawczego będą wynosić około 308 mld EUR. Dla porównania prognoza zobowiązań pozostających do spłaty na koniec 2020 r. w ubiegłorocznym sprawozdaniu wyniosła 303 mld EUR. </w:t>
      </w:r>
    </w:p>
    <w:p>
      <w:pPr>
        <w:spacing w:after="120" w:line="276" w:lineRule="auto"/>
        <w:jc w:val="both"/>
        <w:rPr>
          <w:noProof/>
        </w:rPr>
      </w:pPr>
      <w:r>
        <w:rPr>
          <w:noProof/>
        </w:rPr>
        <w:t>Ta zmiana prognozy zobowiązań pozostających do spłaty wynika z kilku elementów. Z końcem 2019 r. rzeczywiste zobowiązania pozostające do spłaty wynosiły 294 mld EUR</w:t>
      </w:r>
      <w:r>
        <w:rPr>
          <w:rStyle w:val="FootnoteReference"/>
          <w:noProof/>
        </w:rPr>
        <w:footnoteReference w:id="8"/>
      </w:r>
      <w:r>
        <w:rPr>
          <w:noProof/>
        </w:rPr>
        <w:t>. Do tej pory zobowiązania w ramach budżetu na 2020 r., w tym wzmocnienia zaproponowane w projekcie budżetu korygującego nr 6, opiewały na kwotę 184 mld EUR, natomiast płatności kształtują się na poziomie 161,5 mld EUR. Doprowadziłoby to do wygenerowania w 2020 r. dodatkowych zobowiązań pozostających do spłaty w wysokości 22 mld EUR. Biorąc pod uwagę przewidywane przyspieszenie wdrażania polityki spójności w związku z realizacją inicjatyw CRII i CRII+, w 2020 r. mogą pojawić się dodatkowe potrzeby w zakresie płatności w wysokości 8–10 mld EUR. Do celów obliczenia zobowiązań pozostających do spłaty na koniec roku zakłada się, że dodatkowa kwota płatności w wysokości około 8 mld EUR zostanie zapisana w budżecie w dalszej części 2020 r. Rzeczywiste dodatkowe potrzeby można jednak określić ilościowo dopiero po przedłożeniu przez państwa członkowskie własnych prognoz dotyczących wdrażania ich programów operacyjnych w ramach europejskich funduszy strukturalnych i inwestycyjnych, które mają zostać przedłożone do dnia 31 lipca 2020 r.</w:t>
      </w:r>
    </w:p>
    <w:p>
      <w:pPr>
        <w:spacing w:after="120" w:line="276" w:lineRule="auto"/>
        <w:jc w:val="both"/>
        <w:rPr>
          <w:noProof/>
        </w:rPr>
      </w:pPr>
      <w:r>
        <w:rPr>
          <w:noProof/>
        </w:rPr>
        <w:t xml:space="preserve">Przewiduje się, że pod koniec 2025 r. kwota zobowiązań pozostających do spłaty będzie wynosić około 292 mld EUR, co oznacza spadek wartości nominalnej o 5% w ciągu pięciu analizowanych lat. Roczna ewolucja wielkości zobowiązań pozostających do spłaty jest nierównomierna i kwota ta rośnie w zależności od stosunku rocznych płatności do rocznych zobowiązań. W oparciu o wniosek Komisji w sprawie wieloletnich ram finansowych na lata 2021–2027 pułap płatności na lata 2021–2025 byłby nieco wyższy niż pułap zobowiązań. Wynika to z przyspieszenia płatności w pierwszych latach nowego okresu programowania w ramach wsparcia reagowania na COVID-19 wypłacanego z budżetu UE. Nie przewiduje się zmniejszenia potrzeb w zakresie płatności w latach 2023–2025 głównie </w:t>
      </w:r>
      <w:r>
        <w:rPr>
          <w:noProof/>
          <w:color w:val="000000"/>
        </w:rPr>
        <w:t>z</w:t>
      </w:r>
      <w:r>
        <w:rPr>
          <w:noProof/>
        </w:rPr>
        <w:t> </w:t>
      </w:r>
      <w:r>
        <w:rPr>
          <w:noProof/>
          <w:color w:val="000000"/>
        </w:rPr>
        <w:t>powodu połączenia celu dotyczącego pierwszego automatycznego umorzenia zobowiązań w odniesieniu do nowych programów na podstawie rozporządzenia w sprawie wspólnych przepisów oraz celu dotyczącego umorzenia zobowiązań n+3 w odniesieniu do ostatniej transzy funduszy ESI na lata 2014–2020 oraz zamknięcia tych programów</w:t>
      </w:r>
      <w:r>
        <w:rPr>
          <w:noProof/>
        </w:rPr>
        <w:t xml:space="preserve">. Ogólnie rzecz biorąc, płatności w ciągu pięciu lat objętych sprawozdaniem przekroczyłyby poziom zobowiązań o około 6,6 mld EUR. W połączeniu z przewidywanymi operacjami umorzenia zobowiązań w tym samym okresie doprowadziłoby to do odwrócenia tendencji wzrostowej zobowiązań pozostających do spłaty. </w:t>
      </w:r>
    </w:p>
    <w:p>
      <w:pPr>
        <w:pStyle w:val="Heading2"/>
        <w:keepNext w:val="0"/>
        <w:numPr>
          <w:ilvl w:val="1"/>
          <w:numId w:val="21"/>
        </w:numPr>
        <w:tabs>
          <w:tab w:val="left" w:pos="720"/>
        </w:tabs>
        <w:spacing w:after="120" w:line="276" w:lineRule="auto"/>
        <w:ind w:left="788" w:hanging="431"/>
        <w:rPr>
          <w:noProof/>
        </w:rPr>
      </w:pPr>
      <w:bookmarkStart w:id="10" w:name="_Toc524523065"/>
      <w:r>
        <w:rPr>
          <w:noProof/>
        </w:rPr>
        <w:t xml:space="preserve"> Dochody</w:t>
      </w:r>
      <w:bookmarkEnd w:id="10"/>
    </w:p>
    <w:p>
      <w:pPr>
        <w:spacing w:after="120" w:line="276" w:lineRule="auto"/>
        <w:jc w:val="both"/>
        <w:rPr>
          <w:noProof/>
        </w:rPr>
      </w:pPr>
      <w:r>
        <w:rPr>
          <w:noProof/>
        </w:rPr>
        <w:t>Budżet UE jest finansowany z zasobów własnych i innych dochodów. Całkowita kwota zasobów własnych niezbędna do sfinansowania budżetu jest uwarunkowana łączną kwotą wydatków pomniejszoną o inne dochody. W związku z tym prognoza dochodów budżetu UE na lata 2021–2025 opiera się na zasadzie, zgodnie z którą wydatki muszą odpowiadać dochodom, a zatem całkowita wartość dochodów musi być równa całkowitej wartości wydatków.</w:t>
      </w:r>
    </w:p>
    <w:p>
      <w:pPr>
        <w:spacing w:after="120" w:line="276" w:lineRule="auto"/>
        <w:jc w:val="both"/>
        <w:rPr>
          <w:noProof/>
        </w:rPr>
      </w:pPr>
      <w:r>
        <w:rPr>
          <w:noProof/>
        </w:rPr>
        <w:t>Zgodnie z Umową o wystąpieniu (część V) od 2021 r. Zjednoczone Królestwo wniesie wkład do budżetu UE w odniesieniu do zobowiązań pozostających do spłaty w ramach WRF na lata 2014–2020 i poprzednich perspektyw finansowych (zobowiązania pozostające do spłaty na koniec 2020 r.), a także do zobowiązań emerytalnych i innych elementów rozliczenia finansowego. Wkład Zjednoczonego Królestwa będzie odpowiadał jego udziałowi w finansowaniu tych zobowiązań. Będzie on stanowił „inne dochody” wpłacane do budżetu UE, które nie są zasobami własnymi Unii.</w:t>
      </w:r>
    </w:p>
    <w:p>
      <w:pPr>
        <w:spacing w:after="120" w:line="276" w:lineRule="auto"/>
        <w:jc w:val="both"/>
        <w:rPr>
          <w:noProof/>
        </w:rPr>
      </w:pPr>
      <w:r>
        <w:rPr>
          <w:noProof/>
        </w:rPr>
        <w:t xml:space="preserve">Całkowite zasoby własne UE w danym roku nie mogą przekraczać pułapu zasobów własnych. Komisja zaproponowała podwyższenie tego pułapu do 1,40% dochodu narodowego brutto państw członkowskich UE z dniem 1 stycznia 2021 r. w celu zapewnienia mechanicznego zmniejszenia nominalnej kwoty zasobów własnych odpowiadającej obecnemu pułapowi wynoszącemu 1,20% DNB Unii z powodu wystąpienia Zjednoczonego Królestwa z UE oraz pogorszenia koniunktury gospodarczej w wyniku pandemii COVID-19. Do czasu wejścia w życie nowej decyzji w sprawie zasobów własnych nadal będzie obowiązywać obecny pułap. </w:t>
      </w:r>
    </w:p>
    <w:p>
      <w:pPr>
        <w:spacing w:after="120" w:line="276" w:lineRule="auto"/>
        <w:jc w:val="both"/>
        <w:rPr>
          <w:noProof/>
        </w:rPr>
      </w:pPr>
      <w:r>
        <w:rPr>
          <w:noProof/>
        </w:rPr>
        <w:t>W ujęciu nominalnym 1,20% dochodu narodowego brutto całej UE przekłada się na 168 mld EUR w 2021 r. Poziom ten pozostawiłby margines w wysokości zaledwie 2,4 mld EUR między pułapem zasobów własnych a proponowanym pułapem płatności. Ze względów prawnych pułap środków na płatności w wieloletnich ramach finansowych nie może przekraczać pułapu zasobów własnych, a zasada należytego zarządzania finansami wymaga dodatkowo utrzymywania bufora bezpieczeństwa. Komisja zaproponowała podwyższenie pułapu zasobów własnych na następny okres do 1,40% dochodu narodowego brutto UE i jest sprawą zasadniczą, by nowa decyzja w sprawie zasobów własnych została przyjęta i zatwierdzona przez państwa członkowskie zgodnie z ich wymogami konstytucyjnymi do końca 2020 r. Do momentu formalnego wejścia w życie pułapu zasobów własnych pułap płatności na 2021 r. będzie musiał być zgodny z obecnymi ograniczeniami.</w:t>
      </w:r>
    </w:p>
    <w:p>
      <w:pPr>
        <w:spacing w:after="120" w:line="276" w:lineRule="auto"/>
        <w:jc w:val="both"/>
        <w:rPr>
          <w:noProof/>
        </w:rPr>
      </w:pPr>
      <w:r>
        <w:rPr>
          <w:noProof/>
        </w:rPr>
        <w:t xml:space="preserve">Rzeczywiste potrzeby w zakresie zasobów własnych określa się jednak na podstawie planowanych płatności po odliczeniu spodziewanych innych dochodów, a nie na podstawie pułapu płatności w wieloletnich ramach finansowych. Na 2021 r. zasoby własne niezbędne do sfinansowania budżetu szacuje się na 155 mld EUR. Oznaczałoby to </w:t>
      </w:r>
      <w:r>
        <w:rPr>
          <w:i/>
          <w:iCs/>
          <w:noProof/>
        </w:rPr>
        <w:t>de facto</w:t>
      </w:r>
      <w:r>
        <w:rPr>
          <w:noProof/>
        </w:rPr>
        <w:t xml:space="preserve"> pozostawienie marginesu w wysokości 13 mld EUR poniżej obecnego pułapu zasobów własnych wynoszącego 1,20% dochodu narodowego brutto na pokrycie zobowiązań warunkowych UE i innych nieprzewidzianych potrzeb.</w:t>
      </w:r>
      <w:bookmarkStart w:id="11" w:name="_Toc524523066"/>
    </w:p>
    <w:p>
      <w:pPr>
        <w:pStyle w:val="Heading1"/>
        <w:numPr>
          <w:ilvl w:val="0"/>
          <w:numId w:val="21"/>
        </w:numPr>
        <w:tabs>
          <w:tab w:val="left" w:pos="720"/>
        </w:tabs>
        <w:spacing w:before="0" w:after="120" w:line="276" w:lineRule="auto"/>
        <w:rPr>
          <w:noProof/>
        </w:rPr>
      </w:pPr>
      <w:r>
        <w:rPr>
          <w:noProof/>
        </w:rPr>
        <w:t xml:space="preserve">Założenia dotyczące prognozy </w:t>
      </w:r>
      <w:bookmarkEnd w:id="11"/>
    </w:p>
    <w:p>
      <w:pPr>
        <w:pStyle w:val="Heading2"/>
        <w:keepNext w:val="0"/>
        <w:numPr>
          <w:ilvl w:val="1"/>
          <w:numId w:val="21"/>
        </w:numPr>
        <w:tabs>
          <w:tab w:val="left" w:pos="720"/>
        </w:tabs>
        <w:spacing w:after="120" w:line="276" w:lineRule="auto"/>
        <w:ind w:left="788" w:hanging="431"/>
        <w:rPr>
          <w:noProof/>
        </w:rPr>
      </w:pPr>
      <w:bookmarkStart w:id="12" w:name="_Toc524523068"/>
      <w:bookmarkStart w:id="13" w:name="_Toc494974439"/>
      <w:r>
        <w:rPr>
          <w:noProof/>
        </w:rPr>
        <w:t>Założenia szczegółowe według głównych elementów wydatków</w:t>
      </w:r>
      <w:bookmarkEnd w:id="12"/>
      <w:r>
        <w:rPr>
          <w:noProof/>
        </w:rPr>
        <w:t xml:space="preserve"> </w:t>
      </w:r>
      <w:bookmarkEnd w:id="13"/>
    </w:p>
    <w:p>
      <w:pPr>
        <w:pStyle w:val="Heading2"/>
        <w:keepNext w:val="0"/>
        <w:numPr>
          <w:ilvl w:val="2"/>
          <w:numId w:val="21"/>
        </w:numPr>
        <w:tabs>
          <w:tab w:val="left" w:pos="720"/>
        </w:tabs>
        <w:spacing w:after="120" w:line="276" w:lineRule="auto"/>
        <w:rPr>
          <w:noProof/>
        </w:rPr>
      </w:pPr>
      <w:bookmarkStart w:id="14" w:name="_Toc494974440"/>
      <w:bookmarkStart w:id="15" w:name="_Toc524523069"/>
      <w:r>
        <w:rPr>
          <w:noProof/>
        </w:rPr>
        <w:t>Fundusze ESI na lata 2014–2020</w:t>
      </w:r>
      <w:bookmarkEnd w:id="14"/>
      <w:bookmarkEnd w:id="15"/>
      <w:r>
        <w:rPr>
          <w:noProof/>
        </w:rPr>
        <w:t xml:space="preserve"> oraz fundusze polityki spójności na lata 2021–2027</w:t>
      </w:r>
    </w:p>
    <w:p>
      <w:pPr>
        <w:pStyle w:val="Text1"/>
        <w:spacing w:after="120" w:line="276" w:lineRule="auto"/>
        <w:ind w:left="0"/>
        <w:rPr>
          <w:noProof/>
        </w:rPr>
      </w:pPr>
      <w:r>
        <w:rPr>
          <w:noProof/>
        </w:rPr>
        <w:t>Prognoza płatności na rzecz funduszy ESI na lata 2014–2020 opiera się na dotychczasowych doświadczeniach związanych ze złożonymi wnioskami o płatność okresową, które przedstawiono jako odsetek całkowitej puli środków finansowych. Dla każdego z funduszy wykorzystuje się określone profile płatności. Ponadto uwzględniono również wpływ na płatności wynikający z zaproponowanych działań w odpowiedzi na COVID-19 (zob. pkt 2.2 Płatności z tytułu zobowiązań sprzed 2021 r.).</w:t>
      </w:r>
    </w:p>
    <w:p>
      <w:pPr>
        <w:pStyle w:val="Text1"/>
        <w:spacing w:after="120" w:line="276" w:lineRule="auto"/>
        <w:ind w:left="0"/>
        <w:rPr>
          <w:noProof/>
        </w:rPr>
      </w:pPr>
      <w:r>
        <w:rPr>
          <w:noProof/>
        </w:rPr>
        <w:t xml:space="preserve">W przypadku funduszy polityki spójności na lata 2021–2027 przewidywane płatności zależą od założeń kluczowych parametrów wdrażania polityki, które stanowią obecnie element negocjacji w sprawie kolejnych wieloletnich ram finansowych. Obecna prognoza opiera się na parametrach wynikających z aktualnego stanu negocjacji </w:t>
      </w:r>
      <w:r>
        <w:rPr>
          <w:noProof/>
          <w:color w:val="000000"/>
        </w:rPr>
        <w:t>(0,5% jako płatności zaliczkowe za każdy rok od 2021 do 2026 r. rozliczane przy zamknięciu programów, wskaźnik zatrzymania wynoszący 5%, brak rezerwy wykonania). Profile wniosków o płatność okresową oszacowano w celu odzwierciedlenia stopniowego wprowadzania zasady umorzenia zobowiązań n+2, z późniejszymi zmianami, aby umożliwić pewne odstępstwa w odniesieniu do pierwszych transz zobowiązań. Dalsze zmiany tych parametrów w czasie trwających negocjacji będą miały wpływ na płatności związane z funduszami polityki spójności w latach 2021–2027.</w:t>
      </w:r>
    </w:p>
    <w:p>
      <w:pPr>
        <w:pStyle w:val="Heading2"/>
        <w:keepNext w:val="0"/>
        <w:numPr>
          <w:ilvl w:val="2"/>
          <w:numId w:val="21"/>
        </w:numPr>
        <w:tabs>
          <w:tab w:val="left" w:pos="720"/>
        </w:tabs>
        <w:spacing w:after="120" w:line="276" w:lineRule="auto"/>
        <w:rPr>
          <w:noProof/>
        </w:rPr>
      </w:pPr>
      <w:bookmarkStart w:id="16" w:name="_Toc494974442"/>
      <w:bookmarkStart w:id="17" w:name="_Toc524523070"/>
      <w:r>
        <w:rPr>
          <w:noProof/>
        </w:rPr>
        <w:t>Płatności bezpośrednie i działania rynkowe</w:t>
      </w:r>
      <w:bookmarkEnd w:id="16"/>
      <w:bookmarkEnd w:id="17"/>
      <w:r>
        <w:rPr>
          <w:noProof/>
        </w:rPr>
        <w:t xml:space="preserve"> w ramach wspólnej polityki rolnej</w:t>
      </w:r>
    </w:p>
    <w:p>
      <w:pPr>
        <w:pStyle w:val="Text1"/>
        <w:spacing w:after="120" w:line="276" w:lineRule="auto"/>
        <w:ind w:left="0"/>
        <w:rPr>
          <w:noProof/>
        </w:rPr>
      </w:pPr>
      <w:r>
        <w:rPr>
          <w:noProof/>
        </w:rPr>
        <w:t>Jeżeli chodzi o środki przeznaczone na Europejski Fundusz Rolniczy Gwarancji, są one w większości niezróżnicowane, a większość środków związanych z płatnościami bezpośrednimi na rzecz rolników zwraca się zazwyczaj państwom członkowskim podczas pierwszych miesięcy kolejnego roku budżetowego.</w:t>
      </w:r>
    </w:p>
    <w:p>
      <w:pPr>
        <w:pStyle w:val="Text1"/>
        <w:spacing w:after="120" w:line="276" w:lineRule="auto"/>
        <w:ind w:left="0"/>
        <w:rPr>
          <w:noProof/>
        </w:rPr>
      </w:pPr>
      <w:r>
        <w:rPr>
          <w:noProof/>
        </w:rPr>
        <w:t>W odniesieniu do rozwoju obszarów wiejskich uwzględniono wniosek w sprawie udzielenia rolnikom jednorazowego zryczałtowanego wsparcia dochodów w ramach działań UE w odpowiedzi na COVID-19 poprzez przyspieszenie płatności na 2021 r.</w:t>
      </w:r>
    </w:p>
    <w:p>
      <w:pPr>
        <w:pStyle w:val="Heading2"/>
        <w:numPr>
          <w:ilvl w:val="2"/>
          <w:numId w:val="2"/>
        </w:numPr>
        <w:spacing w:after="120" w:line="276" w:lineRule="auto"/>
        <w:rPr>
          <w:noProof/>
        </w:rPr>
      </w:pPr>
      <w:r>
        <w:rPr>
          <w:noProof/>
        </w:rPr>
        <w:t>Pozostałe programy i fundusze</w:t>
      </w:r>
    </w:p>
    <w:p>
      <w:pPr>
        <w:spacing w:after="120" w:line="276" w:lineRule="auto"/>
        <w:jc w:val="both"/>
        <w:rPr>
          <w:noProof/>
        </w:rPr>
      </w:pPr>
      <w:r>
        <w:rPr>
          <w:noProof/>
        </w:rPr>
        <w:t xml:space="preserve">Jeżeli chodzi o ogół pozycji wydatków (np. badania naukowe i innowacje, projekty infrastrukturalne na dużą skalę, polityki wewnętrzne i zewnętrzne), prognozy dotyczące płatności z tytułu zobowiązań zatwierdzonych w obecnych ramach finansowych opierają się na projekcie budżetu na 2021 r. oraz towarzyszących mu harmonogramach płatności w podziale na poszczególne linie budżetowe. </w:t>
      </w:r>
    </w:p>
    <w:p>
      <w:pPr>
        <w:spacing w:after="120" w:line="276" w:lineRule="auto"/>
        <w:jc w:val="both"/>
        <w:rPr>
          <w:noProof/>
          <w:color w:val="000000"/>
        </w:rPr>
      </w:pPr>
      <w:r>
        <w:rPr>
          <w:noProof/>
          <w:color w:val="000000"/>
        </w:rPr>
        <w:t xml:space="preserve">Założenia przyjęte do oszacowania płatności niezbędnych do realizacji nowej generacji programów wydatków nie zmieniły się w porównaniu z ubiegłoroczną prognozą. Roczne potrzeby w zakresie płatności obliczono przy wykorzystaniu danych statystycznych w zakresie faktycznego wdrażania w ciągu 10 lat odpowiednich obecnych programów i związanych z nimi wcześniejszych programów z lat 2007–2013. Jeżeli chodzi o programy, w przypadku których nie istnieją programy wcześniejsze, szacunkowa kwota płatności opiera się na doświadczeniach w zakresie realizacji podobnego rodzaju działań dostosowanych do konkretnych elementów nowych programów. Jednak w odniesieniu do tegorocznej prognozy środki na zobowiązania przewidziane w odniesieniu do każdego programu, na których podstawie prognozuje się płatności, zostały zaktualizowane w celu odzwierciedlenia zmienionego wniosku Komisji w sprawie kolejnych wieloletnich ram finansowych. </w:t>
      </w:r>
    </w:p>
    <w:p>
      <w:pPr>
        <w:pStyle w:val="Heading2"/>
        <w:numPr>
          <w:ilvl w:val="2"/>
          <w:numId w:val="2"/>
        </w:numPr>
        <w:spacing w:after="120" w:line="276" w:lineRule="auto"/>
        <w:ind w:left="1225" w:hanging="505"/>
        <w:rPr>
          <w:noProof/>
        </w:rPr>
      </w:pPr>
      <w:r>
        <w:rPr>
          <w:noProof/>
        </w:rPr>
        <w:t>Administracja</w:t>
      </w:r>
    </w:p>
    <w:p>
      <w:pPr>
        <w:spacing w:after="120" w:line="276" w:lineRule="auto"/>
        <w:jc w:val="both"/>
        <w:rPr>
          <w:noProof/>
        </w:rPr>
      </w:pPr>
      <w:r>
        <w:rPr>
          <w:noProof/>
        </w:rPr>
        <w:t>Wydatki administracyjne (dział 7 na lata 2021–2027) opierają się na środkach niezróżnicowanych; pełnemu przekształceniu w płatności ulegają proponowane pułapy wydatków na dział 7 w latach 2021–2025.</w:t>
      </w:r>
    </w:p>
    <w:p>
      <w:pPr>
        <w:spacing w:after="120" w:line="276" w:lineRule="auto"/>
        <w:jc w:val="both"/>
        <w:rPr>
          <w:noProof/>
        </w:rPr>
      </w:pPr>
      <w:r>
        <w:rPr>
          <w:noProof/>
        </w:rPr>
        <w:t>Ta sama zasada dotyczy także dotacji na agencje zdecentralizowane, które są finansowane poza działem administracyjnym.</w:t>
      </w:r>
    </w:p>
    <w:p>
      <w:pPr>
        <w:pStyle w:val="Heading2"/>
        <w:keepNext w:val="0"/>
        <w:numPr>
          <w:ilvl w:val="1"/>
          <w:numId w:val="2"/>
        </w:numPr>
        <w:spacing w:after="120" w:line="276" w:lineRule="auto"/>
        <w:rPr>
          <w:noProof/>
        </w:rPr>
      </w:pPr>
      <w:bookmarkStart w:id="18" w:name="_Toc524523072"/>
      <w:bookmarkStart w:id="19" w:name="_Toc494974450"/>
      <w:r>
        <w:rPr>
          <w:noProof/>
        </w:rPr>
        <w:t>Założenia dotyczące prognozowania dochodów</w:t>
      </w:r>
      <w:bookmarkEnd w:id="18"/>
    </w:p>
    <w:p>
      <w:pPr>
        <w:pStyle w:val="Heading2"/>
        <w:numPr>
          <w:ilvl w:val="2"/>
          <w:numId w:val="2"/>
        </w:numPr>
        <w:spacing w:after="120" w:line="276" w:lineRule="auto"/>
        <w:ind w:left="1225" w:hanging="505"/>
        <w:rPr>
          <w:noProof/>
        </w:rPr>
      </w:pPr>
      <w:r>
        <w:rPr>
          <w:noProof/>
        </w:rPr>
        <w:t>Mające zastosowanie przepisy</w:t>
      </w:r>
    </w:p>
    <w:p>
      <w:pPr>
        <w:spacing w:after="120" w:line="276" w:lineRule="auto"/>
        <w:jc w:val="both"/>
        <w:rPr>
          <w:noProof/>
        </w:rPr>
      </w:pPr>
      <w:r>
        <w:rPr>
          <w:noProof/>
        </w:rPr>
        <w:t>W swoim wniosku z 2018 r. dotyczącym decyzji Rady w sprawie systemu zasobów własnych</w:t>
      </w:r>
      <w:r>
        <w:rPr>
          <w:rStyle w:val="FootnoteReference"/>
          <w:noProof/>
        </w:rPr>
        <w:footnoteReference w:id="9"/>
      </w:r>
      <w:r>
        <w:rPr>
          <w:noProof/>
        </w:rPr>
        <w:t xml:space="preserve"> Komisja zaproponowała nowe przepisy dotyczące zasobów własnych Unii. Przyjęcie nowej decyzji wymaga jednomyślnej zgody wszystkich państw członkowskich oraz zatwierdzenia zgodnie z krajowymi wymogami konstytucyjnymi. Po wejściu w życie nowej decyzji będzie ona stosowana od dnia 1 stycznia 2021 r. Jeżeli data wejścia w życie przypadnie po styczniu 2021 r., decyzja będzie miała moc wsteczną. Dlatego prognoza dochodów przedstawiona w niniejszym sprawozdaniu opiera się na parametrach określonych we wniosku Komisji z 2020 r. dotyczącym nowej decyzji Rady w sprawie systemu zasobów własnych w odniesieniu do wszystkich lat okresu sprawozdawczego (2021–2025). Natomiast projekt budżetu na 2021 r. odzwierciedla obecnie obowiązujące parametry określone w decyzji w sprawie zasobów własnych</w:t>
      </w:r>
      <w:r>
        <w:rPr>
          <w:rStyle w:val="FootnoteReference"/>
          <w:noProof/>
        </w:rPr>
        <w:footnoteReference w:id="10"/>
      </w:r>
      <w:r>
        <w:rPr>
          <w:noProof/>
        </w:rPr>
        <w:t xml:space="preserve"> z 2014 r.</w:t>
      </w:r>
    </w:p>
    <w:p>
      <w:pPr>
        <w:pStyle w:val="Heading2"/>
        <w:numPr>
          <w:ilvl w:val="2"/>
          <w:numId w:val="2"/>
        </w:numPr>
        <w:spacing w:after="120" w:line="276" w:lineRule="auto"/>
        <w:ind w:left="1225" w:hanging="505"/>
        <w:rPr>
          <w:noProof/>
        </w:rPr>
      </w:pPr>
      <w:r>
        <w:rPr>
          <w:noProof/>
        </w:rPr>
        <w:t>Tradycyjne zasoby własne</w:t>
      </w:r>
    </w:p>
    <w:p>
      <w:pPr>
        <w:spacing w:after="120" w:line="276" w:lineRule="auto"/>
        <w:jc w:val="both"/>
        <w:rPr>
          <w:noProof/>
        </w:rPr>
      </w:pPr>
      <w:r>
        <w:rPr>
          <w:noProof/>
        </w:rPr>
        <w:t>Przewiduje się, że należności celne w latach 2022–2025 będą rosły w takim samym tempie jak nominalny dochód narodowy brutto każdego państwa członkowskiego, począwszy od poziomu należności celnych brutto przewidzianego dla budżetu na 2021 r.</w:t>
      </w:r>
      <w:r>
        <w:rPr>
          <w:rStyle w:val="FootnoteReference"/>
          <w:noProof/>
        </w:rPr>
        <w:footnoteReference w:id="11"/>
      </w:r>
      <w:r>
        <w:rPr>
          <w:noProof/>
        </w:rPr>
        <w:t>.</w:t>
      </w:r>
    </w:p>
    <w:p>
      <w:pPr>
        <w:spacing w:after="120" w:line="276" w:lineRule="auto"/>
        <w:jc w:val="both"/>
        <w:rPr>
          <w:noProof/>
        </w:rPr>
      </w:pPr>
      <w:r>
        <w:rPr>
          <w:noProof/>
        </w:rPr>
        <w:t>W odniesieniu do dochodów oszacowanych w niniejszym sprawozdaniu zakłada się, że państwa członkowskie zatrzymają 10% należności celnych jako koszty poboru, jak określono we wniosku Komisji dotyczącym decyzji Rady w sprawie systemu zasobów własnych</w:t>
      </w:r>
      <w:r>
        <w:rPr>
          <w:rStyle w:val="FootnoteReference"/>
          <w:noProof/>
        </w:rPr>
        <w:footnoteReference w:id="12"/>
      </w:r>
      <w:r>
        <w:rPr>
          <w:noProof/>
        </w:rPr>
        <w:t>. Dla orientacji – obecny wskaźnik wynosi 20%. Nowy wskaźnik jest obecnie negocjowany w ramach pakietu wieloletnich ram finansowych na lata 2021–2027. Potencjalny wzrost wskaźnika zatrzymania powyżej poziomu określonego we wniosku Komisji obniżyłby poziom tradycyjnych zasobów własnych, co należałoby zrównoważyć wyższymi wkładami krajowymi.</w:t>
      </w:r>
    </w:p>
    <w:p>
      <w:pPr>
        <w:pStyle w:val="Heading2"/>
        <w:numPr>
          <w:ilvl w:val="2"/>
          <w:numId w:val="2"/>
        </w:numPr>
        <w:spacing w:after="120" w:line="276" w:lineRule="auto"/>
        <w:rPr>
          <w:noProof/>
        </w:rPr>
      </w:pPr>
      <w:r>
        <w:rPr>
          <w:noProof/>
        </w:rPr>
        <w:t>Wkłady krajowe i dochody z nowych zasobów własnych</w:t>
      </w:r>
    </w:p>
    <w:p>
      <w:pPr>
        <w:spacing w:after="120" w:line="276" w:lineRule="auto"/>
        <w:jc w:val="both"/>
        <w:rPr>
          <w:noProof/>
        </w:rPr>
      </w:pPr>
      <w:r>
        <w:rPr>
          <w:noProof/>
        </w:rPr>
        <w:t>Wkłady krajowe (w postaci zasobów własnych opartych na dochodzie narodowym brutto i zasobów własnych opartych na VAT) oraz potencjalne nowe zasoby własne wypełniają lukę w celu zrównoważenia dochodów i prognozowanych wydatków.</w:t>
      </w:r>
    </w:p>
    <w:p>
      <w:pPr>
        <w:spacing w:after="120" w:line="276" w:lineRule="auto"/>
        <w:jc w:val="both"/>
        <w:rPr>
          <w:noProof/>
        </w:rPr>
      </w:pPr>
      <w:r>
        <w:rPr>
          <w:noProof/>
        </w:rPr>
        <w:t>W maju 2018 r. Komisja zaproponowała dywersyfikację źródeł dochodów za pomocą koszyka nowych zasobów własnych, który przyczyniłby się do realizacji priorytetów UE w takich obszarach, jak zmiana klimatu, gospodarka o obiegu zamkniętym i sprawiedliwe opodatkowanie. Koszyk ten obejmował dochody związane z systemem handlu uprawnieniami do emisji, wkład krajowy obliczany na podstawie niepoddawanych recyklingowi odpadów opakowaniowych z tworzyw sztucznych oraz zasoby oparte na wspólnej skonsolidowanej podstawie opodatkowania osób prawnych. Ponadto Komisja ogłosiła, że zaproponuje również dodatkowe nowe zasoby własne na późniejszym etapie w latach 2021–2027</w:t>
      </w:r>
      <w:r>
        <w:rPr>
          <w:rStyle w:val="FootnoteReference"/>
          <w:noProof/>
        </w:rPr>
        <w:footnoteReference w:id="13"/>
      </w:r>
      <w:r>
        <w:rPr>
          <w:noProof/>
        </w:rPr>
        <w:t>.</w:t>
      </w:r>
    </w:p>
    <w:p>
      <w:pPr>
        <w:spacing w:after="120" w:line="276" w:lineRule="auto"/>
        <w:jc w:val="both"/>
        <w:rPr>
          <w:noProof/>
        </w:rPr>
      </w:pPr>
      <w:r>
        <w:rPr>
          <w:noProof/>
        </w:rPr>
        <w:t>Dokładna wysokość wkładów krajowych oraz dochody z nowych zasobów własnych będą znane dopiero po tym, jak państwa członkowskie uzgodnią następny długoterminowy budżet i system zasobów własnych.</w:t>
      </w:r>
    </w:p>
    <w:p>
      <w:pPr>
        <w:pStyle w:val="Heading2"/>
        <w:numPr>
          <w:ilvl w:val="2"/>
          <w:numId w:val="2"/>
        </w:numPr>
        <w:spacing w:after="120" w:line="276" w:lineRule="auto"/>
        <w:rPr>
          <w:noProof/>
        </w:rPr>
      </w:pPr>
      <w:r>
        <w:rPr>
          <w:noProof/>
        </w:rPr>
        <w:t>Inne dochody</w:t>
      </w:r>
    </w:p>
    <w:p>
      <w:pPr>
        <w:spacing w:after="120" w:line="276" w:lineRule="auto"/>
        <w:jc w:val="both"/>
        <w:rPr>
          <w:noProof/>
        </w:rPr>
      </w:pPr>
      <w:r>
        <w:rPr>
          <w:noProof/>
        </w:rPr>
        <w:t>Inne dochody wpłacane do budżetu UE zwykle obejmują składki pracowników, dochody wynikające z działalności administracyjnej instytucji, wkłady i zwroty związane z umowami i programami unijnymi, odsetki za zwłokę i grzywny, dochody z tytułu operacji zaciągania i udzielania pożyczek oraz dochody różne – a także nadwyżki z poprzednich lat. Biorąc pod uwagę zmienność tych składników, większość z nich jest trudna do przewidzenia. W związku z tym zakłada się, że kwota uwzględniona w budżecie na 2020 r. (tj. 2 mld EUR) pozostanie nominalnie stała w okresie objętym sprawozdaniem (2021–2025).</w:t>
      </w:r>
    </w:p>
    <w:p>
      <w:pPr>
        <w:spacing w:after="120" w:line="276" w:lineRule="auto"/>
        <w:jc w:val="both"/>
        <w:rPr>
          <w:noProof/>
        </w:rPr>
      </w:pPr>
      <w:r>
        <w:rPr>
          <w:noProof/>
        </w:rPr>
        <w:t>Od 2021 r. oprócz wyżej wymienionych pozycji pozostałe dochody wpłacane do budżetu UE będą obejmowały również wkład Zjednoczonego Królestwa wynikający z Umowy o wystąpieniu w odniesieniu do zobowiązań pozostających do spłaty i zobowiązań emerytalnych, jak również inne odpowiednie elementy rozliczenia finansowego</w:t>
      </w:r>
      <w:r>
        <w:rPr>
          <w:rStyle w:val="FootnoteReference"/>
          <w:noProof/>
          <w:lang w:eastAsia="ko-KR"/>
        </w:rPr>
        <w:footnoteReference w:id="14"/>
      </w:r>
      <w:r>
        <w:rPr>
          <w:noProof/>
        </w:rPr>
        <w:t>. W odniesieniu do 2021 r. proponowane finansowanie projektu budżetu na 2021 r. odzwierciedla wkład Zjednoczonego Królestwa.</w:t>
      </w:r>
    </w:p>
    <w:p>
      <w:pPr>
        <w:spacing w:after="120" w:line="276" w:lineRule="auto"/>
        <w:jc w:val="both"/>
        <w:rPr>
          <w:noProof/>
        </w:rPr>
      </w:pPr>
      <w:r>
        <w:rPr>
          <w:noProof/>
        </w:rPr>
        <w:t>Wkład Zjednoczonego Królestwa w odniesieniu do zobowiązań pozostających do spłaty w ramach WRF na lata 2014–2020 oraz poprzednich perspektyw finansowych</w:t>
      </w:r>
      <w:r>
        <w:rPr>
          <w:rStyle w:val="FootnoteReference"/>
          <w:noProof/>
          <w:lang w:eastAsia="ko-KR"/>
        </w:rPr>
        <w:footnoteReference w:id="15"/>
      </w:r>
      <w:r>
        <w:rPr>
          <w:noProof/>
        </w:rPr>
        <w:t xml:space="preserve"> jest ustalany poprzez zastosowanie tymczasowego udziału Zjednoczonego Królestwa, zdefiniowanego</w:t>
      </w:r>
      <w:r>
        <w:rPr>
          <w:rStyle w:val="FootnoteReference"/>
          <w:noProof/>
          <w:lang w:eastAsia="ko-KR"/>
        </w:rPr>
        <w:footnoteReference w:id="16"/>
      </w:r>
      <w:r>
        <w:rPr>
          <w:noProof/>
        </w:rPr>
        <w:t xml:space="preserve"> jako stosunek zasobów własnych, które mają zostać udostępnione przez Zjednoczone Królestwo w latach 2014–2020, i środków udostępnionych w tym okresie przez wszystkie państwa członkowskie i Zjednoczone Królestwo do prognozowanego poziomu płatności z tytułu zobowiązań pozostających do spłaty dla każdego roku od 2021 do 2025 r. Roczny wkład Zjednoczonego Królestwa uwzględnia warunki płatności określone w art. 148 Umowy o wystąpieniu.</w:t>
      </w:r>
    </w:p>
    <w:p>
      <w:pPr>
        <w:spacing w:after="120" w:line="276" w:lineRule="auto"/>
        <w:jc w:val="both"/>
        <w:rPr>
          <w:noProof/>
        </w:rPr>
      </w:pPr>
      <w:r>
        <w:rPr>
          <w:noProof/>
        </w:rPr>
        <w:t>W odniesieniu do płatności związanych ze zobowiązaniami emerytalnymi nie można przewidzieć żadnej kwoty, ponieważ wkład byłby ustalany co roku na podstawie faktycznych beneficjentów, łącznych praw po okresie zatrudnienia oraz innych szczególnych elementów określonych w art. 142 projektu Umowy o wystąpieniu. Wyjątek stanowi zobowiązanie emerytalne wskazane w art. 142 ust. 5, które tymczasowo zostało wyrażone ilościowo i uwzględnione we wkładzie Zjednoczonego Królestwa na lata 2021–2025.</w:t>
      </w:r>
    </w:p>
    <w:p>
      <w:pPr>
        <w:pStyle w:val="Heading1"/>
        <w:numPr>
          <w:ilvl w:val="0"/>
          <w:numId w:val="21"/>
        </w:numPr>
        <w:tabs>
          <w:tab w:val="left" w:pos="720"/>
        </w:tabs>
        <w:spacing w:before="0" w:after="120" w:line="276" w:lineRule="auto"/>
        <w:rPr>
          <w:noProof/>
        </w:rPr>
      </w:pPr>
      <w:bookmarkStart w:id="20" w:name="_Toc524523073"/>
      <w:bookmarkEnd w:id="19"/>
      <w:r>
        <w:rPr>
          <w:noProof/>
        </w:rPr>
        <w:t>Wnioski</w:t>
      </w:r>
      <w:bookmarkEnd w:id="20"/>
    </w:p>
    <w:p>
      <w:pPr>
        <w:spacing w:after="120" w:line="276" w:lineRule="auto"/>
        <w:jc w:val="both"/>
        <w:rPr>
          <w:noProof/>
        </w:rPr>
      </w:pPr>
      <w:r>
        <w:rPr>
          <w:noProof/>
        </w:rPr>
        <w:t xml:space="preserve">Tegoroczne sprawozdanie dotyczące prognozy obejmuje pierwsze pięć lat kolejnych wieloletnich ram finansowych, które są nadal przedmiotem negocjacji. Prognoza dotycząca płatności opiera się zatem na zmienionym wniosku Komisji w sprawie kolejnych ram finansowych z maja 2020 r., a także na wzmocnieniu programów w 2020 r. zgodnie z inicjatywami inwestycyjnymi w odpowiedzi na koronawirusa (CRII i CRII+) i budżetami korygującymi nr 1 i nr 2 oraz projektem budżetu korygującego nr 6. </w:t>
      </w:r>
    </w:p>
    <w:p>
      <w:pPr>
        <w:spacing w:after="120" w:line="276" w:lineRule="auto"/>
        <w:jc w:val="both"/>
        <w:rPr>
          <w:noProof/>
        </w:rPr>
      </w:pPr>
      <w:r>
        <w:rPr>
          <w:noProof/>
        </w:rPr>
        <w:t xml:space="preserve">Zgodnie z tymi propozycjami płatności w pierwszych latach nowego okresu programowania wzrosną w porównaniu z ubiegłorocznymi szacunkami i osiągną poziom przewyższający proponowane pułapy zobowiązań. Pozwoli to odwrócić tendencję wzrostową zobowiązań pozostających do spłaty. Na podstawie wniosków Komisji zobowiązania pozostające do spłaty zmniejszyłyby się o 5% do końca 2025 r. </w:t>
      </w:r>
    </w:p>
    <w:p>
      <w:pPr>
        <w:spacing w:after="120" w:line="276" w:lineRule="auto"/>
        <w:jc w:val="both"/>
        <w:rPr>
          <w:noProof/>
        </w:rPr>
      </w:pPr>
      <w:r>
        <w:rPr>
          <w:noProof/>
        </w:rPr>
        <w:t>Szczególną uwagę należy zwrócić na płatności w 2021 r. Podwyższenie stawek płatności zaliczkowych w ramach polityki spójności miałoby natychmiastowy wpływ na potrzeby w zakresie płatności. Jednak do czasu, aż obecny pułap zasobów własnych wynoszący 1,20% dochodu narodowego brutto zostanie formalnie zastąpiony nowym pułapem, nie będzie możliwości, by podnieść pułap płatności na 2021 r. wyżej niż określono we wniosku Komisji, co doprowadziłoby bezpośrednio do powstania nadmiernych zaległości w płatnościach.</w:t>
      </w:r>
    </w:p>
    <w:p>
      <w:pPr>
        <w:spacing w:after="120" w:line="276" w:lineRule="auto"/>
        <w:jc w:val="both"/>
        <w:rPr>
          <w:noProof/>
        </w:rPr>
      </w:pPr>
    </w:p>
    <w:p>
      <w:pPr>
        <w:jc w:val="right"/>
        <w:rPr>
          <w:noProof/>
        </w:rPr>
      </w:pPr>
      <w:r>
        <w:rPr>
          <w:noProof/>
        </w:rPr>
        <w:br w:type="page"/>
      </w:r>
      <w:bookmarkStart w:id="21" w:name="_Toc524523074"/>
      <w:r>
        <w:rPr>
          <w:b/>
          <w:noProof/>
          <w:sz w:val="20"/>
          <w:szCs w:val="20"/>
        </w:rPr>
        <w:t>Załącznik</w:t>
      </w:r>
      <w:bookmarkEnd w:id="21"/>
      <w:r>
        <w:rPr>
          <w:b/>
          <w:noProof/>
          <w:sz w:val="20"/>
          <w:szCs w:val="20"/>
        </w:rPr>
        <w:t xml:space="preserve"> 1</w:t>
      </w:r>
    </w:p>
    <w:p>
      <w:pPr>
        <w:pStyle w:val="Caption"/>
        <w:keepNext/>
        <w:rPr>
          <w:noProof/>
        </w:rPr>
      </w:pPr>
      <w:r>
        <w:rPr>
          <w:noProof/>
        </w:rPr>
        <w:t xml:space="preserve">Tabela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rPr>
          <w:noProof/>
        </w:rPr>
        <w:t xml:space="preserve"> – Prognoza długoterminowa przyszłych wpływów do budżetu UE i wypływów z tego budżetu na lata 2021–2025 </w:t>
      </w:r>
    </w:p>
    <w:tbl>
      <w:tblPr>
        <w:tblW w:w="17513" w:type="dxa"/>
        <w:tblInd w:w="-459" w:type="dxa"/>
        <w:tblLook w:val="04A0" w:firstRow="1" w:lastRow="0" w:firstColumn="1" w:lastColumn="0" w:noHBand="0" w:noVBand="1"/>
      </w:tblPr>
      <w:tblGrid>
        <w:gridCol w:w="4649"/>
        <w:gridCol w:w="57"/>
        <w:gridCol w:w="1256"/>
        <w:gridCol w:w="60"/>
        <w:gridCol w:w="1193"/>
        <w:gridCol w:w="57"/>
        <w:gridCol w:w="1162"/>
        <w:gridCol w:w="31"/>
        <w:gridCol w:w="57"/>
        <w:gridCol w:w="1193"/>
        <w:gridCol w:w="57"/>
        <w:gridCol w:w="159"/>
        <w:gridCol w:w="1034"/>
        <w:gridCol w:w="57"/>
        <w:gridCol w:w="50"/>
        <w:gridCol w:w="453"/>
        <w:gridCol w:w="1656"/>
        <w:gridCol w:w="1656"/>
        <w:gridCol w:w="1656"/>
        <w:gridCol w:w="1020"/>
      </w:tblGrid>
      <w:tr>
        <w:trPr>
          <w:gridAfter w:val="5"/>
          <w:wAfter w:w="6441" w:type="dxa"/>
          <w:trHeight w:val="20"/>
        </w:trPr>
        <w:tc>
          <w:tcPr>
            <w:tcW w:w="4649" w:type="dxa"/>
            <w:tcBorders>
              <w:top w:val="nil"/>
              <w:left w:val="nil"/>
              <w:bottom w:val="nil"/>
              <w:right w:val="nil"/>
            </w:tcBorders>
            <w:shd w:val="clear" w:color="auto" w:fill="auto"/>
            <w:noWrap/>
            <w:vAlign w:val="center"/>
            <w:hideMark/>
          </w:tcPr>
          <w:p>
            <w:pPr>
              <w:rPr>
                <w:i/>
                <w:iCs/>
                <w:noProof/>
                <w:color w:val="000000"/>
                <w:sz w:val="20"/>
                <w:szCs w:val="20"/>
              </w:rPr>
            </w:pPr>
            <w:bookmarkStart w:id="22" w:name="RANGE!C2:J46"/>
            <w:r>
              <w:rPr>
                <w:i/>
                <w:iCs/>
                <w:noProof/>
                <w:color w:val="000000"/>
                <w:sz w:val="20"/>
                <w:szCs w:val="20"/>
              </w:rPr>
              <w:t>W mld EUR, według cen bieżących</w:t>
            </w:r>
            <w:bookmarkEnd w:id="22"/>
          </w:p>
        </w:tc>
        <w:tc>
          <w:tcPr>
            <w:tcW w:w="6423" w:type="dxa"/>
            <w:gridSpan w:val="14"/>
            <w:tcBorders>
              <w:top w:val="nil"/>
              <w:left w:val="nil"/>
              <w:bottom w:val="nil"/>
              <w:right w:val="nil"/>
            </w:tcBorders>
            <w:shd w:val="clear" w:color="auto" w:fill="auto"/>
            <w:noWrap/>
            <w:vAlign w:val="center"/>
            <w:hideMark/>
          </w:tcPr>
          <w:p>
            <w:pPr>
              <w:jc w:val="center"/>
              <w:rPr>
                <w:b/>
                <w:bCs/>
                <w:noProof/>
                <w:color w:val="000000"/>
                <w:sz w:val="20"/>
                <w:szCs w:val="20"/>
              </w:rPr>
            </w:pPr>
            <w:r>
              <w:rPr>
                <w:b/>
                <w:bCs/>
                <w:noProof/>
                <w:color w:val="000000"/>
                <w:sz w:val="20"/>
                <w:szCs w:val="20"/>
              </w:rPr>
              <w:t xml:space="preserve">Wniosek Komisji w sprawie WRF na lata 2021–2027 </w:t>
            </w:r>
          </w:p>
        </w:tc>
      </w:tr>
      <w:tr>
        <w:trPr>
          <w:gridAfter w:val="7"/>
          <w:wAfter w:w="6548" w:type="dxa"/>
          <w:trHeight w:val="20"/>
        </w:trPr>
        <w:tc>
          <w:tcPr>
            <w:tcW w:w="4649" w:type="dxa"/>
            <w:tcBorders>
              <w:top w:val="nil"/>
              <w:left w:val="nil"/>
              <w:bottom w:val="dotted" w:sz="4" w:space="0" w:color="auto"/>
              <w:right w:val="nil"/>
            </w:tcBorders>
            <w:shd w:val="clear" w:color="auto" w:fill="auto"/>
            <w:noWrap/>
            <w:vAlign w:val="center"/>
            <w:hideMark/>
          </w:tcPr>
          <w:p>
            <w:pPr>
              <w:rPr>
                <w:i/>
                <w:iCs/>
                <w:noProof/>
                <w:color w:val="000000"/>
                <w:sz w:val="20"/>
                <w:szCs w:val="20"/>
              </w:rPr>
            </w:pPr>
            <w:r>
              <w:rPr>
                <w:i/>
                <w:iCs/>
                <w:noProof/>
                <w:color w:val="000000"/>
                <w:sz w:val="20"/>
                <w:szCs w:val="20"/>
              </w:rPr>
              <w:t xml:space="preserve"> </w:t>
            </w:r>
          </w:p>
        </w:tc>
        <w:tc>
          <w:tcPr>
            <w:tcW w:w="1313" w:type="dxa"/>
            <w:gridSpan w:val="2"/>
            <w:tcBorders>
              <w:top w:val="nil"/>
              <w:left w:val="nil"/>
              <w:bottom w:val="dotted" w:sz="4" w:space="0" w:color="auto"/>
              <w:right w:val="nil"/>
            </w:tcBorders>
            <w:shd w:val="clear" w:color="auto" w:fill="auto"/>
            <w:noWrap/>
            <w:vAlign w:val="center"/>
            <w:hideMark/>
          </w:tcPr>
          <w:p>
            <w:pPr>
              <w:jc w:val="center"/>
              <w:rPr>
                <w:b/>
                <w:bCs/>
                <w:noProof/>
                <w:color w:val="000000"/>
                <w:sz w:val="20"/>
                <w:szCs w:val="20"/>
              </w:rPr>
            </w:pPr>
            <w:r>
              <w:rPr>
                <w:b/>
                <w:bCs/>
                <w:noProof/>
                <w:color w:val="000000"/>
                <w:sz w:val="20"/>
                <w:szCs w:val="20"/>
              </w:rPr>
              <w:t>DB2021</w:t>
            </w:r>
          </w:p>
        </w:tc>
        <w:tc>
          <w:tcPr>
            <w:tcW w:w="1253" w:type="dxa"/>
            <w:gridSpan w:val="2"/>
            <w:tcBorders>
              <w:top w:val="nil"/>
              <w:left w:val="nil"/>
              <w:bottom w:val="dotted" w:sz="4" w:space="0" w:color="auto"/>
              <w:right w:val="nil"/>
            </w:tcBorders>
            <w:shd w:val="clear" w:color="auto" w:fill="auto"/>
            <w:noWrap/>
            <w:vAlign w:val="center"/>
            <w:hideMark/>
          </w:tcPr>
          <w:p>
            <w:pPr>
              <w:jc w:val="center"/>
              <w:rPr>
                <w:b/>
                <w:bCs/>
                <w:noProof/>
                <w:color w:val="000000"/>
                <w:sz w:val="20"/>
                <w:szCs w:val="20"/>
              </w:rPr>
            </w:pPr>
            <w:r>
              <w:rPr>
                <w:b/>
                <w:bCs/>
                <w:noProof/>
                <w:color w:val="000000"/>
                <w:sz w:val="20"/>
                <w:szCs w:val="20"/>
              </w:rPr>
              <w:t>2022</w:t>
            </w:r>
          </w:p>
        </w:tc>
        <w:tc>
          <w:tcPr>
            <w:tcW w:w="1250" w:type="dxa"/>
            <w:gridSpan w:val="3"/>
            <w:tcBorders>
              <w:top w:val="nil"/>
              <w:left w:val="nil"/>
              <w:bottom w:val="dotted" w:sz="4" w:space="0" w:color="auto"/>
              <w:right w:val="nil"/>
            </w:tcBorders>
            <w:shd w:val="clear" w:color="auto" w:fill="auto"/>
            <w:noWrap/>
            <w:vAlign w:val="center"/>
            <w:hideMark/>
          </w:tcPr>
          <w:p>
            <w:pPr>
              <w:jc w:val="center"/>
              <w:rPr>
                <w:b/>
                <w:bCs/>
                <w:noProof/>
                <w:color w:val="000000"/>
                <w:sz w:val="20"/>
                <w:szCs w:val="20"/>
              </w:rPr>
            </w:pPr>
            <w:r>
              <w:rPr>
                <w:b/>
                <w:bCs/>
                <w:noProof/>
                <w:color w:val="000000"/>
                <w:sz w:val="20"/>
                <w:szCs w:val="20"/>
              </w:rPr>
              <w:t>2023</w:t>
            </w:r>
          </w:p>
        </w:tc>
        <w:tc>
          <w:tcPr>
            <w:tcW w:w="1250" w:type="dxa"/>
            <w:gridSpan w:val="2"/>
            <w:tcBorders>
              <w:top w:val="nil"/>
              <w:left w:val="nil"/>
              <w:bottom w:val="dotted" w:sz="4" w:space="0" w:color="auto"/>
              <w:right w:val="nil"/>
            </w:tcBorders>
            <w:shd w:val="clear" w:color="auto" w:fill="auto"/>
            <w:noWrap/>
            <w:vAlign w:val="center"/>
            <w:hideMark/>
          </w:tcPr>
          <w:p>
            <w:pPr>
              <w:jc w:val="center"/>
              <w:rPr>
                <w:b/>
                <w:bCs/>
                <w:noProof/>
                <w:color w:val="000000"/>
                <w:sz w:val="20"/>
                <w:szCs w:val="20"/>
              </w:rPr>
            </w:pPr>
            <w:r>
              <w:rPr>
                <w:b/>
                <w:bCs/>
                <w:noProof/>
                <w:color w:val="000000"/>
                <w:sz w:val="20"/>
                <w:szCs w:val="20"/>
              </w:rPr>
              <w:t>2024</w:t>
            </w:r>
          </w:p>
        </w:tc>
        <w:tc>
          <w:tcPr>
            <w:tcW w:w="1250" w:type="dxa"/>
            <w:gridSpan w:val="3"/>
            <w:tcBorders>
              <w:top w:val="nil"/>
              <w:left w:val="nil"/>
              <w:bottom w:val="dotted" w:sz="4" w:space="0" w:color="auto"/>
              <w:right w:val="nil"/>
            </w:tcBorders>
            <w:shd w:val="clear" w:color="auto" w:fill="auto"/>
            <w:noWrap/>
            <w:vAlign w:val="center"/>
            <w:hideMark/>
          </w:tcPr>
          <w:p>
            <w:pPr>
              <w:jc w:val="center"/>
              <w:rPr>
                <w:b/>
                <w:bCs/>
                <w:noProof/>
                <w:color w:val="000000"/>
                <w:sz w:val="20"/>
                <w:szCs w:val="20"/>
              </w:rPr>
            </w:pPr>
            <w:r>
              <w:rPr>
                <w:b/>
                <w:bCs/>
                <w:noProof/>
                <w:color w:val="000000"/>
                <w:sz w:val="20"/>
                <w:szCs w:val="20"/>
              </w:rPr>
              <w:t>2025</w:t>
            </w:r>
          </w:p>
        </w:tc>
      </w:tr>
      <w:tr>
        <w:trPr>
          <w:gridAfter w:val="6"/>
          <w:wAfter w:w="6491" w:type="dxa"/>
          <w:trHeight w:val="320"/>
        </w:trPr>
        <w:tc>
          <w:tcPr>
            <w:tcW w:w="4706" w:type="dxa"/>
            <w:gridSpan w:val="2"/>
            <w:tcBorders>
              <w:top w:val="dotted" w:sz="4" w:space="0" w:color="auto"/>
              <w:left w:val="nil"/>
              <w:bottom w:val="dotted" w:sz="4" w:space="0" w:color="auto"/>
              <w:right w:val="nil"/>
            </w:tcBorders>
            <w:shd w:val="clear" w:color="auto" w:fill="CCFFCC"/>
            <w:noWrap/>
            <w:vAlign w:val="center"/>
            <w:hideMark/>
          </w:tcPr>
          <w:p>
            <w:pPr>
              <w:rPr>
                <w:b/>
                <w:bCs/>
                <w:noProof/>
                <w:color w:val="000000"/>
                <w:sz w:val="20"/>
                <w:szCs w:val="20"/>
              </w:rPr>
            </w:pPr>
            <w:r>
              <w:rPr>
                <w:b/>
                <w:bCs/>
                <w:noProof/>
                <w:color w:val="000000"/>
                <w:sz w:val="20"/>
                <w:szCs w:val="20"/>
              </w:rPr>
              <w:t>WYPŁYWY</w:t>
            </w:r>
          </w:p>
        </w:tc>
        <w:tc>
          <w:tcPr>
            <w:tcW w:w="1316" w:type="dxa"/>
            <w:gridSpan w:val="2"/>
            <w:tcBorders>
              <w:top w:val="dotted" w:sz="4" w:space="0" w:color="auto"/>
              <w:left w:val="nil"/>
              <w:bottom w:val="dotted" w:sz="4" w:space="0" w:color="auto"/>
              <w:right w:val="nil"/>
            </w:tcBorders>
            <w:shd w:val="clear" w:color="auto" w:fill="CCFFCC"/>
            <w:noWrap/>
            <w:vAlign w:val="center"/>
            <w:hideMark/>
          </w:tcPr>
          <w:p>
            <w:pPr>
              <w:jc w:val="center"/>
              <w:rPr>
                <w:b/>
                <w:bCs/>
                <w:noProof/>
                <w:color w:val="000000"/>
                <w:sz w:val="20"/>
                <w:szCs w:val="20"/>
              </w:rPr>
            </w:pPr>
            <w:r>
              <w:rPr>
                <w:b/>
                <w:bCs/>
                <w:noProof/>
                <w:color w:val="000000"/>
                <w:sz w:val="20"/>
                <w:szCs w:val="20"/>
              </w:rPr>
              <w:t xml:space="preserve"> </w:t>
            </w:r>
          </w:p>
        </w:tc>
        <w:tc>
          <w:tcPr>
            <w:tcW w:w="1250" w:type="dxa"/>
            <w:gridSpan w:val="2"/>
            <w:tcBorders>
              <w:top w:val="dotted" w:sz="4" w:space="0" w:color="auto"/>
              <w:left w:val="nil"/>
              <w:bottom w:val="dotted" w:sz="4" w:space="0" w:color="auto"/>
              <w:right w:val="nil"/>
            </w:tcBorders>
            <w:shd w:val="clear" w:color="auto" w:fill="CCFFCC"/>
            <w:noWrap/>
            <w:vAlign w:val="center"/>
            <w:hideMark/>
          </w:tcPr>
          <w:p>
            <w:pPr>
              <w:jc w:val="center"/>
              <w:rPr>
                <w:b/>
                <w:bCs/>
                <w:noProof/>
                <w:color w:val="000000"/>
                <w:sz w:val="20"/>
                <w:szCs w:val="20"/>
              </w:rPr>
            </w:pPr>
            <w:r>
              <w:rPr>
                <w:b/>
                <w:bCs/>
                <w:noProof/>
                <w:color w:val="000000"/>
                <w:sz w:val="20"/>
                <w:szCs w:val="20"/>
              </w:rPr>
              <w:t xml:space="preserve"> </w:t>
            </w:r>
          </w:p>
        </w:tc>
        <w:tc>
          <w:tcPr>
            <w:tcW w:w="1250" w:type="dxa"/>
            <w:gridSpan w:val="3"/>
            <w:tcBorders>
              <w:top w:val="dotted" w:sz="4" w:space="0" w:color="auto"/>
              <w:left w:val="nil"/>
              <w:bottom w:val="dotted" w:sz="4" w:space="0" w:color="auto"/>
              <w:right w:val="nil"/>
            </w:tcBorders>
            <w:shd w:val="clear" w:color="auto" w:fill="CCFFCC"/>
            <w:noWrap/>
            <w:vAlign w:val="center"/>
            <w:hideMark/>
          </w:tcPr>
          <w:p>
            <w:pPr>
              <w:jc w:val="center"/>
              <w:rPr>
                <w:b/>
                <w:bCs/>
                <w:noProof/>
                <w:color w:val="000000"/>
                <w:sz w:val="20"/>
                <w:szCs w:val="20"/>
              </w:rPr>
            </w:pPr>
            <w:r>
              <w:rPr>
                <w:b/>
                <w:bCs/>
                <w:noProof/>
                <w:color w:val="000000"/>
                <w:sz w:val="20"/>
                <w:szCs w:val="20"/>
              </w:rPr>
              <w:t xml:space="preserve"> </w:t>
            </w:r>
          </w:p>
        </w:tc>
        <w:tc>
          <w:tcPr>
            <w:tcW w:w="1250" w:type="dxa"/>
            <w:gridSpan w:val="2"/>
            <w:tcBorders>
              <w:top w:val="dotted" w:sz="4" w:space="0" w:color="auto"/>
              <w:left w:val="nil"/>
              <w:bottom w:val="dotted" w:sz="4" w:space="0" w:color="auto"/>
              <w:right w:val="nil"/>
            </w:tcBorders>
            <w:shd w:val="clear" w:color="auto" w:fill="CCFFCC"/>
            <w:noWrap/>
            <w:vAlign w:val="center"/>
            <w:hideMark/>
          </w:tcPr>
          <w:p>
            <w:pPr>
              <w:jc w:val="center"/>
              <w:rPr>
                <w:b/>
                <w:bCs/>
                <w:noProof/>
                <w:color w:val="000000"/>
                <w:sz w:val="20"/>
                <w:szCs w:val="20"/>
              </w:rPr>
            </w:pPr>
            <w:r>
              <w:rPr>
                <w:b/>
                <w:bCs/>
                <w:noProof/>
                <w:color w:val="000000"/>
                <w:sz w:val="20"/>
                <w:szCs w:val="20"/>
              </w:rPr>
              <w:t xml:space="preserve"> </w:t>
            </w:r>
          </w:p>
        </w:tc>
        <w:tc>
          <w:tcPr>
            <w:tcW w:w="1250" w:type="dxa"/>
            <w:gridSpan w:val="3"/>
            <w:tcBorders>
              <w:top w:val="dotted" w:sz="4" w:space="0" w:color="auto"/>
              <w:left w:val="nil"/>
              <w:bottom w:val="dotted" w:sz="4" w:space="0" w:color="auto"/>
              <w:right w:val="nil"/>
            </w:tcBorders>
            <w:shd w:val="clear" w:color="auto" w:fill="CCFFCC"/>
            <w:noWrap/>
            <w:vAlign w:val="center"/>
            <w:hideMark/>
          </w:tcPr>
          <w:p>
            <w:pPr>
              <w:jc w:val="center"/>
              <w:rPr>
                <w:b/>
                <w:bCs/>
                <w:noProof/>
                <w:color w:val="000000"/>
                <w:sz w:val="20"/>
                <w:szCs w:val="20"/>
              </w:rPr>
            </w:pPr>
            <w:r>
              <w:rPr>
                <w:b/>
                <w:bCs/>
                <w:noProof/>
                <w:color w:val="000000"/>
                <w:sz w:val="20"/>
                <w:szCs w:val="20"/>
              </w:rPr>
              <w:t xml:space="preserve"> </w:t>
            </w:r>
          </w:p>
        </w:tc>
      </w:tr>
      <w:tr>
        <w:trPr>
          <w:gridAfter w:val="6"/>
          <w:wAfter w:w="6491" w:type="dxa"/>
          <w:trHeight w:val="290"/>
        </w:trPr>
        <w:tc>
          <w:tcPr>
            <w:tcW w:w="4706" w:type="dxa"/>
            <w:gridSpan w:val="2"/>
            <w:tcBorders>
              <w:top w:val="dotted" w:sz="4" w:space="0" w:color="auto"/>
              <w:left w:val="nil"/>
              <w:bottom w:val="dotted" w:sz="4" w:space="0" w:color="auto"/>
              <w:right w:val="dotted" w:sz="4" w:space="0" w:color="auto"/>
            </w:tcBorders>
            <w:shd w:val="clear" w:color="auto" w:fill="auto"/>
            <w:noWrap/>
            <w:vAlign w:val="center"/>
            <w:hideMark/>
          </w:tcPr>
          <w:p>
            <w:pPr>
              <w:rPr>
                <w:i/>
                <w:iCs/>
                <w:noProof/>
                <w:color w:val="215967"/>
                <w:sz w:val="20"/>
                <w:szCs w:val="20"/>
              </w:rPr>
            </w:pPr>
            <w:r>
              <w:rPr>
                <w:i/>
                <w:iCs/>
                <w:noProof/>
                <w:color w:val="215967"/>
                <w:sz w:val="20"/>
                <w:szCs w:val="20"/>
              </w:rPr>
              <w:t>Pułap zobowiązań</w:t>
            </w:r>
          </w:p>
        </w:tc>
        <w:tc>
          <w:tcPr>
            <w:tcW w:w="1316"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215967"/>
                <w:sz w:val="20"/>
                <w:szCs w:val="20"/>
              </w:rPr>
            </w:pPr>
            <w:r>
              <w:rPr>
                <w:i/>
                <w:iCs/>
                <w:noProof/>
                <w:color w:val="215967"/>
                <w:sz w:val="20"/>
                <w:szCs w:val="20"/>
              </w:rPr>
              <w:t>164,9</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215967"/>
                <w:sz w:val="20"/>
                <w:szCs w:val="20"/>
              </w:rPr>
            </w:pPr>
            <w:r>
              <w:rPr>
                <w:i/>
                <w:iCs/>
                <w:noProof/>
                <w:color w:val="215967"/>
                <w:sz w:val="20"/>
                <w:szCs w:val="20"/>
              </w:rPr>
              <w:t>167,1</w:t>
            </w:r>
          </w:p>
        </w:tc>
        <w:tc>
          <w:tcPr>
            <w:tcW w:w="1250"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215967"/>
                <w:sz w:val="20"/>
                <w:szCs w:val="20"/>
              </w:rPr>
            </w:pPr>
            <w:r>
              <w:rPr>
                <w:i/>
                <w:iCs/>
                <w:noProof/>
                <w:color w:val="215967"/>
                <w:sz w:val="20"/>
                <w:szCs w:val="20"/>
              </w:rPr>
              <w:t>171,8</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215967"/>
                <w:sz w:val="20"/>
                <w:szCs w:val="20"/>
              </w:rPr>
            </w:pPr>
            <w:r>
              <w:rPr>
                <w:i/>
                <w:iCs/>
                <w:noProof/>
                <w:color w:val="215967"/>
                <w:sz w:val="20"/>
                <w:szCs w:val="20"/>
              </w:rPr>
              <w:t>176,1</w:t>
            </w:r>
          </w:p>
        </w:tc>
        <w:tc>
          <w:tcPr>
            <w:tcW w:w="1250" w:type="dxa"/>
            <w:gridSpan w:val="3"/>
            <w:tcBorders>
              <w:top w:val="dotted" w:sz="4" w:space="0" w:color="auto"/>
              <w:left w:val="dotted" w:sz="4" w:space="0" w:color="auto"/>
              <w:bottom w:val="dotted" w:sz="4" w:space="0" w:color="auto"/>
              <w:right w:val="nil"/>
            </w:tcBorders>
            <w:shd w:val="clear" w:color="auto" w:fill="auto"/>
            <w:noWrap/>
            <w:vAlign w:val="center"/>
            <w:hideMark/>
          </w:tcPr>
          <w:p>
            <w:pPr>
              <w:jc w:val="right"/>
              <w:rPr>
                <w:i/>
                <w:iCs/>
                <w:noProof/>
                <w:color w:val="215967"/>
                <w:sz w:val="20"/>
                <w:szCs w:val="20"/>
              </w:rPr>
            </w:pPr>
            <w:r>
              <w:rPr>
                <w:i/>
                <w:iCs/>
                <w:noProof/>
                <w:color w:val="215967"/>
                <w:sz w:val="20"/>
                <w:szCs w:val="20"/>
              </w:rPr>
              <w:t>181,4</w:t>
            </w:r>
          </w:p>
        </w:tc>
      </w:tr>
      <w:tr>
        <w:trPr>
          <w:gridAfter w:val="6"/>
          <w:wAfter w:w="6491" w:type="dxa"/>
          <w:trHeight w:val="300"/>
        </w:trPr>
        <w:tc>
          <w:tcPr>
            <w:tcW w:w="4706" w:type="dxa"/>
            <w:gridSpan w:val="2"/>
            <w:tcBorders>
              <w:top w:val="dotted" w:sz="4" w:space="0" w:color="auto"/>
              <w:left w:val="nil"/>
              <w:bottom w:val="dotted" w:sz="4" w:space="0" w:color="auto"/>
              <w:right w:val="dotted" w:sz="4" w:space="0" w:color="auto"/>
            </w:tcBorders>
            <w:shd w:val="clear" w:color="auto" w:fill="auto"/>
            <w:noWrap/>
            <w:vAlign w:val="center"/>
            <w:hideMark/>
          </w:tcPr>
          <w:p>
            <w:pPr>
              <w:rPr>
                <w:i/>
                <w:iCs/>
                <w:noProof/>
                <w:color w:val="215967"/>
                <w:sz w:val="20"/>
                <w:szCs w:val="20"/>
              </w:rPr>
            </w:pPr>
            <w:r>
              <w:rPr>
                <w:i/>
                <w:iCs/>
                <w:noProof/>
                <w:color w:val="215967"/>
                <w:sz w:val="20"/>
                <w:szCs w:val="20"/>
              </w:rPr>
              <w:t>Pułap płatności</w:t>
            </w:r>
          </w:p>
        </w:tc>
        <w:tc>
          <w:tcPr>
            <w:tcW w:w="1316"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215967"/>
                <w:sz w:val="20"/>
                <w:szCs w:val="20"/>
              </w:rPr>
            </w:pPr>
            <w:r>
              <w:rPr>
                <w:i/>
                <w:iCs/>
                <w:noProof/>
                <w:color w:val="215967"/>
                <w:sz w:val="20"/>
                <w:szCs w:val="20"/>
              </w:rPr>
              <w:t>165,6</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215967"/>
                <w:sz w:val="20"/>
                <w:szCs w:val="20"/>
              </w:rPr>
            </w:pPr>
            <w:r>
              <w:rPr>
                <w:i/>
                <w:iCs/>
                <w:noProof/>
                <w:color w:val="215967"/>
                <w:sz w:val="20"/>
                <w:szCs w:val="20"/>
              </w:rPr>
              <w:t>170,1</w:t>
            </w:r>
          </w:p>
        </w:tc>
        <w:tc>
          <w:tcPr>
            <w:tcW w:w="1250"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215967"/>
                <w:sz w:val="20"/>
                <w:szCs w:val="20"/>
              </w:rPr>
            </w:pPr>
            <w:r>
              <w:rPr>
                <w:i/>
                <w:iCs/>
                <w:noProof/>
                <w:color w:val="215967"/>
                <w:sz w:val="20"/>
                <w:szCs w:val="20"/>
              </w:rPr>
              <w:t>174,5</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215967"/>
                <w:sz w:val="20"/>
                <w:szCs w:val="20"/>
              </w:rPr>
            </w:pPr>
            <w:r>
              <w:rPr>
                <w:i/>
                <w:iCs/>
                <w:noProof/>
                <w:color w:val="215967"/>
                <w:sz w:val="20"/>
                <w:szCs w:val="20"/>
              </w:rPr>
              <w:t>178,0</w:t>
            </w:r>
          </w:p>
        </w:tc>
        <w:tc>
          <w:tcPr>
            <w:tcW w:w="1250" w:type="dxa"/>
            <w:gridSpan w:val="3"/>
            <w:tcBorders>
              <w:top w:val="dotted" w:sz="4" w:space="0" w:color="auto"/>
              <w:left w:val="dotted" w:sz="4" w:space="0" w:color="auto"/>
              <w:bottom w:val="dotted" w:sz="4" w:space="0" w:color="auto"/>
              <w:right w:val="nil"/>
            </w:tcBorders>
            <w:shd w:val="clear" w:color="auto" w:fill="auto"/>
            <w:noWrap/>
            <w:vAlign w:val="center"/>
            <w:hideMark/>
          </w:tcPr>
          <w:p>
            <w:pPr>
              <w:jc w:val="right"/>
              <w:rPr>
                <w:i/>
                <w:iCs/>
                <w:noProof/>
                <w:color w:val="215967"/>
                <w:sz w:val="20"/>
                <w:szCs w:val="20"/>
              </w:rPr>
            </w:pPr>
            <w:r>
              <w:rPr>
                <w:i/>
                <w:iCs/>
                <w:noProof/>
                <w:color w:val="215967"/>
                <w:sz w:val="20"/>
                <w:szCs w:val="20"/>
              </w:rPr>
              <w:t>181,6</w:t>
            </w:r>
          </w:p>
        </w:tc>
      </w:tr>
      <w:tr>
        <w:trPr>
          <w:gridAfter w:val="6"/>
          <w:wAfter w:w="6491" w:type="dxa"/>
          <w:trHeight w:val="290"/>
        </w:trPr>
        <w:tc>
          <w:tcPr>
            <w:tcW w:w="4706" w:type="dxa"/>
            <w:gridSpan w:val="2"/>
            <w:tcBorders>
              <w:top w:val="dotted" w:sz="4" w:space="0" w:color="auto"/>
              <w:left w:val="nil"/>
              <w:bottom w:val="dotted" w:sz="4" w:space="0" w:color="auto"/>
              <w:right w:val="dotted" w:sz="4" w:space="0" w:color="auto"/>
            </w:tcBorders>
            <w:shd w:val="clear" w:color="auto" w:fill="auto"/>
            <w:noWrap/>
            <w:vAlign w:val="center"/>
            <w:hideMark/>
          </w:tcPr>
          <w:p>
            <w:pPr>
              <w:rPr>
                <w:b/>
                <w:bCs/>
                <w:noProof/>
                <w:color w:val="000000"/>
                <w:sz w:val="20"/>
                <w:szCs w:val="20"/>
              </w:rPr>
            </w:pPr>
            <w:r>
              <w:rPr>
                <w:b/>
                <w:bCs/>
                <w:noProof/>
                <w:color w:val="000000"/>
                <w:sz w:val="20"/>
                <w:szCs w:val="20"/>
              </w:rPr>
              <w:t>Środki na zobowiązania</w:t>
            </w:r>
          </w:p>
        </w:tc>
        <w:tc>
          <w:tcPr>
            <w:tcW w:w="1316"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b/>
                <w:bCs/>
                <w:noProof/>
                <w:color w:val="000000"/>
                <w:sz w:val="20"/>
                <w:szCs w:val="20"/>
              </w:rPr>
            </w:pPr>
            <w:r>
              <w:rPr>
                <w:b/>
                <w:bCs/>
                <w:noProof/>
                <w:color w:val="000000"/>
                <w:sz w:val="20"/>
                <w:szCs w:val="20"/>
              </w:rPr>
              <w:t>163,1</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b/>
                <w:bCs/>
                <w:noProof/>
                <w:color w:val="000000"/>
                <w:sz w:val="20"/>
                <w:szCs w:val="20"/>
              </w:rPr>
            </w:pPr>
            <w:r>
              <w:rPr>
                <w:b/>
                <w:bCs/>
                <w:noProof/>
                <w:color w:val="000000"/>
                <w:sz w:val="20"/>
                <w:szCs w:val="20"/>
              </w:rPr>
              <w:t>167,1</w:t>
            </w:r>
          </w:p>
        </w:tc>
        <w:tc>
          <w:tcPr>
            <w:tcW w:w="1250"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b/>
                <w:bCs/>
                <w:noProof/>
                <w:color w:val="000000"/>
                <w:sz w:val="20"/>
                <w:szCs w:val="20"/>
              </w:rPr>
            </w:pPr>
            <w:r>
              <w:rPr>
                <w:b/>
                <w:bCs/>
                <w:noProof/>
                <w:color w:val="000000"/>
                <w:sz w:val="20"/>
                <w:szCs w:val="20"/>
              </w:rPr>
              <w:t>171,8</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b/>
                <w:bCs/>
                <w:noProof/>
                <w:color w:val="000000"/>
                <w:sz w:val="20"/>
                <w:szCs w:val="20"/>
              </w:rPr>
            </w:pPr>
            <w:r>
              <w:rPr>
                <w:b/>
                <w:bCs/>
                <w:noProof/>
                <w:color w:val="000000"/>
                <w:sz w:val="20"/>
                <w:szCs w:val="20"/>
              </w:rPr>
              <w:t>176,1</w:t>
            </w:r>
          </w:p>
        </w:tc>
        <w:tc>
          <w:tcPr>
            <w:tcW w:w="1250" w:type="dxa"/>
            <w:gridSpan w:val="3"/>
            <w:tcBorders>
              <w:top w:val="dotted" w:sz="4" w:space="0" w:color="auto"/>
              <w:left w:val="dotted" w:sz="4" w:space="0" w:color="auto"/>
              <w:bottom w:val="dotted" w:sz="4" w:space="0" w:color="auto"/>
              <w:right w:val="nil"/>
            </w:tcBorders>
            <w:shd w:val="clear" w:color="auto" w:fill="auto"/>
            <w:noWrap/>
            <w:vAlign w:val="center"/>
            <w:hideMark/>
          </w:tcPr>
          <w:p>
            <w:pPr>
              <w:jc w:val="right"/>
              <w:rPr>
                <w:b/>
                <w:bCs/>
                <w:noProof/>
                <w:color w:val="000000"/>
                <w:sz w:val="20"/>
                <w:szCs w:val="20"/>
              </w:rPr>
            </w:pPr>
            <w:r>
              <w:rPr>
                <w:b/>
                <w:bCs/>
                <w:noProof/>
                <w:color w:val="000000"/>
                <w:sz w:val="20"/>
                <w:szCs w:val="20"/>
              </w:rPr>
              <w:t>181,4</w:t>
            </w:r>
          </w:p>
        </w:tc>
      </w:tr>
      <w:tr>
        <w:trPr>
          <w:gridAfter w:val="6"/>
          <w:wAfter w:w="6491" w:type="dxa"/>
          <w:trHeight w:val="300"/>
        </w:trPr>
        <w:tc>
          <w:tcPr>
            <w:tcW w:w="4706" w:type="dxa"/>
            <w:gridSpan w:val="2"/>
            <w:tcBorders>
              <w:top w:val="dotted" w:sz="4" w:space="0" w:color="auto"/>
              <w:left w:val="nil"/>
              <w:bottom w:val="dotted" w:sz="4" w:space="0" w:color="auto"/>
              <w:right w:val="dotted" w:sz="4" w:space="0" w:color="auto"/>
            </w:tcBorders>
            <w:shd w:val="clear" w:color="auto" w:fill="auto"/>
            <w:noWrap/>
            <w:vAlign w:val="center"/>
            <w:hideMark/>
          </w:tcPr>
          <w:p>
            <w:pPr>
              <w:rPr>
                <w:b/>
                <w:bCs/>
                <w:noProof/>
                <w:color w:val="000000"/>
                <w:sz w:val="20"/>
                <w:szCs w:val="20"/>
              </w:rPr>
            </w:pPr>
            <w:r>
              <w:rPr>
                <w:b/>
                <w:bCs/>
                <w:noProof/>
                <w:color w:val="000000"/>
                <w:sz w:val="20"/>
                <w:szCs w:val="20"/>
              </w:rPr>
              <w:t>Środki na płatności</w:t>
            </w:r>
          </w:p>
        </w:tc>
        <w:tc>
          <w:tcPr>
            <w:tcW w:w="1316"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b/>
                <w:bCs/>
                <w:noProof/>
                <w:color w:val="000000"/>
                <w:sz w:val="20"/>
                <w:szCs w:val="20"/>
              </w:rPr>
            </w:pPr>
            <w:r>
              <w:rPr>
                <w:b/>
                <w:bCs/>
                <w:noProof/>
                <w:color w:val="000000"/>
                <w:sz w:val="20"/>
                <w:szCs w:val="20"/>
              </w:rPr>
              <w:t>161,8</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b/>
                <w:bCs/>
                <w:noProof/>
                <w:color w:val="000000"/>
                <w:sz w:val="20"/>
                <w:szCs w:val="20"/>
              </w:rPr>
            </w:pPr>
            <w:r>
              <w:rPr>
                <w:b/>
                <w:bCs/>
                <w:noProof/>
                <w:color w:val="000000"/>
                <w:sz w:val="20"/>
                <w:szCs w:val="20"/>
              </w:rPr>
              <w:t>170,1</w:t>
            </w:r>
          </w:p>
        </w:tc>
        <w:tc>
          <w:tcPr>
            <w:tcW w:w="1250"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b/>
                <w:bCs/>
                <w:noProof/>
                <w:color w:val="000000"/>
                <w:sz w:val="20"/>
                <w:szCs w:val="20"/>
              </w:rPr>
            </w:pPr>
            <w:r>
              <w:rPr>
                <w:b/>
                <w:bCs/>
                <w:noProof/>
                <w:color w:val="000000"/>
                <w:sz w:val="20"/>
                <w:szCs w:val="20"/>
              </w:rPr>
              <w:t>174,5</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b/>
                <w:bCs/>
                <w:noProof/>
                <w:color w:val="000000"/>
                <w:sz w:val="20"/>
                <w:szCs w:val="20"/>
              </w:rPr>
            </w:pPr>
            <w:r>
              <w:rPr>
                <w:b/>
                <w:bCs/>
                <w:noProof/>
                <w:color w:val="000000"/>
                <w:sz w:val="20"/>
                <w:szCs w:val="20"/>
              </w:rPr>
              <w:t>178,0</w:t>
            </w:r>
          </w:p>
        </w:tc>
        <w:tc>
          <w:tcPr>
            <w:tcW w:w="1250" w:type="dxa"/>
            <w:gridSpan w:val="3"/>
            <w:tcBorders>
              <w:top w:val="dotted" w:sz="4" w:space="0" w:color="auto"/>
              <w:left w:val="dotted" w:sz="4" w:space="0" w:color="auto"/>
              <w:bottom w:val="dotted" w:sz="4" w:space="0" w:color="auto"/>
              <w:right w:val="nil"/>
            </w:tcBorders>
            <w:shd w:val="clear" w:color="auto" w:fill="auto"/>
            <w:noWrap/>
            <w:vAlign w:val="center"/>
            <w:hideMark/>
          </w:tcPr>
          <w:p>
            <w:pPr>
              <w:jc w:val="right"/>
              <w:rPr>
                <w:b/>
                <w:bCs/>
                <w:noProof/>
                <w:color w:val="000000"/>
                <w:sz w:val="20"/>
                <w:szCs w:val="20"/>
              </w:rPr>
            </w:pPr>
            <w:r>
              <w:rPr>
                <w:b/>
                <w:bCs/>
                <w:noProof/>
                <w:color w:val="000000"/>
                <w:sz w:val="20"/>
                <w:szCs w:val="20"/>
              </w:rPr>
              <w:t>181,6</w:t>
            </w:r>
          </w:p>
        </w:tc>
      </w:tr>
      <w:tr>
        <w:trPr>
          <w:gridAfter w:val="6"/>
          <w:wAfter w:w="6491" w:type="dxa"/>
          <w:trHeight w:val="290"/>
        </w:trPr>
        <w:tc>
          <w:tcPr>
            <w:tcW w:w="4706" w:type="dxa"/>
            <w:gridSpan w:val="2"/>
            <w:tcBorders>
              <w:top w:val="dotted" w:sz="4" w:space="0" w:color="auto"/>
              <w:left w:val="nil"/>
              <w:bottom w:val="dotted" w:sz="4" w:space="0" w:color="auto"/>
              <w:right w:val="dotted" w:sz="4" w:space="0" w:color="auto"/>
            </w:tcBorders>
            <w:shd w:val="clear" w:color="auto" w:fill="auto"/>
            <w:noWrap/>
            <w:vAlign w:val="center"/>
            <w:hideMark/>
          </w:tcPr>
          <w:p>
            <w:pPr>
              <w:rPr>
                <w:b/>
                <w:bCs/>
                <w:noProof/>
                <w:color w:val="000000"/>
                <w:sz w:val="20"/>
                <w:szCs w:val="20"/>
              </w:rPr>
            </w:pPr>
            <w:r>
              <w:rPr>
                <w:b/>
                <w:bCs/>
                <w:noProof/>
                <w:color w:val="000000"/>
                <w:sz w:val="20"/>
                <w:szCs w:val="20"/>
              </w:rPr>
              <w:t>w tym płatności z tytułu zobowiązań sprzed 2021 r.</w:t>
            </w:r>
          </w:p>
        </w:tc>
        <w:tc>
          <w:tcPr>
            <w:tcW w:w="1316"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b/>
                <w:bCs/>
                <w:noProof/>
                <w:color w:val="000000"/>
                <w:sz w:val="20"/>
                <w:szCs w:val="20"/>
              </w:rPr>
            </w:pPr>
            <w:r>
              <w:rPr>
                <w:b/>
                <w:bCs/>
                <w:noProof/>
                <w:color w:val="000000"/>
                <w:sz w:val="20"/>
                <w:szCs w:val="20"/>
              </w:rPr>
              <w:t>97,2</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b/>
                <w:bCs/>
                <w:noProof/>
                <w:color w:val="000000"/>
                <w:sz w:val="20"/>
                <w:szCs w:val="20"/>
              </w:rPr>
            </w:pPr>
            <w:r>
              <w:rPr>
                <w:b/>
                <w:bCs/>
                <w:noProof/>
                <w:color w:val="000000"/>
                <w:sz w:val="20"/>
                <w:szCs w:val="20"/>
              </w:rPr>
              <w:t>82,3</w:t>
            </w:r>
          </w:p>
        </w:tc>
        <w:tc>
          <w:tcPr>
            <w:tcW w:w="1250"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b/>
                <w:bCs/>
                <w:noProof/>
                <w:color w:val="000000"/>
                <w:sz w:val="20"/>
                <w:szCs w:val="20"/>
              </w:rPr>
            </w:pPr>
            <w:r>
              <w:rPr>
                <w:b/>
                <w:bCs/>
                <w:noProof/>
                <w:color w:val="000000"/>
                <w:sz w:val="20"/>
                <w:szCs w:val="20"/>
              </w:rPr>
              <w:t>52,0</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b/>
                <w:bCs/>
                <w:noProof/>
                <w:color w:val="000000"/>
                <w:sz w:val="20"/>
                <w:szCs w:val="20"/>
              </w:rPr>
            </w:pPr>
            <w:r>
              <w:rPr>
                <w:b/>
                <w:bCs/>
                <w:noProof/>
                <w:color w:val="000000"/>
                <w:sz w:val="20"/>
                <w:szCs w:val="20"/>
              </w:rPr>
              <w:t>32,6</w:t>
            </w:r>
          </w:p>
        </w:tc>
        <w:tc>
          <w:tcPr>
            <w:tcW w:w="1250" w:type="dxa"/>
            <w:gridSpan w:val="3"/>
            <w:tcBorders>
              <w:top w:val="dotted" w:sz="4" w:space="0" w:color="auto"/>
              <w:left w:val="dotted" w:sz="4" w:space="0" w:color="auto"/>
              <w:bottom w:val="dotted" w:sz="4" w:space="0" w:color="auto"/>
              <w:right w:val="nil"/>
            </w:tcBorders>
            <w:shd w:val="clear" w:color="auto" w:fill="auto"/>
            <w:noWrap/>
            <w:vAlign w:val="center"/>
            <w:hideMark/>
          </w:tcPr>
          <w:p>
            <w:pPr>
              <w:jc w:val="right"/>
              <w:rPr>
                <w:b/>
                <w:bCs/>
                <w:noProof/>
                <w:color w:val="000000"/>
                <w:sz w:val="20"/>
                <w:szCs w:val="20"/>
              </w:rPr>
            </w:pPr>
            <w:r>
              <w:rPr>
                <w:b/>
                <w:bCs/>
                <w:noProof/>
                <w:color w:val="000000"/>
                <w:sz w:val="20"/>
                <w:szCs w:val="20"/>
              </w:rPr>
              <w:t>18,4</w:t>
            </w:r>
          </w:p>
        </w:tc>
      </w:tr>
      <w:tr>
        <w:trPr>
          <w:gridAfter w:val="6"/>
          <w:wAfter w:w="6491" w:type="dxa"/>
          <w:trHeight w:val="290"/>
        </w:trPr>
        <w:tc>
          <w:tcPr>
            <w:tcW w:w="4706" w:type="dxa"/>
            <w:gridSpan w:val="2"/>
            <w:tcBorders>
              <w:top w:val="dotted" w:sz="4" w:space="0" w:color="auto"/>
              <w:left w:val="nil"/>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1. Jednolity rynek, innowacje i gospodarka cyfrowa</w:t>
            </w:r>
          </w:p>
        </w:tc>
        <w:tc>
          <w:tcPr>
            <w:tcW w:w="1316"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13,4</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8,8</w:t>
            </w:r>
          </w:p>
        </w:tc>
        <w:tc>
          <w:tcPr>
            <w:tcW w:w="1250"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6,4</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4,6</w:t>
            </w:r>
          </w:p>
        </w:tc>
        <w:tc>
          <w:tcPr>
            <w:tcW w:w="1250" w:type="dxa"/>
            <w:gridSpan w:val="3"/>
            <w:tcBorders>
              <w:top w:val="dotted" w:sz="4" w:space="0" w:color="auto"/>
              <w:left w:val="dotted" w:sz="4" w:space="0" w:color="auto"/>
              <w:bottom w:val="dotted" w:sz="4" w:space="0" w:color="auto"/>
              <w:right w:val="nil"/>
            </w:tcBorders>
            <w:shd w:val="clear" w:color="auto" w:fill="auto"/>
            <w:noWrap/>
            <w:vAlign w:val="center"/>
            <w:hideMark/>
          </w:tcPr>
          <w:p>
            <w:pPr>
              <w:jc w:val="right"/>
              <w:rPr>
                <w:i/>
                <w:iCs/>
                <w:noProof/>
                <w:color w:val="000000"/>
                <w:sz w:val="20"/>
                <w:szCs w:val="20"/>
              </w:rPr>
            </w:pPr>
            <w:r>
              <w:rPr>
                <w:i/>
                <w:iCs/>
                <w:noProof/>
                <w:color w:val="000000"/>
                <w:sz w:val="20"/>
                <w:szCs w:val="20"/>
              </w:rPr>
              <w:t>3,8</w:t>
            </w:r>
          </w:p>
        </w:tc>
      </w:tr>
      <w:tr>
        <w:trPr>
          <w:gridAfter w:val="6"/>
          <w:wAfter w:w="6491" w:type="dxa"/>
          <w:trHeight w:val="290"/>
        </w:trPr>
        <w:tc>
          <w:tcPr>
            <w:tcW w:w="4706" w:type="dxa"/>
            <w:gridSpan w:val="2"/>
            <w:tcBorders>
              <w:top w:val="dotted" w:sz="4" w:space="0" w:color="auto"/>
              <w:left w:val="nil"/>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 xml:space="preserve">2. Spójność i wartości </w:t>
            </w:r>
          </w:p>
        </w:tc>
        <w:tc>
          <w:tcPr>
            <w:tcW w:w="1316"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57,5</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49,9</w:t>
            </w:r>
          </w:p>
        </w:tc>
        <w:tc>
          <w:tcPr>
            <w:tcW w:w="1250"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28,7</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22,4</w:t>
            </w:r>
          </w:p>
        </w:tc>
        <w:tc>
          <w:tcPr>
            <w:tcW w:w="1250" w:type="dxa"/>
            <w:gridSpan w:val="3"/>
            <w:tcBorders>
              <w:top w:val="dotted" w:sz="4" w:space="0" w:color="auto"/>
              <w:left w:val="dotted" w:sz="4" w:space="0" w:color="auto"/>
              <w:bottom w:val="dotted" w:sz="4" w:space="0" w:color="auto"/>
              <w:right w:val="nil"/>
            </w:tcBorders>
            <w:shd w:val="clear" w:color="auto" w:fill="auto"/>
            <w:noWrap/>
            <w:vAlign w:val="center"/>
            <w:hideMark/>
          </w:tcPr>
          <w:p>
            <w:pPr>
              <w:jc w:val="right"/>
              <w:rPr>
                <w:i/>
                <w:iCs/>
                <w:noProof/>
                <w:color w:val="000000"/>
                <w:sz w:val="20"/>
                <w:szCs w:val="20"/>
              </w:rPr>
            </w:pPr>
            <w:r>
              <w:rPr>
                <w:i/>
                <w:iCs/>
                <w:noProof/>
                <w:color w:val="000000"/>
                <w:sz w:val="20"/>
                <w:szCs w:val="20"/>
              </w:rPr>
              <w:t>10,7</w:t>
            </w:r>
          </w:p>
        </w:tc>
      </w:tr>
      <w:tr>
        <w:trPr>
          <w:gridAfter w:val="6"/>
          <w:wAfter w:w="6491" w:type="dxa"/>
          <w:trHeight w:val="290"/>
        </w:trPr>
        <w:tc>
          <w:tcPr>
            <w:tcW w:w="4706" w:type="dxa"/>
            <w:gridSpan w:val="2"/>
            <w:tcBorders>
              <w:top w:val="dotted" w:sz="4" w:space="0" w:color="auto"/>
              <w:left w:val="nil"/>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w tym 2a. Spójność gospodarcza, społeczna i terytorialna</w:t>
            </w:r>
          </w:p>
        </w:tc>
        <w:tc>
          <w:tcPr>
            <w:tcW w:w="1316"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56,6</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49,3</w:t>
            </w:r>
          </w:p>
        </w:tc>
        <w:tc>
          <w:tcPr>
            <w:tcW w:w="1250"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28,4</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22,3</w:t>
            </w:r>
          </w:p>
        </w:tc>
        <w:tc>
          <w:tcPr>
            <w:tcW w:w="1250" w:type="dxa"/>
            <w:gridSpan w:val="3"/>
            <w:tcBorders>
              <w:top w:val="dotted" w:sz="4" w:space="0" w:color="auto"/>
              <w:left w:val="dotted" w:sz="4" w:space="0" w:color="auto"/>
              <w:bottom w:val="dotted" w:sz="4" w:space="0" w:color="auto"/>
              <w:right w:val="nil"/>
            </w:tcBorders>
            <w:shd w:val="clear" w:color="auto" w:fill="auto"/>
            <w:noWrap/>
            <w:vAlign w:val="center"/>
            <w:hideMark/>
          </w:tcPr>
          <w:p>
            <w:pPr>
              <w:jc w:val="right"/>
              <w:rPr>
                <w:i/>
                <w:iCs/>
                <w:noProof/>
                <w:color w:val="000000"/>
                <w:sz w:val="20"/>
                <w:szCs w:val="20"/>
              </w:rPr>
            </w:pPr>
            <w:r>
              <w:rPr>
                <w:i/>
                <w:iCs/>
                <w:noProof/>
                <w:color w:val="000000"/>
                <w:sz w:val="20"/>
                <w:szCs w:val="20"/>
              </w:rPr>
              <w:t>10,7</w:t>
            </w:r>
          </w:p>
        </w:tc>
      </w:tr>
      <w:tr>
        <w:trPr>
          <w:gridAfter w:val="6"/>
          <w:wAfter w:w="6491" w:type="dxa"/>
          <w:trHeight w:val="290"/>
        </w:trPr>
        <w:tc>
          <w:tcPr>
            <w:tcW w:w="4706" w:type="dxa"/>
            <w:gridSpan w:val="2"/>
            <w:tcBorders>
              <w:top w:val="dotted" w:sz="4" w:space="0" w:color="auto"/>
              <w:left w:val="nil"/>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3. Zasoby naturalne i środowisko</w:t>
            </w:r>
          </w:p>
        </w:tc>
        <w:tc>
          <w:tcPr>
            <w:tcW w:w="1316"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15,9</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14,2</w:t>
            </w:r>
          </w:p>
        </w:tc>
        <w:tc>
          <w:tcPr>
            <w:tcW w:w="1250"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9,0</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1,0</w:t>
            </w:r>
          </w:p>
        </w:tc>
        <w:tc>
          <w:tcPr>
            <w:tcW w:w="1250" w:type="dxa"/>
            <w:gridSpan w:val="3"/>
            <w:tcBorders>
              <w:top w:val="dotted" w:sz="4" w:space="0" w:color="auto"/>
              <w:left w:val="dotted" w:sz="4" w:space="0" w:color="auto"/>
              <w:bottom w:val="dotted" w:sz="4" w:space="0" w:color="auto"/>
              <w:right w:val="nil"/>
            </w:tcBorders>
            <w:shd w:val="clear" w:color="auto" w:fill="auto"/>
            <w:noWrap/>
            <w:vAlign w:val="center"/>
            <w:hideMark/>
          </w:tcPr>
          <w:p>
            <w:pPr>
              <w:jc w:val="right"/>
              <w:rPr>
                <w:i/>
                <w:iCs/>
                <w:noProof/>
                <w:color w:val="000000"/>
                <w:sz w:val="20"/>
                <w:szCs w:val="20"/>
              </w:rPr>
            </w:pPr>
            <w:r>
              <w:rPr>
                <w:i/>
                <w:iCs/>
                <w:noProof/>
                <w:color w:val="000000"/>
                <w:sz w:val="20"/>
                <w:szCs w:val="20"/>
              </w:rPr>
              <w:t>1,0</w:t>
            </w:r>
          </w:p>
        </w:tc>
      </w:tr>
      <w:tr>
        <w:trPr>
          <w:gridAfter w:val="6"/>
          <w:wAfter w:w="6491" w:type="dxa"/>
          <w:trHeight w:val="290"/>
        </w:trPr>
        <w:tc>
          <w:tcPr>
            <w:tcW w:w="4706" w:type="dxa"/>
            <w:gridSpan w:val="2"/>
            <w:tcBorders>
              <w:top w:val="dotted" w:sz="4" w:space="0" w:color="auto"/>
              <w:left w:val="nil"/>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W tym: wydatki związane z rynkiem i płatności bezpośrednie</w:t>
            </w:r>
          </w:p>
        </w:tc>
        <w:tc>
          <w:tcPr>
            <w:tcW w:w="1316"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0,1</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0,1</w:t>
            </w:r>
          </w:p>
        </w:tc>
        <w:tc>
          <w:tcPr>
            <w:tcW w:w="1250"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0,0</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0,0</w:t>
            </w:r>
          </w:p>
        </w:tc>
        <w:tc>
          <w:tcPr>
            <w:tcW w:w="1250" w:type="dxa"/>
            <w:gridSpan w:val="3"/>
            <w:tcBorders>
              <w:top w:val="dotted" w:sz="4" w:space="0" w:color="auto"/>
              <w:left w:val="dotted" w:sz="4" w:space="0" w:color="auto"/>
              <w:bottom w:val="dotted" w:sz="4" w:space="0" w:color="auto"/>
              <w:right w:val="nil"/>
            </w:tcBorders>
            <w:shd w:val="clear" w:color="auto" w:fill="auto"/>
            <w:noWrap/>
            <w:vAlign w:val="center"/>
            <w:hideMark/>
          </w:tcPr>
          <w:p>
            <w:pPr>
              <w:jc w:val="right"/>
              <w:rPr>
                <w:i/>
                <w:iCs/>
                <w:noProof/>
                <w:color w:val="000000"/>
                <w:sz w:val="20"/>
                <w:szCs w:val="20"/>
              </w:rPr>
            </w:pPr>
            <w:r>
              <w:rPr>
                <w:i/>
                <w:iCs/>
                <w:noProof/>
                <w:color w:val="000000"/>
                <w:sz w:val="20"/>
                <w:szCs w:val="20"/>
              </w:rPr>
              <w:t>0,0</w:t>
            </w:r>
          </w:p>
        </w:tc>
      </w:tr>
      <w:tr>
        <w:trPr>
          <w:gridAfter w:val="6"/>
          <w:wAfter w:w="6491" w:type="dxa"/>
          <w:trHeight w:val="290"/>
        </w:trPr>
        <w:tc>
          <w:tcPr>
            <w:tcW w:w="4706" w:type="dxa"/>
            <w:gridSpan w:val="2"/>
            <w:tcBorders>
              <w:top w:val="dotted" w:sz="4" w:space="0" w:color="auto"/>
              <w:left w:val="nil"/>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4. Migracja i zarządzanie granicami</w:t>
            </w:r>
          </w:p>
        </w:tc>
        <w:tc>
          <w:tcPr>
            <w:tcW w:w="1316"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1,5</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1,0</w:t>
            </w:r>
          </w:p>
        </w:tc>
        <w:tc>
          <w:tcPr>
            <w:tcW w:w="1250"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0,5</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0,3</w:t>
            </w:r>
          </w:p>
        </w:tc>
        <w:tc>
          <w:tcPr>
            <w:tcW w:w="1250" w:type="dxa"/>
            <w:gridSpan w:val="3"/>
            <w:tcBorders>
              <w:top w:val="dotted" w:sz="4" w:space="0" w:color="auto"/>
              <w:left w:val="dotted" w:sz="4" w:space="0" w:color="auto"/>
              <w:bottom w:val="dotted" w:sz="4" w:space="0" w:color="auto"/>
              <w:right w:val="nil"/>
            </w:tcBorders>
            <w:shd w:val="clear" w:color="auto" w:fill="auto"/>
            <w:noWrap/>
            <w:vAlign w:val="center"/>
            <w:hideMark/>
          </w:tcPr>
          <w:p>
            <w:pPr>
              <w:jc w:val="right"/>
              <w:rPr>
                <w:i/>
                <w:iCs/>
                <w:noProof/>
                <w:color w:val="000000"/>
                <w:sz w:val="20"/>
                <w:szCs w:val="20"/>
              </w:rPr>
            </w:pPr>
            <w:r>
              <w:rPr>
                <w:i/>
                <w:iCs/>
                <w:noProof/>
                <w:color w:val="000000"/>
                <w:sz w:val="20"/>
                <w:szCs w:val="20"/>
              </w:rPr>
              <w:t>0,1</w:t>
            </w:r>
          </w:p>
        </w:tc>
      </w:tr>
      <w:tr>
        <w:trPr>
          <w:gridAfter w:val="6"/>
          <w:wAfter w:w="6491" w:type="dxa"/>
          <w:trHeight w:val="290"/>
        </w:trPr>
        <w:tc>
          <w:tcPr>
            <w:tcW w:w="4706" w:type="dxa"/>
            <w:gridSpan w:val="2"/>
            <w:tcBorders>
              <w:top w:val="dotted" w:sz="4" w:space="0" w:color="auto"/>
              <w:left w:val="nil"/>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5. Odporność, bezpieczeństwo i obrona</w:t>
            </w:r>
          </w:p>
        </w:tc>
        <w:tc>
          <w:tcPr>
            <w:tcW w:w="1316"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1,3</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0,7</w:t>
            </w:r>
          </w:p>
        </w:tc>
        <w:tc>
          <w:tcPr>
            <w:tcW w:w="1250"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0,6</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0,2</w:t>
            </w:r>
          </w:p>
        </w:tc>
        <w:tc>
          <w:tcPr>
            <w:tcW w:w="1250" w:type="dxa"/>
            <w:gridSpan w:val="3"/>
            <w:tcBorders>
              <w:top w:val="dotted" w:sz="4" w:space="0" w:color="auto"/>
              <w:left w:val="dotted" w:sz="4" w:space="0" w:color="auto"/>
              <w:bottom w:val="dotted" w:sz="4" w:space="0" w:color="auto"/>
              <w:right w:val="nil"/>
            </w:tcBorders>
            <w:shd w:val="clear" w:color="auto" w:fill="auto"/>
            <w:noWrap/>
            <w:vAlign w:val="center"/>
            <w:hideMark/>
          </w:tcPr>
          <w:p>
            <w:pPr>
              <w:jc w:val="right"/>
              <w:rPr>
                <w:i/>
                <w:iCs/>
                <w:noProof/>
                <w:color w:val="000000"/>
                <w:sz w:val="20"/>
                <w:szCs w:val="20"/>
              </w:rPr>
            </w:pPr>
            <w:r>
              <w:rPr>
                <w:i/>
                <w:iCs/>
                <w:noProof/>
                <w:color w:val="000000"/>
                <w:sz w:val="20"/>
                <w:szCs w:val="20"/>
              </w:rPr>
              <w:t>0,1</w:t>
            </w:r>
          </w:p>
        </w:tc>
      </w:tr>
      <w:tr>
        <w:trPr>
          <w:gridAfter w:val="6"/>
          <w:wAfter w:w="6491" w:type="dxa"/>
          <w:trHeight w:val="290"/>
        </w:trPr>
        <w:tc>
          <w:tcPr>
            <w:tcW w:w="4706" w:type="dxa"/>
            <w:gridSpan w:val="2"/>
            <w:tcBorders>
              <w:top w:val="dotted" w:sz="4" w:space="0" w:color="auto"/>
              <w:left w:val="nil"/>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6. Sąsiedztwo i świat</w:t>
            </w:r>
          </w:p>
        </w:tc>
        <w:tc>
          <w:tcPr>
            <w:tcW w:w="1316"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7,6</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7,7</w:t>
            </w:r>
          </w:p>
        </w:tc>
        <w:tc>
          <w:tcPr>
            <w:tcW w:w="1250"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6,7</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4,2</w:t>
            </w:r>
          </w:p>
        </w:tc>
        <w:tc>
          <w:tcPr>
            <w:tcW w:w="1250" w:type="dxa"/>
            <w:gridSpan w:val="3"/>
            <w:tcBorders>
              <w:top w:val="dotted" w:sz="4" w:space="0" w:color="auto"/>
              <w:left w:val="dotted" w:sz="4" w:space="0" w:color="auto"/>
              <w:bottom w:val="dotted" w:sz="4" w:space="0" w:color="auto"/>
              <w:right w:val="nil"/>
            </w:tcBorders>
            <w:shd w:val="clear" w:color="auto" w:fill="auto"/>
            <w:noWrap/>
            <w:vAlign w:val="center"/>
            <w:hideMark/>
          </w:tcPr>
          <w:p>
            <w:pPr>
              <w:jc w:val="right"/>
              <w:rPr>
                <w:i/>
                <w:iCs/>
                <w:noProof/>
                <w:color w:val="000000"/>
                <w:sz w:val="20"/>
                <w:szCs w:val="20"/>
              </w:rPr>
            </w:pPr>
            <w:r>
              <w:rPr>
                <w:i/>
                <w:iCs/>
                <w:noProof/>
                <w:color w:val="000000"/>
                <w:sz w:val="20"/>
                <w:szCs w:val="20"/>
              </w:rPr>
              <w:t>2,6</w:t>
            </w:r>
          </w:p>
        </w:tc>
      </w:tr>
      <w:tr>
        <w:trPr>
          <w:gridAfter w:val="6"/>
          <w:wAfter w:w="6491" w:type="dxa"/>
          <w:trHeight w:val="300"/>
        </w:trPr>
        <w:tc>
          <w:tcPr>
            <w:tcW w:w="4706" w:type="dxa"/>
            <w:gridSpan w:val="2"/>
            <w:tcBorders>
              <w:top w:val="dotted" w:sz="4" w:space="0" w:color="auto"/>
              <w:left w:val="nil"/>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7. Europejska administracja publiczna</w:t>
            </w:r>
          </w:p>
        </w:tc>
        <w:tc>
          <w:tcPr>
            <w:tcW w:w="1316"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0,0</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0,0</w:t>
            </w:r>
          </w:p>
        </w:tc>
        <w:tc>
          <w:tcPr>
            <w:tcW w:w="1250"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0,0</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0,0</w:t>
            </w:r>
          </w:p>
        </w:tc>
        <w:tc>
          <w:tcPr>
            <w:tcW w:w="1250" w:type="dxa"/>
            <w:gridSpan w:val="3"/>
            <w:tcBorders>
              <w:top w:val="dotted" w:sz="4" w:space="0" w:color="auto"/>
              <w:left w:val="dotted" w:sz="4" w:space="0" w:color="auto"/>
              <w:bottom w:val="dotted" w:sz="4" w:space="0" w:color="auto"/>
              <w:right w:val="nil"/>
            </w:tcBorders>
            <w:shd w:val="clear" w:color="auto" w:fill="auto"/>
            <w:noWrap/>
            <w:vAlign w:val="center"/>
            <w:hideMark/>
          </w:tcPr>
          <w:p>
            <w:pPr>
              <w:jc w:val="right"/>
              <w:rPr>
                <w:i/>
                <w:iCs/>
                <w:noProof/>
                <w:color w:val="000000"/>
                <w:sz w:val="20"/>
                <w:szCs w:val="20"/>
              </w:rPr>
            </w:pPr>
            <w:r>
              <w:rPr>
                <w:i/>
                <w:iCs/>
                <w:noProof/>
                <w:color w:val="000000"/>
                <w:sz w:val="20"/>
                <w:szCs w:val="20"/>
              </w:rPr>
              <w:t>0,0</w:t>
            </w:r>
          </w:p>
        </w:tc>
      </w:tr>
      <w:tr>
        <w:trPr>
          <w:gridAfter w:val="6"/>
          <w:wAfter w:w="6491" w:type="dxa"/>
          <w:trHeight w:val="290"/>
        </w:trPr>
        <w:tc>
          <w:tcPr>
            <w:tcW w:w="4706" w:type="dxa"/>
            <w:gridSpan w:val="2"/>
            <w:tcBorders>
              <w:top w:val="dotted" w:sz="4" w:space="0" w:color="auto"/>
              <w:left w:val="nil"/>
              <w:bottom w:val="dotted" w:sz="4" w:space="0" w:color="auto"/>
              <w:right w:val="dotted" w:sz="4" w:space="0" w:color="auto"/>
            </w:tcBorders>
            <w:shd w:val="clear" w:color="auto" w:fill="auto"/>
            <w:noWrap/>
            <w:vAlign w:val="center"/>
            <w:hideMark/>
          </w:tcPr>
          <w:p>
            <w:pPr>
              <w:rPr>
                <w:b/>
                <w:bCs/>
                <w:noProof/>
                <w:color w:val="000000"/>
                <w:sz w:val="20"/>
                <w:szCs w:val="20"/>
              </w:rPr>
            </w:pPr>
            <w:r>
              <w:rPr>
                <w:b/>
                <w:bCs/>
                <w:noProof/>
                <w:color w:val="000000"/>
                <w:sz w:val="20"/>
                <w:szCs w:val="20"/>
              </w:rPr>
              <w:t>w tym płatności z tytułu zobowiązań z lat 2021–2025*</w:t>
            </w:r>
          </w:p>
        </w:tc>
        <w:tc>
          <w:tcPr>
            <w:tcW w:w="1316"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b/>
                <w:bCs/>
                <w:noProof/>
                <w:color w:val="000000"/>
                <w:sz w:val="20"/>
                <w:szCs w:val="20"/>
              </w:rPr>
            </w:pPr>
            <w:r>
              <w:rPr>
                <w:b/>
                <w:bCs/>
                <w:noProof/>
                <w:color w:val="000000"/>
                <w:sz w:val="20"/>
                <w:szCs w:val="20"/>
              </w:rPr>
              <w:t>64,7</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b/>
                <w:bCs/>
                <w:noProof/>
                <w:color w:val="000000"/>
                <w:sz w:val="20"/>
                <w:szCs w:val="20"/>
              </w:rPr>
            </w:pPr>
            <w:r>
              <w:rPr>
                <w:b/>
                <w:bCs/>
                <w:noProof/>
                <w:color w:val="000000"/>
                <w:sz w:val="20"/>
                <w:szCs w:val="20"/>
              </w:rPr>
              <w:t>87,8</w:t>
            </w:r>
          </w:p>
        </w:tc>
        <w:tc>
          <w:tcPr>
            <w:tcW w:w="1250"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b/>
                <w:bCs/>
                <w:noProof/>
                <w:color w:val="000000"/>
                <w:sz w:val="20"/>
                <w:szCs w:val="20"/>
              </w:rPr>
            </w:pPr>
            <w:r>
              <w:rPr>
                <w:b/>
                <w:bCs/>
                <w:noProof/>
                <w:color w:val="000000"/>
                <w:sz w:val="20"/>
                <w:szCs w:val="20"/>
              </w:rPr>
              <w:t>122,5</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b/>
                <w:bCs/>
                <w:noProof/>
                <w:color w:val="000000"/>
                <w:sz w:val="20"/>
                <w:szCs w:val="20"/>
              </w:rPr>
            </w:pPr>
            <w:r>
              <w:rPr>
                <w:b/>
                <w:bCs/>
                <w:noProof/>
                <w:color w:val="000000"/>
                <w:sz w:val="20"/>
                <w:szCs w:val="20"/>
              </w:rPr>
              <w:t>145,4</w:t>
            </w:r>
          </w:p>
        </w:tc>
        <w:tc>
          <w:tcPr>
            <w:tcW w:w="1250" w:type="dxa"/>
            <w:gridSpan w:val="3"/>
            <w:tcBorders>
              <w:top w:val="dotted" w:sz="4" w:space="0" w:color="auto"/>
              <w:left w:val="dotted" w:sz="4" w:space="0" w:color="auto"/>
              <w:bottom w:val="dotted" w:sz="4" w:space="0" w:color="auto"/>
              <w:right w:val="nil"/>
            </w:tcBorders>
            <w:shd w:val="clear" w:color="auto" w:fill="auto"/>
            <w:noWrap/>
            <w:vAlign w:val="center"/>
            <w:hideMark/>
          </w:tcPr>
          <w:p>
            <w:pPr>
              <w:jc w:val="right"/>
              <w:rPr>
                <w:b/>
                <w:bCs/>
                <w:noProof/>
                <w:color w:val="000000"/>
                <w:sz w:val="20"/>
                <w:szCs w:val="20"/>
              </w:rPr>
            </w:pPr>
            <w:r>
              <w:rPr>
                <w:b/>
                <w:bCs/>
                <w:noProof/>
                <w:color w:val="000000"/>
                <w:sz w:val="20"/>
                <w:szCs w:val="20"/>
              </w:rPr>
              <w:t>163,2</w:t>
            </w:r>
          </w:p>
        </w:tc>
      </w:tr>
      <w:tr>
        <w:trPr>
          <w:gridAfter w:val="6"/>
          <w:wAfter w:w="6491" w:type="dxa"/>
          <w:trHeight w:val="290"/>
        </w:trPr>
        <w:tc>
          <w:tcPr>
            <w:tcW w:w="4706" w:type="dxa"/>
            <w:gridSpan w:val="2"/>
            <w:tcBorders>
              <w:top w:val="dotted" w:sz="4" w:space="0" w:color="auto"/>
              <w:left w:val="nil"/>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1. Jednolity rynek, innowacje i gospodarka cyfrowa</w:t>
            </w:r>
          </w:p>
        </w:tc>
        <w:tc>
          <w:tcPr>
            <w:tcW w:w="1316"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4,2</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12,4</w:t>
            </w:r>
          </w:p>
        </w:tc>
        <w:tc>
          <w:tcPr>
            <w:tcW w:w="1250"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14,7</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17,0</w:t>
            </w:r>
          </w:p>
        </w:tc>
        <w:tc>
          <w:tcPr>
            <w:tcW w:w="1250" w:type="dxa"/>
            <w:gridSpan w:val="3"/>
            <w:tcBorders>
              <w:top w:val="dotted" w:sz="4" w:space="0" w:color="auto"/>
              <w:left w:val="dotted" w:sz="4" w:space="0" w:color="auto"/>
              <w:bottom w:val="dotted" w:sz="4" w:space="0" w:color="auto"/>
              <w:right w:val="nil"/>
            </w:tcBorders>
            <w:shd w:val="clear" w:color="auto" w:fill="auto"/>
            <w:noWrap/>
            <w:vAlign w:val="center"/>
            <w:hideMark/>
          </w:tcPr>
          <w:p>
            <w:pPr>
              <w:jc w:val="right"/>
              <w:rPr>
                <w:i/>
                <w:iCs/>
                <w:noProof/>
                <w:color w:val="000000"/>
                <w:sz w:val="20"/>
                <w:szCs w:val="20"/>
              </w:rPr>
            </w:pPr>
            <w:r>
              <w:rPr>
                <w:i/>
                <w:iCs/>
                <w:noProof/>
                <w:color w:val="000000"/>
                <w:sz w:val="20"/>
                <w:szCs w:val="20"/>
              </w:rPr>
              <w:t>18,5</w:t>
            </w:r>
          </w:p>
        </w:tc>
      </w:tr>
      <w:tr>
        <w:trPr>
          <w:gridAfter w:val="6"/>
          <w:wAfter w:w="6491" w:type="dxa"/>
          <w:trHeight w:val="290"/>
        </w:trPr>
        <w:tc>
          <w:tcPr>
            <w:tcW w:w="4706" w:type="dxa"/>
            <w:gridSpan w:val="2"/>
            <w:tcBorders>
              <w:top w:val="dotted" w:sz="4" w:space="0" w:color="auto"/>
              <w:left w:val="nil"/>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 xml:space="preserve">2. Spójność i wartości </w:t>
            </w:r>
          </w:p>
        </w:tc>
        <w:tc>
          <w:tcPr>
            <w:tcW w:w="1316"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5,1</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7,2</w:t>
            </w:r>
          </w:p>
        </w:tc>
        <w:tc>
          <w:tcPr>
            <w:tcW w:w="1250"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28,7</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42,7</w:t>
            </w:r>
          </w:p>
        </w:tc>
        <w:tc>
          <w:tcPr>
            <w:tcW w:w="1250" w:type="dxa"/>
            <w:gridSpan w:val="3"/>
            <w:tcBorders>
              <w:top w:val="dotted" w:sz="4" w:space="0" w:color="auto"/>
              <w:left w:val="dotted" w:sz="4" w:space="0" w:color="auto"/>
              <w:bottom w:val="dotted" w:sz="4" w:space="0" w:color="auto"/>
              <w:right w:val="nil"/>
            </w:tcBorders>
            <w:shd w:val="clear" w:color="auto" w:fill="auto"/>
            <w:noWrap/>
            <w:vAlign w:val="center"/>
            <w:hideMark/>
          </w:tcPr>
          <w:p>
            <w:pPr>
              <w:jc w:val="right"/>
              <w:rPr>
                <w:i/>
                <w:iCs/>
                <w:noProof/>
                <w:color w:val="000000"/>
                <w:sz w:val="20"/>
                <w:szCs w:val="20"/>
              </w:rPr>
            </w:pPr>
            <w:r>
              <w:rPr>
                <w:i/>
                <w:iCs/>
                <w:noProof/>
                <w:color w:val="000000"/>
                <w:sz w:val="20"/>
                <w:szCs w:val="20"/>
              </w:rPr>
              <w:t>55,5</w:t>
            </w:r>
          </w:p>
        </w:tc>
      </w:tr>
      <w:tr>
        <w:trPr>
          <w:gridAfter w:val="6"/>
          <w:wAfter w:w="6491" w:type="dxa"/>
          <w:trHeight w:val="290"/>
        </w:trPr>
        <w:tc>
          <w:tcPr>
            <w:tcW w:w="4706" w:type="dxa"/>
            <w:gridSpan w:val="2"/>
            <w:tcBorders>
              <w:top w:val="dotted" w:sz="4" w:space="0" w:color="auto"/>
              <w:left w:val="nil"/>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w tym 2a. Spójność gospodarcza, społeczna i terytorialna</w:t>
            </w:r>
          </w:p>
        </w:tc>
        <w:tc>
          <w:tcPr>
            <w:tcW w:w="1316"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2,1</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2,5</w:t>
            </w:r>
          </w:p>
        </w:tc>
        <w:tc>
          <w:tcPr>
            <w:tcW w:w="1250"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22,8</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35,0</w:t>
            </w:r>
          </w:p>
        </w:tc>
        <w:tc>
          <w:tcPr>
            <w:tcW w:w="1250" w:type="dxa"/>
            <w:gridSpan w:val="3"/>
            <w:tcBorders>
              <w:top w:val="dotted" w:sz="4" w:space="0" w:color="auto"/>
              <w:left w:val="dotted" w:sz="4" w:space="0" w:color="auto"/>
              <w:bottom w:val="dotted" w:sz="4" w:space="0" w:color="auto"/>
              <w:right w:val="nil"/>
            </w:tcBorders>
            <w:shd w:val="clear" w:color="auto" w:fill="auto"/>
            <w:noWrap/>
            <w:vAlign w:val="center"/>
            <w:hideMark/>
          </w:tcPr>
          <w:p>
            <w:pPr>
              <w:jc w:val="right"/>
              <w:rPr>
                <w:i/>
                <w:iCs/>
                <w:noProof/>
                <w:color w:val="000000"/>
                <w:sz w:val="20"/>
                <w:szCs w:val="20"/>
              </w:rPr>
            </w:pPr>
            <w:r>
              <w:rPr>
                <w:i/>
                <w:iCs/>
                <w:noProof/>
                <w:color w:val="000000"/>
                <w:sz w:val="20"/>
                <w:szCs w:val="20"/>
              </w:rPr>
              <w:t>46,8</w:t>
            </w:r>
          </w:p>
        </w:tc>
      </w:tr>
      <w:tr>
        <w:trPr>
          <w:gridAfter w:val="6"/>
          <w:wAfter w:w="6491" w:type="dxa"/>
          <w:trHeight w:val="290"/>
        </w:trPr>
        <w:tc>
          <w:tcPr>
            <w:tcW w:w="4706" w:type="dxa"/>
            <w:gridSpan w:val="2"/>
            <w:tcBorders>
              <w:top w:val="dotted" w:sz="4" w:space="0" w:color="auto"/>
              <w:left w:val="nil"/>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3. Zasoby naturalne i środowisko</w:t>
            </w:r>
          </w:p>
        </w:tc>
        <w:tc>
          <w:tcPr>
            <w:tcW w:w="1316"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40,4</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47,1</w:t>
            </w:r>
          </w:p>
        </w:tc>
        <w:tc>
          <w:tcPr>
            <w:tcW w:w="1250"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54,5</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56,6</w:t>
            </w:r>
          </w:p>
        </w:tc>
        <w:tc>
          <w:tcPr>
            <w:tcW w:w="1250" w:type="dxa"/>
            <w:gridSpan w:val="3"/>
            <w:tcBorders>
              <w:top w:val="dotted" w:sz="4" w:space="0" w:color="auto"/>
              <w:left w:val="dotted" w:sz="4" w:space="0" w:color="auto"/>
              <w:bottom w:val="dotted" w:sz="4" w:space="0" w:color="auto"/>
              <w:right w:val="nil"/>
            </w:tcBorders>
            <w:shd w:val="clear" w:color="auto" w:fill="auto"/>
            <w:noWrap/>
            <w:vAlign w:val="center"/>
            <w:hideMark/>
          </w:tcPr>
          <w:p>
            <w:pPr>
              <w:jc w:val="right"/>
              <w:rPr>
                <w:i/>
                <w:iCs/>
                <w:noProof/>
                <w:color w:val="000000"/>
                <w:sz w:val="20"/>
                <w:szCs w:val="20"/>
              </w:rPr>
            </w:pPr>
            <w:r>
              <w:rPr>
                <w:i/>
                <w:iCs/>
                <w:noProof/>
                <w:color w:val="000000"/>
                <w:sz w:val="20"/>
                <w:szCs w:val="20"/>
              </w:rPr>
              <w:t>56,9</w:t>
            </w:r>
          </w:p>
        </w:tc>
      </w:tr>
      <w:tr>
        <w:trPr>
          <w:gridAfter w:val="6"/>
          <w:wAfter w:w="6491" w:type="dxa"/>
          <w:trHeight w:val="290"/>
        </w:trPr>
        <w:tc>
          <w:tcPr>
            <w:tcW w:w="4706" w:type="dxa"/>
            <w:gridSpan w:val="2"/>
            <w:tcBorders>
              <w:top w:val="dotted" w:sz="4" w:space="0" w:color="auto"/>
              <w:left w:val="nil"/>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W tym: wydatki związane z rynkiem i płatności bezpośrednie</w:t>
            </w:r>
          </w:p>
        </w:tc>
        <w:tc>
          <w:tcPr>
            <w:tcW w:w="1316"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40,1</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41,1</w:t>
            </w:r>
          </w:p>
        </w:tc>
        <w:tc>
          <w:tcPr>
            <w:tcW w:w="1250"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41,5</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41,9</w:t>
            </w:r>
          </w:p>
        </w:tc>
        <w:tc>
          <w:tcPr>
            <w:tcW w:w="1250" w:type="dxa"/>
            <w:gridSpan w:val="3"/>
            <w:tcBorders>
              <w:top w:val="dotted" w:sz="4" w:space="0" w:color="auto"/>
              <w:left w:val="dotted" w:sz="4" w:space="0" w:color="auto"/>
              <w:bottom w:val="dotted" w:sz="4" w:space="0" w:color="auto"/>
              <w:right w:val="nil"/>
            </w:tcBorders>
            <w:shd w:val="clear" w:color="auto" w:fill="auto"/>
            <w:noWrap/>
            <w:vAlign w:val="center"/>
            <w:hideMark/>
          </w:tcPr>
          <w:p>
            <w:pPr>
              <w:jc w:val="right"/>
              <w:rPr>
                <w:i/>
                <w:iCs/>
                <w:noProof/>
                <w:color w:val="000000"/>
                <w:sz w:val="20"/>
                <w:szCs w:val="20"/>
              </w:rPr>
            </w:pPr>
            <w:r>
              <w:rPr>
                <w:i/>
                <w:iCs/>
                <w:noProof/>
                <w:color w:val="000000"/>
                <w:sz w:val="20"/>
                <w:szCs w:val="20"/>
              </w:rPr>
              <w:t>41,7</w:t>
            </w:r>
          </w:p>
        </w:tc>
      </w:tr>
      <w:tr>
        <w:trPr>
          <w:gridAfter w:val="6"/>
          <w:wAfter w:w="6491" w:type="dxa"/>
          <w:trHeight w:val="290"/>
        </w:trPr>
        <w:tc>
          <w:tcPr>
            <w:tcW w:w="4706" w:type="dxa"/>
            <w:gridSpan w:val="2"/>
            <w:tcBorders>
              <w:top w:val="dotted" w:sz="4" w:space="0" w:color="auto"/>
              <w:left w:val="nil"/>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4. Migracja i zarządzanie granicami</w:t>
            </w:r>
          </w:p>
        </w:tc>
        <w:tc>
          <w:tcPr>
            <w:tcW w:w="1316"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1,2</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2,8</w:t>
            </w:r>
          </w:p>
        </w:tc>
        <w:tc>
          <w:tcPr>
            <w:tcW w:w="1250"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3,4</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3,7</w:t>
            </w:r>
          </w:p>
        </w:tc>
        <w:tc>
          <w:tcPr>
            <w:tcW w:w="1250" w:type="dxa"/>
            <w:gridSpan w:val="3"/>
            <w:tcBorders>
              <w:top w:val="dotted" w:sz="4" w:space="0" w:color="auto"/>
              <w:left w:val="dotted" w:sz="4" w:space="0" w:color="auto"/>
              <w:bottom w:val="dotted" w:sz="4" w:space="0" w:color="auto"/>
              <w:right w:val="nil"/>
            </w:tcBorders>
            <w:shd w:val="clear" w:color="auto" w:fill="auto"/>
            <w:noWrap/>
            <w:vAlign w:val="center"/>
            <w:hideMark/>
          </w:tcPr>
          <w:p>
            <w:pPr>
              <w:jc w:val="right"/>
              <w:rPr>
                <w:i/>
                <w:iCs/>
                <w:noProof/>
                <w:color w:val="000000"/>
                <w:sz w:val="20"/>
                <w:szCs w:val="20"/>
              </w:rPr>
            </w:pPr>
            <w:r>
              <w:rPr>
                <w:i/>
                <w:iCs/>
                <w:noProof/>
                <w:color w:val="000000"/>
                <w:sz w:val="20"/>
                <w:szCs w:val="20"/>
              </w:rPr>
              <w:t>4,2</w:t>
            </w:r>
          </w:p>
        </w:tc>
      </w:tr>
      <w:tr>
        <w:trPr>
          <w:gridAfter w:val="6"/>
          <w:wAfter w:w="6491" w:type="dxa"/>
          <w:trHeight w:val="290"/>
        </w:trPr>
        <w:tc>
          <w:tcPr>
            <w:tcW w:w="4706" w:type="dxa"/>
            <w:gridSpan w:val="2"/>
            <w:tcBorders>
              <w:top w:val="dotted" w:sz="4" w:space="0" w:color="auto"/>
              <w:left w:val="nil"/>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5. Odporność, bezpieczeństwo i obrona</w:t>
            </w:r>
          </w:p>
        </w:tc>
        <w:tc>
          <w:tcPr>
            <w:tcW w:w="1316"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0,5</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1,3</w:t>
            </w:r>
          </w:p>
        </w:tc>
        <w:tc>
          <w:tcPr>
            <w:tcW w:w="1250"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1,6</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1,9</w:t>
            </w:r>
          </w:p>
        </w:tc>
        <w:tc>
          <w:tcPr>
            <w:tcW w:w="1250" w:type="dxa"/>
            <w:gridSpan w:val="3"/>
            <w:tcBorders>
              <w:top w:val="dotted" w:sz="4" w:space="0" w:color="auto"/>
              <w:left w:val="dotted" w:sz="4" w:space="0" w:color="auto"/>
              <w:bottom w:val="dotted" w:sz="4" w:space="0" w:color="auto"/>
              <w:right w:val="nil"/>
            </w:tcBorders>
            <w:shd w:val="clear" w:color="auto" w:fill="auto"/>
            <w:noWrap/>
            <w:vAlign w:val="center"/>
            <w:hideMark/>
          </w:tcPr>
          <w:p>
            <w:pPr>
              <w:jc w:val="right"/>
              <w:rPr>
                <w:i/>
                <w:iCs/>
                <w:noProof/>
                <w:color w:val="000000"/>
                <w:sz w:val="20"/>
                <w:szCs w:val="20"/>
              </w:rPr>
            </w:pPr>
            <w:r>
              <w:rPr>
                <w:i/>
                <w:iCs/>
                <w:noProof/>
                <w:color w:val="000000"/>
                <w:sz w:val="20"/>
                <w:szCs w:val="20"/>
              </w:rPr>
              <w:t>2,4</w:t>
            </w:r>
          </w:p>
        </w:tc>
      </w:tr>
      <w:tr>
        <w:trPr>
          <w:gridAfter w:val="6"/>
          <w:wAfter w:w="6491" w:type="dxa"/>
          <w:trHeight w:val="290"/>
        </w:trPr>
        <w:tc>
          <w:tcPr>
            <w:tcW w:w="4706" w:type="dxa"/>
            <w:gridSpan w:val="2"/>
            <w:tcBorders>
              <w:top w:val="dotted" w:sz="4" w:space="0" w:color="auto"/>
              <w:left w:val="nil"/>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6. Sąsiedztwo i świat</w:t>
            </w:r>
          </w:p>
        </w:tc>
        <w:tc>
          <w:tcPr>
            <w:tcW w:w="1316"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2,8</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5,7</w:t>
            </w:r>
          </w:p>
        </w:tc>
        <w:tc>
          <w:tcPr>
            <w:tcW w:w="1250"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8,0</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11,4</w:t>
            </w:r>
          </w:p>
        </w:tc>
        <w:tc>
          <w:tcPr>
            <w:tcW w:w="1250" w:type="dxa"/>
            <w:gridSpan w:val="3"/>
            <w:tcBorders>
              <w:top w:val="dotted" w:sz="4" w:space="0" w:color="auto"/>
              <w:left w:val="dotted" w:sz="4" w:space="0" w:color="auto"/>
              <w:bottom w:val="dotted" w:sz="4" w:space="0" w:color="auto"/>
              <w:right w:val="nil"/>
            </w:tcBorders>
            <w:shd w:val="clear" w:color="auto" w:fill="auto"/>
            <w:noWrap/>
            <w:vAlign w:val="center"/>
            <w:hideMark/>
          </w:tcPr>
          <w:p>
            <w:pPr>
              <w:jc w:val="right"/>
              <w:rPr>
                <w:i/>
                <w:iCs/>
                <w:noProof/>
                <w:color w:val="000000"/>
                <w:sz w:val="20"/>
                <w:szCs w:val="20"/>
              </w:rPr>
            </w:pPr>
            <w:r>
              <w:rPr>
                <w:i/>
                <w:iCs/>
                <w:noProof/>
                <w:color w:val="000000"/>
                <w:sz w:val="20"/>
                <w:szCs w:val="20"/>
              </w:rPr>
              <w:t>13,2</w:t>
            </w:r>
          </w:p>
        </w:tc>
      </w:tr>
      <w:tr>
        <w:trPr>
          <w:gridAfter w:val="6"/>
          <w:wAfter w:w="6491" w:type="dxa"/>
          <w:trHeight w:val="300"/>
        </w:trPr>
        <w:tc>
          <w:tcPr>
            <w:tcW w:w="4706" w:type="dxa"/>
            <w:gridSpan w:val="2"/>
            <w:tcBorders>
              <w:top w:val="dotted" w:sz="4" w:space="0" w:color="auto"/>
              <w:left w:val="nil"/>
              <w:bottom w:val="dotted" w:sz="4" w:space="0" w:color="auto"/>
              <w:right w:val="dotted" w:sz="4" w:space="0" w:color="auto"/>
            </w:tcBorders>
            <w:noWrap/>
            <w:vAlign w:val="center"/>
            <w:hideMark/>
          </w:tcPr>
          <w:p>
            <w:pPr>
              <w:jc w:val="right"/>
              <w:rPr>
                <w:i/>
                <w:iCs/>
                <w:noProof/>
                <w:color w:val="000000"/>
                <w:sz w:val="20"/>
                <w:szCs w:val="20"/>
              </w:rPr>
            </w:pPr>
            <w:r>
              <w:rPr>
                <w:i/>
                <w:iCs/>
                <w:noProof/>
                <w:color w:val="000000"/>
                <w:sz w:val="20"/>
                <w:szCs w:val="20"/>
              </w:rPr>
              <w:t>7. Europejska administracja publiczna</w:t>
            </w:r>
          </w:p>
        </w:tc>
        <w:tc>
          <w:tcPr>
            <w:tcW w:w="1316"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10,4</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11,2</w:t>
            </w:r>
          </w:p>
        </w:tc>
        <w:tc>
          <w:tcPr>
            <w:tcW w:w="1250"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11,7</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12,1</w:t>
            </w:r>
          </w:p>
        </w:tc>
        <w:tc>
          <w:tcPr>
            <w:tcW w:w="1250" w:type="dxa"/>
            <w:gridSpan w:val="3"/>
            <w:tcBorders>
              <w:top w:val="dotted" w:sz="4" w:space="0" w:color="auto"/>
              <w:left w:val="dotted" w:sz="4" w:space="0" w:color="auto"/>
              <w:bottom w:val="dotted" w:sz="4" w:space="0" w:color="auto"/>
              <w:right w:val="nil"/>
            </w:tcBorders>
            <w:shd w:val="clear" w:color="auto" w:fill="auto"/>
            <w:noWrap/>
            <w:vAlign w:val="center"/>
            <w:hideMark/>
          </w:tcPr>
          <w:p>
            <w:pPr>
              <w:jc w:val="right"/>
              <w:rPr>
                <w:i/>
                <w:iCs/>
                <w:noProof/>
                <w:color w:val="000000"/>
                <w:sz w:val="20"/>
                <w:szCs w:val="20"/>
              </w:rPr>
            </w:pPr>
            <w:r>
              <w:rPr>
                <w:i/>
                <w:iCs/>
                <w:noProof/>
                <w:color w:val="000000"/>
                <w:sz w:val="20"/>
                <w:szCs w:val="20"/>
              </w:rPr>
              <w:t>12,4</w:t>
            </w:r>
          </w:p>
        </w:tc>
      </w:tr>
      <w:tr>
        <w:trPr>
          <w:gridAfter w:val="6"/>
          <w:wAfter w:w="6491" w:type="dxa"/>
          <w:trHeight w:val="290"/>
        </w:trPr>
        <w:tc>
          <w:tcPr>
            <w:tcW w:w="4706" w:type="dxa"/>
            <w:gridSpan w:val="2"/>
            <w:tcBorders>
              <w:top w:val="dotted" w:sz="4" w:space="0" w:color="auto"/>
              <w:left w:val="nil"/>
              <w:bottom w:val="dotted" w:sz="4" w:space="0" w:color="auto"/>
              <w:right w:val="dotted" w:sz="4" w:space="0" w:color="auto"/>
            </w:tcBorders>
            <w:shd w:val="clear" w:color="auto" w:fill="auto"/>
            <w:noWrap/>
            <w:vAlign w:val="center"/>
            <w:hideMark/>
          </w:tcPr>
          <w:p>
            <w:pPr>
              <w:rPr>
                <w:noProof/>
                <w:color w:val="000000"/>
                <w:sz w:val="20"/>
                <w:szCs w:val="20"/>
              </w:rPr>
            </w:pPr>
            <w:r>
              <w:rPr>
                <w:noProof/>
                <w:color w:val="000000"/>
                <w:sz w:val="20"/>
                <w:szCs w:val="20"/>
              </w:rPr>
              <w:t>Inne instrumenty szczególne**</w:t>
            </w:r>
          </w:p>
        </w:tc>
        <w:tc>
          <w:tcPr>
            <w:tcW w:w="1316"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1,7</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p.m.</w:t>
            </w:r>
          </w:p>
        </w:tc>
        <w:tc>
          <w:tcPr>
            <w:tcW w:w="1250"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p.m.</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000000"/>
                <w:sz w:val="20"/>
                <w:szCs w:val="20"/>
              </w:rPr>
            </w:pPr>
            <w:r>
              <w:rPr>
                <w:i/>
                <w:iCs/>
                <w:noProof/>
                <w:color w:val="000000"/>
                <w:sz w:val="20"/>
                <w:szCs w:val="20"/>
              </w:rPr>
              <w:t>p.m.</w:t>
            </w:r>
          </w:p>
        </w:tc>
        <w:tc>
          <w:tcPr>
            <w:tcW w:w="1250" w:type="dxa"/>
            <w:gridSpan w:val="3"/>
            <w:tcBorders>
              <w:top w:val="dotted" w:sz="4" w:space="0" w:color="auto"/>
              <w:left w:val="dotted" w:sz="4" w:space="0" w:color="auto"/>
              <w:bottom w:val="dotted" w:sz="4" w:space="0" w:color="auto"/>
              <w:right w:val="nil"/>
            </w:tcBorders>
            <w:shd w:val="clear" w:color="auto" w:fill="auto"/>
            <w:noWrap/>
            <w:vAlign w:val="center"/>
            <w:hideMark/>
          </w:tcPr>
          <w:p>
            <w:pPr>
              <w:jc w:val="right"/>
              <w:rPr>
                <w:i/>
                <w:iCs/>
                <w:noProof/>
                <w:color w:val="000000"/>
                <w:sz w:val="20"/>
                <w:szCs w:val="20"/>
              </w:rPr>
            </w:pPr>
            <w:r>
              <w:rPr>
                <w:i/>
                <w:iCs/>
                <w:noProof/>
                <w:color w:val="000000"/>
                <w:sz w:val="20"/>
                <w:szCs w:val="20"/>
              </w:rPr>
              <w:t>p.m.</w:t>
            </w:r>
          </w:p>
        </w:tc>
      </w:tr>
      <w:tr>
        <w:trPr>
          <w:gridAfter w:val="6"/>
          <w:wAfter w:w="6491" w:type="dxa"/>
          <w:trHeight w:val="290"/>
        </w:trPr>
        <w:tc>
          <w:tcPr>
            <w:tcW w:w="4706" w:type="dxa"/>
            <w:gridSpan w:val="2"/>
            <w:tcBorders>
              <w:top w:val="dotted" w:sz="4" w:space="0" w:color="auto"/>
              <w:left w:val="nil"/>
              <w:bottom w:val="dotted" w:sz="4" w:space="0" w:color="auto"/>
              <w:right w:val="dotted" w:sz="4" w:space="0" w:color="auto"/>
            </w:tcBorders>
            <w:shd w:val="clear" w:color="auto" w:fill="auto"/>
            <w:noWrap/>
            <w:vAlign w:val="center"/>
            <w:hideMark/>
          </w:tcPr>
          <w:p>
            <w:pPr>
              <w:rPr>
                <w:b/>
                <w:bCs/>
                <w:noProof/>
                <w:color w:val="000000"/>
                <w:sz w:val="20"/>
                <w:szCs w:val="20"/>
              </w:rPr>
            </w:pPr>
            <w:r>
              <w:rPr>
                <w:b/>
                <w:bCs/>
                <w:noProof/>
                <w:color w:val="000000"/>
                <w:sz w:val="20"/>
                <w:szCs w:val="20"/>
              </w:rPr>
              <w:t>Środki na płatności ogółem, w tym instrumenty szczególne</w:t>
            </w:r>
          </w:p>
        </w:tc>
        <w:tc>
          <w:tcPr>
            <w:tcW w:w="1316"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b/>
                <w:bCs/>
                <w:noProof/>
                <w:color w:val="000000"/>
                <w:sz w:val="20"/>
                <w:szCs w:val="20"/>
              </w:rPr>
            </w:pPr>
            <w:r>
              <w:rPr>
                <w:b/>
                <w:bCs/>
                <w:noProof/>
                <w:color w:val="000000"/>
                <w:sz w:val="20"/>
                <w:szCs w:val="20"/>
              </w:rPr>
              <w:t>163,5</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b/>
                <w:bCs/>
                <w:noProof/>
                <w:color w:val="000000"/>
                <w:sz w:val="20"/>
                <w:szCs w:val="20"/>
              </w:rPr>
            </w:pPr>
            <w:r>
              <w:rPr>
                <w:b/>
                <w:bCs/>
                <w:noProof/>
                <w:color w:val="000000"/>
                <w:sz w:val="20"/>
                <w:szCs w:val="20"/>
              </w:rPr>
              <w:t>170,1</w:t>
            </w:r>
          </w:p>
        </w:tc>
        <w:tc>
          <w:tcPr>
            <w:tcW w:w="1250"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b/>
                <w:bCs/>
                <w:noProof/>
                <w:color w:val="000000"/>
                <w:sz w:val="20"/>
                <w:szCs w:val="20"/>
              </w:rPr>
            </w:pPr>
            <w:r>
              <w:rPr>
                <w:b/>
                <w:bCs/>
                <w:noProof/>
                <w:color w:val="000000"/>
                <w:sz w:val="20"/>
                <w:szCs w:val="20"/>
              </w:rPr>
              <w:t>174,5</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b/>
                <w:bCs/>
                <w:noProof/>
                <w:color w:val="000000"/>
                <w:sz w:val="20"/>
                <w:szCs w:val="20"/>
              </w:rPr>
            </w:pPr>
            <w:r>
              <w:rPr>
                <w:b/>
                <w:bCs/>
                <w:noProof/>
                <w:color w:val="000000"/>
                <w:sz w:val="20"/>
                <w:szCs w:val="20"/>
              </w:rPr>
              <w:t>178,0</w:t>
            </w:r>
          </w:p>
        </w:tc>
        <w:tc>
          <w:tcPr>
            <w:tcW w:w="1250" w:type="dxa"/>
            <w:gridSpan w:val="3"/>
            <w:tcBorders>
              <w:top w:val="dotted" w:sz="4" w:space="0" w:color="auto"/>
              <w:left w:val="dotted" w:sz="4" w:space="0" w:color="auto"/>
              <w:bottom w:val="dotted" w:sz="4" w:space="0" w:color="auto"/>
              <w:right w:val="nil"/>
            </w:tcBorders>
            <w:shd w:val="clear" w:color="auto" w:fill="auto"/>
            <w:noWrap/>
            <w:vAlign w:val="center"/>
            <w:hideMark/>
          </w:tcPr>
          <w:p>
            <w:pPr>
              <w:jc w:val="right"/>
              <w:rPr>
                <w:b/>
                <w:bCs/>
                <w:noProof/>
                <w:color w:val="000000"/>
                <w:sz w:val="20"/>
                <w:szCs w:val="20"/>
              </w:rPr>
            </w:pPr>
            <w:r>
              <w:rPr>
                <w:b/>
                <w:bCs/>
                <w:noProof/>
                <w:color w:val="000000"/>
                <w:sz w:val="20"/>
                <w:szCs w:val="20"/>
              </w:rPr>
              <w:t>181,6</w:t>
            </w:r>
          </w:p>
        </w:tc>
      </w:tr>
      <w:tr>
        <w:trPr>
          <w:gridAfter w:val="6"/>
          <w:wAfter w:w="6491" w:type="dxa"/>
          <w:trHeight w:val="150"/>
        </w:trPr>
        <w:tc>
          <w:tcPr>
            <w:tcW w:w="4706" w:type="dxa"/>
            <w:gridSpan w:val="2"/>
            <w:tcBorders>
              <w:top w:val="dotted" w:sz="4" w:space="0" w:color="auto"/>
              <w:left w:val="nil"/>
              <w:bottom w:val="dotted" w:sz="4" w:space="0" w:color="auto"/>
              <w:right w:val="nil"/>
            </w:tcBorders>
            <w:shd w:val="clear" w:color="auto" w:fill="auto"/>
            <w:noWrap/>
            <w:vAlign w:val="center"/>
            <w:hideMark/>
          </w:tcPr>
          <w:p>
            <w:pPr>
              <w:jc w:val="right"/>
              <w:rPr>
                <w:b/>
                <w:bCs/>
                <w:noProof/>
                <w:color w:val="000000"/>
                <w:sz w:val="20"/>
                <w:szCs w:val="20"/>
              </w:rPr>
            </w:pPr>
          </w:p>
        </w:tc>
        <w:tc>
          <w:tcPr>
            <w:tcW w:w="1316" w:type="dxa"/>
            <w:gridSpan w:val="2"/>
            <w:tcBorders>
              <w:top w:val="dotted" w:sz="4" w:space="0" w:color="auto"/>
              <w:left w:val="nil"/>
              <w:bottom w:val="dotted" w:sz="4" w:space="0" w:color="auto"/>
              <w:right w:val="nil"/>
            </w:tcBorders>
            <w:shd w:val="clear" w:color="auto" w:fill="auto"/>
            <w:noWrap/>
            <w:vAlign w:val="center"/>
            <w:hideMark/>
          </w:tcPr>
          <w:p>
            <w:pPr>
              <w:rPr>
                <w:noProof/>
                <w:sz w:val="20"/>
                <w:szCs w:val="20"/>
              </w:rPr>
            </w:pPr>
          </w:p>
        </w:tc>
        <w:tc>
          <w:tcPr>
            <w:tcW w:w="1250" w:type="dxa"/>
            <w:gridSpan w:val="2"/>
            <w:tcBorders>
              <w:top w:val="dotted" w:sz="4" w:space="0" w:color="auto"/>
              <w:left w:val="nil"/>
              <w:bottom w:val="dotted" w:sz="4" w:space="0" w:color="auto"/>
              <w:right w:val="nil"/>
            </w:tcBorders>
            <w:shd w:val="clear" w:color="auto" w:fill="auto"/>
            <w:noWrap/>
            <w:vAlign w:val="center"/>
            <w:hideMark/>
          </w:tcPr>
          <w:p>
            <w:pPr>
              <w:rPr>
                <w:noProof/>
                <w:sz w:val="20"/>
                <w:szCs w:val="20"/>
              </w:rPr>
            </w:pPr>
          </w:p>
        </w:tc>
        <w:tc>
          <w:tcPr>
            <w:tcW w:w="1250" w:type="dxa"/>
            <w:gridSpan w:val="3"/>
            <w:tcBorders>
              <w:top w:val="dotted" w:sz="4" w:space="0" w:color="auto"/>
              <w:left w:val="nil"/>
              <w:bottom w:val="dotted" w:sz="4" w:space="0" w:color="auto"/>
              <w:right w:val="nil"/>
            </w:tcBorders>
            <w:shd w:val="clear" w:color="auto" w:fill="auto"/>
            <w:noWrap/>
            <w:vAlign w:val="center"/>
            <w:hideMark/>
          </w:tcPr>
          <w:p>
            <w:pPr>
              <w:rPr>
                <w:noProof/>
                <w:sz w:val="20"/>
                <w:szCs w:val="20"/>
              </w:rPr>
            </w:pPr>
          </w:p>
        </w:tc>
        <w:tc>
          <w:tcPr>
            <w:tcW w:w="1250" w:type="dxa"/>
            <w:gridSpan w:val="2"/>
            <w:tcBorders>
              <w:top w:val="dotted" w:sz="4" w:space="0" w:color="auto"/>
              <w:left w:val="nil"/>
              <w:bottom w:val="dotted" w:sz="4" w:space="0" w:color="auto"/>
              <w:right w:val="nil"/>
            </w:tcBorders>
            <w:shd w:val="clear" w:color="auto" w:fill="auto"/>
            <w:noWrap/>
            <w:vAlign w:val="center"/>
            <w:hideMark/>
          </w:tcPr>
          <w:p>
            <w:pPr>
              <w:rPr>
                <w:noProof/>
                <w:sz w:val="20"/>
                <w:szCs w:val="20"/>
              </w:rPr>
            </w:pPr>
          </w:p>
        </w:tc>
        <w:tc>
          <w:tcPr>
            <w:tcW w:w="1250" w:type="dxa"/>
            <w:gridSpan w:val="3"/>
            <w:tcBorders>
              <w:top w:val="dotted" w:sz="4" w:space="0" w:color="auto"/>
              <w:left w:val="nil"/>
              <w:bottom w:val="dotted" w:sz="4" w:space="0" w:color="auto"/>
              <w:right w:val="nil"/>
            </w:tcBorders>
            <w:shd w:val="clear" w:color="auto" w:fill="auto"/>
            <w:noWrap/>
            <w:vAlign w:val="center"/>
            <w:hideMark/>
          </w:tcPr>
          <w:p>
            <w:pPr>
              <w:rPr>
                <w:noProof/>
                <w:sz w:val="20"/>
                <w:szCs w:val="20"/>
              </w:rPr>
            </w:pPr>
          </w:p>
        </w:tc>
      </w:tr>
      <w:tr>
        <w:trPr>
          <w:gridAfter w:val="6"/>
          <w:wAfter w:w="6491" w:type="dxa"/>
          <w:trHeight w:val="310"/>
        </w:trPr>
        <w:tc>
          <w:tcPr>
            <w:tcW w:w="4706" w:type="dxa"/>
            <w:gridSpan w:val="2"/>
            <w:tcBorders>
              <w:top w:val="dotted" w:sz="4" w:space="0" w:color="auto"/>
              <w:left w:val="nil"/>
              <w:bottom w:val="dotted" w:sz="4" w:space="0" w:color="auto"/>
              <w:right w:val="nil"/>
            </w:tcBorders>
            <w:shd w:val="clear" w:color="auto" w:fill="CCFFCC"/>
            <w:noWrap/>
            <w:vAlign w:val="center"/>
            <w:hideMark/>
          </w:tcPr>
          <w:p>
            <w:pPr>
              <w:rPr>
                <w:b/>
                <w:bCs/>
                <w:noProof/>
                <w:color w:val="000000"/>
                <w:sz w:val="20"/>
                <w:szCs w:val="20"/>
              </w:rPr>
            </w:pPr>
            <w:r>
              <w:rPr>
                <w:b/>
                <w:bCs/>
                <w:noProof/>
                <w:color w:val="000000"/>
                <w:sz w:val="20"/>
                <w:szCs w:val="20"/>
              </w:rPr>
              <w:t>WPŁYWY</w:t>
            </w:r>
          </w:p>
        </w:tc>
        <w:tc>
          <w:tcPr>
            <w:tcW w:w="1316" w:type="dxa"/>
            <w:gridSpan w:val="2"/>
            <w:tcBorders>
              <w:top w:val="dotted" w:sz="4" w:space="0" w:color="auto"/>
              <w:left w:val="nil"/>
              <w:bottom w:val="dotted" w:sz="4" w:space="0" w:color="auto"/>
              <w:right w:val="nil"/>
            </w:tcBorders>
            <w:shd w:val="clear" w:color="auto" w:fill="CCFFCC"/>
            <w:noWrap/>
            <w:vAlign w:val="center"/>
            <w:hideMark/>
          </w:tcPr>
          <w:p>
            <w:pPr>
              <w:rPr>
                <w:noProof/>
                <w:color w:val="000000"/>
                <w:sz w:val="20"/>
                <w:szCs w:val="20"/>
              </w:rPr>
            </w:pPr>
            <w:r>
              <w:rPr>
                <w:noProof/>
                <w:color w:val="000000"/>
                <w:sz w:val="20"/>
                <w:szCs w:val="20"/>
              </w:rPr>
              <w:t xml:space="preserve"> </w:t>
            </w:r>
          </w:p>
        </w:tc>
        <w:tc>
          <w:tcPr>
            <w:tcW w:w="1250" w:type="dxa"/>
            <w:gridSpan w:val="2"/>
            <w:tcBorders>
              <w:top w:val="dotted" w:sz="4" w:space="0" w:color="auto"/>
              <w:left w:val="nil"/>
              <w:bottom w:val="dotted" w:sz="4" w:space="0" w:color="auto"/>
              <w:right w:val="nil"/>
            </w:tcBorders>
            <w:shd w:val="clear" w:color="auto" w:fill="CCFFCC"/>
            <w:noWrap/>
            <w:vAlign w:val="center"/>
            <w:hideMark/>
          </w:tcPr>
          <w:p>
            <w:pPr>
              <w:rPr>
                <w:noProof/>
                <w:color w:val="000000"/>
                <w:sz w:val="20"/>
                <w:szCs w:val="20"/>
              </w:rPr>
            </w:pPr>
            <w:r>
              <w:rPr>
                <w:noProof/>
                <w:color w:val="000000"/>
                <w:sz w:val="20"/>
                <w:szCs w:val="20"/>
              </w:rPr>
              <w:t xml:space="preserve"> </w:t>
            </w:r>
          </w:p>
        </w:tc>
        <w:tc>
          <w:tcPr>
            <w:tcW w:w="1250" w:type="dxa"/>
            <w:gridSpan w:val="3"/>
            <w:tcBorders>
              <w:top w:val="dotted" w:sz="4" w:space="0" w:color="auto"/>
              <w:left w:val="nil"/>
              <w:bottom w:val="dotted" w:sz="4" w:space="0" w:color="auto"/>
              <w:right w:val="nil"/>
            </w:tcBorders>
            <w:shd w:val="clear" w:color="auto" w:fill="CCFFCC"/>
            <w:noWrap/>
            <w:vAlign w:val="center"/>
            <w:hideMark/>
          </w:tcPr>
          <w:p>
            <w:pPr>
              <w:rPr>
                <w:noProof/>
                <w:color w:val="000000"/>
                <w:sz w:val="20"/>
                <w:szCs w:val="20"/>
              </w:rPr>
            </w:pPr>
            <w:r>
              <w:rPr>
                <w:noProof/>
                <w:color w:val="000000"/>
                <w:sz w:val="20"/>
                <w:szCs w:val="20"/>
              </w:rPr>
              <w:t xml:space="preserve"> </w:t>
            </w:r>
          </w:p>
        </w:tc>
        <w:tc>
          <w:tcPr>
            <w:tcW w:w="1250" w:type="dxa"/>
            <w:gridSpan w:val="2"/>
            <w:tcBorders>
              <w:top w:val="dotted" w:sz="4" w:space="0" w:color="auto"/>
              <w:left w:val="nil"/>
              <w:bottom w:val="dotted" w:sz="4" w:space="0" w:color="auto"/>
              <w:right w:val="nil"/>
            </w:tcBorders>
            <w:shd w:val="clear" w:color="auto" w:fill="CCFFCC"/>
            <w:noWrap/>
            <w:vAlign w:val="center"/>
            <w:hideMark/>
          </w:tcPr>
          <w:p>
            <w:pPr>
              <w:rPr>
                <w:noProof/>
                <w:color w:val="000000"/>
                <w:sz w:val="20"/>
                <w:szCs w:val="20"/>
              </w:rPr>
            </w:pPr>
            <w:r>
              <w:rPr>
                <w:noProof/>
                <w:color w:val="000000"/>
                <w:sz w:val="20"/>
                <w:szCs w:val="20"/>
              </w:rPr>
              <w:t xml:space="preserve"> </w:t>
            </w:r>
          </w:p>
        </w:tc>
        <w:tc>
          <w:tcPr>
            <w:tcW w:w="1250" w:type="dxa"/>
            <w:gridSpan w:val="3"/>
            <w:tcBorders>
              <w:top w:val="dotted" w:sz="4" w:space="0" w:color="auto"/>
              <w:left w:val="nil"/>
              <w:bottom w:val="dotted" w:sz="4" w:space="0" w:color="auto"/>
              <w:right w:val="nil"/>
            </w:tcBorders>
            <w:shd w:val="clear" w:color="auto" w:fill="CCFFCC"/>
            <w:noWrap/>
            <w:vAlign w:val="center"/>
            <w:hideMark/>
          </w:tcPr>
          <w:p>
            <w:pPr>
              <w:rPr>
                <w:noProof/>
                <w:color w:val="000000"/>
                <w:sz w:val="20"/>
                <w:szCs w:val="20"/>
              </w:rPr>
            </w:pPr>
            <w:r>
              <w:rPr>
                <w:noProof/>
                <w:color w:val="000000"/>
                <w:sz w:val="20"/>
                <w:szCs w:val="20"/>
              </w:rPr>
              <w:t xml:space="preserve"> </w:t>
            </w:r>
          </w:p>
        </w:tc>
      </w:tr>
      <w:tr>
        <w:trPr>
          <w:gridAfter w:val="6"/>
          <w:wAfter w:w="6491" w:type="dxa"/>
          <w:trHeight w:val="290"/>
        </w:trPr>
        <w:tc>
          <w:tcPr>
            <w:tcW w:w="4706" w:type="dxa"/>
            <w:gridSpan w:val="2"/>
            <w:tcBorders>
              <w:top w:val="dotted" w:sz="4" w:space="0" w:color="auto"/>
              <w:left w:val="nil"/>
              <w:bottom w:val="dotted" w:sz="4" w:space="0" w:color="auto"/>
              <w:right w:val="dotted" w:sz="4" w:space="0" w:color="auto"/>
            </w:tcBorders>
            <w:shd w:val="clear" w:color="auto" w:fill="auto"/>
            <w:noWrap/>
            <w:vAlign w:val="center"/>
            <w:hideMark/>
          </w:tcPr>
          <w:p>
            <w:pPr>
              <w:rPr>
                <w:i/>
                <w:iCs/>
                <w:noProof/>
                <w:color w:val="215967"/>
                <w:sz w:val="20"/>
                <w:szCs w:val="20"/>
              </w:rPr>
            </w:pPr>
            <w:r>
              <w:rPr>
                <w:i/>
                <w:iCs/>
                <w:noProof/>
                <w:color w:val="215967"/>
                <w:sz w:val="20"/>
                <w:szCs w:val="20"/>
              </w:rPr>
              <w:t>Pułap zasobów własnych wyrażony jako odsetek dochodu narodowego brutto UE</w:t>
            </w:r>
          </w:p>
        </w:tc>
        <w:tc>
          <w:tcPr>
            <w:tcW w:w="1316"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215967"/>
                <w:sz w:val="20"/>
                <w:szCs w:val="20"/>
              </w:rPr>
            </w:pPr>
            <w:r>
              <w:rPr>
                <w:i/>
                <w:iCs/>
                <w:noProof/>
                <w:color w:val="215967"/>
                <w:sz w:val="20"/>
                <w:szCs w:val="20"/>
              </w:rPr>
              <w:t>1,40%</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215967"/>
                <w:sz w:val="20"/>
                <w:szCs w:val="20"/>
              </w:rPr>
            </w:pPr>
            <w:r>
              <w:rPr>
                <w:i/>
                <w:iCs/>
                <w:noProof/>
                <w:color w:val="215967"/>
                <w:sz w:val="20"/>
                <w:szCs w:val="20"/>
              </w:rPr>
              <w:t>1,40%</w:t>
            </w:r>
          </w:p>
        </w:tc>
        <w:tc>
          <w:tcPr>
            <w:tcW w:w="1250"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215967"/>
                <w:sz w:val="20"/>
                <w:szCs w:val="20"/>
              </w:rPr>
            </w:pPr>
            <w:r>
              <w:rPr>
                <w:i/>
                <w:iCs/>
                <w:noProof/>
                <w:color w:val="215967"/>
                <w:sz w:val="20"/>
                <w:szCs w:val="20"/>
              </w:rPr>
              <w:t>1,40%</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215967"/>
                <w:sz w:val="20"/>
                <w:szCs w:val="20"/>
              </w:rPr>
            </w:pPr>
            <w:r>
              <w:rPr>
                <w:i/>
                <w:iCs/>
                <w:noProof/>
                <w:color w:val="215967"/>
                <w:sz w:val="20"/>
                <w:szCs w:val="20"/>
              </w:rPr>
              <w:t>1,40%</w:t>
            </w:r>
          </w:p>
        </w:tc>
        <w:tc>
          <w:tcPr>
            <w:tcW w:w="1250" w:type="dxa"/>
            <w:gridSpan w:val="3"/>
            <w:tcBorders>
              <w:top w:val="dotted" w:sz="4" w:space="0" w:color="auto"/>
              <w:left w:val="dotted" w:sz="4" w:space="0" w:color="auto"/>
              <w:bottom w:val="dotted" w:sz="4" w:space="0" w:color="auto"/>
              <w:right w:val="nil"/>
            </w:tcBorders>
            <w:shd w:val="clear" w:color="auto" w:fill="auto"/>
            <w:noWrap/>
            <w:vAlign w:val="center"/>
            <w:hideMark/>
          </w:tcPr>
          <w:p>
            <w:pPr>
              <w:jc w:val="right"/>
              <w:rPr>
                <w:i/>
                <w:iCs/>
                <w:noProof/>
                <w:color w:val="215967"/>
                <w:sz w:val="20"/>
                <w:szCs w:val="20"/>
              </w:rPr>
            </w:pPr>
            <w:r>
              <w:rPr>
                <w:i/>
                <w:iCs/>
                <w:noProof/>
                <w:color w:val="215967"/>
                <w:sz w:val="20"/>
                <w:szCs w:val="20"/>
              </w:rPr>
              <w:t>1,40%</w:t>
            </w:r>
          </w:p>
        </w:tc>
      </w:tr>
      <w:tr>
        <w:trPr>
          <w:gridAfter w:val="6"/>
          <w:wAfter w:w="6491" w:type="dxa"/>
          <w:trHeight w:val="290"/>
        </w:trPr>
        <w:tc>
          <w:tcPr>
            <w:tcW w:w="4706" w:type="dxa"/>
            <w:gridSpan w:val="2"/>
            <w:tcBorders>
              <w:top w:val="dotted" w:sz="4" w:space="0" w:color="auto"/>
              <w:left w:val="nil"/>
              <w:bottom w:val="dotted" w:sz="4" w:space="0" w:color="auto"/>
              <w:right w:val="dotted" w:sz="4" w:space="0" w:color="auto"/>
            </w:tcBorders>
            <w:shd w:val="clear" w:color="auto" w:fill="auto"/>
            <w:noWrap/>
            <w:vAlign w:val="center"/>
            <w:hideMark/>
          </w:tcPr>
          <w:p>
            <w:pPr>
              <w:rPr>
                <w:i/>
                <w:iCs/>
                <w:noProof/>
                <w:color w:val="215967"/>
                <w:sz w:val="20"/>
                <w:szCs w:val="20"/>
              </w:rPr>
            </w:pPr>
            <w:r>
              <w:rPr>
                <w:i/>
                <w:iCs/>
                <w:noProof/>
                <w:color w:val="215967"/>
                <w:sz w:val="20"/>
                <w:szCs w:val="20"/>
              </w:rPr>
              <w:t>Pułap zasobów własnych wyrażony w mld EUR***</w:t>
            </w:r>
          </w:p>
        </w:tc>
        <w:tc>
          <w:tcPr>
            <w:tcW w:w="1316"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215967"/>
                <w:sz w:val="20"/>
                <w:szCs w:val="20"/>
              </w:rPr>
            </w:pPr>
            <w:r>
              <w:rPr>
                <w:i/>
                <w:iCs/>
                <w:noProof/>
                <w:color w:val="215967"/>
                <w:sz w:val="20"/>
                <w:szCs w:val="20"/>
              </w:rPr>
              <w:t>196,0</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215967"/>
                <w:sz w:val="20"/>
                <w:szCs w:val="20"/>
              </w:rPr>
            </w:pPr>
            <w:r>
              <w:rPr>
                <w:i/>
                <w:iCs/>
                <w:noProof/>
                <w:color w:val="215967"/>
                <w:sz w:val="20"/>
                <w:szCs w:val="20"/>
              </w:rPr>
              <w:t>202,9</w:t>
            </w:r>
          </w:p>
        </w:tc>
        <w:tc>
          <w:tcPr>
            <w:tcW w:w="1250"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215967"/>
                <w:sz w:val="20"/>
                <w:szCs w:val="20"/>
              </w:rPr>
            </w:pPr>
            <w:r>
              <w:rPr>
                <w:i/>
                <w:iCs/>
                <w:noProof/>
                <w:color w:val="215967"/>
                <w:sz w:val="20"/>
                <w:szCs w:val="20"/>
              </w:rPr>
              <w:t>210,1</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i/>
                <w:iCs/>
                <w:noProof/>
                <w:color w:val="215967"/>
                <w:sz w:val="20"/>
                <w:szCs w:val="20"/>
              </w:rPr>
            </w:pPr>
            <w:r>
              <w:rPr>
                <w:i/>
                <w:iCs/>
                <w:noProof/>
                <w:color w:val="215967"/>
                <w:sz w:val="20"/>
                <w:szCs w:val="20"/>
              </w:rPr>
              <w:t>217,8</w:t>
            </w:r>
          </w:p>
        </w:tc>
        <w:tc>
          <w:tcPr>
            <w:tcW w:w="1250" w:type="dxa"/>
            <w:gridSpan w:val="3"/>
            <w:tcBorders>
              <w:top w:val="dotted" w:sz="4" w:space="0" w:color="auto"/>
              <w:left w:val="dotted" w:sz="4" w:space="0" w:color="auto"/>
              <w:bottom w:val="dotted" w:sz="4" w:space="0" w:color="auto"/>
              <w:right w:val="nil"/>
            </w:tcBorders>
            <w:shd w:val="clear" w:color="auto" w:fill="auto"/>
            <w:noWrap/>
            <w:vAlign w:val="center"/>
            <w:hideMark/>
          </w:tcPr>
          <w:p>
            <w:pPr>
              <w:jc w:val="right"/>
              <w:rPr>
                <w:i/>
                <w:iCs/>
                <w:noProof/>
                <w:color w:val="215967"/>
                <w:sz w:val="20"/>
                <w:szCs w:val="20"/>
              </w:rPr>
            </w:pPr>
            <w:r>
              <w:rPr>
                <w:i/>
                <w:iCs/>
                <w:noProof/>
                <w:color w:val="215967"/>
                <w:sz w:val="20"/>
                <w:szCs w:val="20"/>
              </w:rPr>
              <w:t>223,9</w:t>
            </w:r>
          </w:p>
        </w:tc>
      </w:tr>
      <w:tr>
        <w:trPr>
          <w:gridAfter w:val="6"/>
          <w:wAfter w:w="6491" w:type="dxa"/>
          <w:trHeight w:val="290"/>
        </w:trPr>
        <w:tc>
          <w:tcPr>
            <w:tcW w:w="4706" w:type="dxa"/>
            <w:gridSpan w:val="2"/>
            <w:tcBorders>
              <w:top w:val="dotted" w:sz="4" w:space="0" w:color="auto"/>
              <w:left w:val="nil"/>
              <w:bottom w:val="dotted" w:sz="4" w:space="0" w:color="auto"/>
              <w:right w:val="dotted" w:sz="4" w:space="0" w:color="auto"/>
            </w:tcBorders>
            <w:shd w:val="clear" w:color="auto" w:fill="auto"/>
            <w:noWrap/>
            <w:vAlign w:val="center"/>
            <w:hideMark/>
          </w:tcPr>
          <w:p>
            <w:pPr>
              <w:rPr>
                <w:b/>
                <w:bCs/>
                <w:noProof/>
                <w:color w:val="000000"/>
                <w:sz w:val="20"/>
                <w:szCs w:val="20"/>
              </w:rPr>
            </w:pPr>
            <w:r>
              <w:rPr>
                <w:b/>
                <w:bCs/>
                <w:noProof/>
                <w:color w:val="000000"/>
                <w:sz w:val="20"/>
                <w:szCs w:val="20"/>
              </w:rPr>
              <w:t>Zasoby własne ogółem****:</w:t>
            </w:r>
          </w:p>
        </w:tc>
        <w:tc>
          <w:tcPr>
            <w:tcW w:w="1316"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b/>
                <w:bCs/>
                <w:noProof/>
                <w:color w:val="000000"/>
                <w:sz w:val="20"/>
                <w:szCs w:val="20"/>
              </w:rPr>
            </w:pPr>
            <w:r>
              <w:rPr>
                <w:b/>
                <w:bCs/>
                <w:noProof/>
                <w:color w:val="000000"/>
                <w:sz w:val="20"/>
                <w:szCs w:val="20"/>
              </w:rPr>
              <w:t>154,6</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b/>
                <w:bCs/>
                <w:noProof/>
                <w:color w:val="000000"/>
                <w:sz w:val="20"/>
                <w:szCs w:val="20"/>
              </w:rPr>
            </w:pPr>
            <w:r>
              <w:rPr>
                <w:b/>
                <w:bCs/>
                <w:noProof/>
                <w:color w:val="000000"/>
                <w:sz w:val="20"/>
                <w:szCs w:val="20"/>
              </w:rPr>
              <w:t>157,4</w:t>
            </w:r>
          </w:p>
        </w:tc>
        <w:tc>
          <w:tcPr>
            <w:tcW w:w="1250"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b/>
                <w:bCs/>
                <w:noProof/>
                <w:color w:val="000000"/>
                <w:sz w:val="20"/>
                <w:szCs w:val="20"/>
              </w:rPr>
            </w:pPr>
            <w:r>
              <w:rPr>
                <w:b/>
                <w:bCs/>
                <w:noProof/>
                <w:color w:val="000000"/>
                <w:sz w:val="20"/>
                <w:szCs w:val="20"/>
              </w:rPr>
              <w:t>164,8</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b/>
                <w:bCs/>
                <w:noProof/>
                <w:color w:val="000000"/>
                <w:sz w:val="20"/>
                <w:szCs w:val="20"/>
              </w:rPr>
            </w:pPr>
            <w:r>
              <w:rPr>
                <w:b/>
                <w:bCs/>
                <w:noProof/>
                <w:color w:val="000000"/>
                <w:sz w:val="20"/>
                <w:szCs w:val="20"/>
              </w:rPr>
              <w:t>171,2</w:t>
            </w:r>
          </w:p>
        </w:tc>
        <w:tc>
          <w:tcPr>
            <w:tcW w:w="1250" w:type="dxa"/>
            <w:gridSpan w:val="3"/>
            <w:tcBorders>
              <w:top w:val="dotted" w:sz="4" w:space="0" w:color="auto"/>
              <w:left w:val="dotted" w:sz="4" w:space="0" w:color="auto"/>
              <w:bottom w:val="dotted" w:sz="4" w:space="0" w:color="auto"/>
              <w:right w:val="nil"/>
            </w:tcBorders>
            <w:shd w:val="clear" w:color="auto" w:fill="auto"/>
            <w:noWrap/>
            <w:vAlign w:val="center"/>
            <w:hideMark/>
          </w:tcPr>
          <w:p>
            <w:pPr>
              <w:jc w:val="right"/>
              <w:rPr>
                <w:b/>
                <w:bCs/>
                <w:noProof/>
                <w:color w:val="000000"/>
                <w:sz w:val="20"/>
                <w:szCs w:val="20"/>
              </w:rPr>
            </w:pPr>
            <w:r>
              <w:rPr>
                <w:b/>
                <w:bCs/>
                <w:noProof/>
                <w:color w:val="000000"/>
                <w:sz w:val="20"/>
                <w:szCs w:val="20"/>
              </w:rPr>
              <w:t>176,6</w:t>
            </w:r>
          </w:p>
        </w:tc>
      </w:tr>
      <w:tr>
        <w:trPr>
          <w:gridAfter w:val="6"/>
          <w:wAfter w:w="6491" w:type="dxa"/>
          <w:trHeight w:val="290"/>
        </w:trPr>
        <w:tc>
          <w:tcPr>
            <w:tcW w:w="4706" w:type="dxa"/>
            <w:gridSpan w:val="2"/>
            <w:tcBorders>
              <w:top w:val="dotted" w:sz="4" w:space="0" w:color="auto"/>
              <w:left w:val="nil"/>
              <w:bottom w:val="dotted" w:sz="4" w:space="0" w:color="auto"/>
              <w:right w:val="dotted" w:sz="4" w:space="0" w:color="auto"/>
            </w:tcBorders>
            <w:noWrap/>
            <w:vAlign w:val="center"/>
            <w:hideMark/>
          </w:tcPr>
          <w:p>
            <w:pPr>
              <w:jc w:val="right"/>
              <w:rPr>
                <w:i/>
                <w:iCs/>
                <w:noProof/>
                <w:color w:val="000000"/>
                <w:sz w:val="20"/>
                <w:szCs w:val="20"/>
              </w:rPr>
            </w:pPr>
            <w:r>
              <w:rPr>
                <w:i/>
                <w:iCs/>
                <w:noProof/>
                <w:color w:val="000000"/>
                <w:sz w:val="20"/>
                <w:szCs w:val="20"/>
              </w:rPr>
              <w:t>w tym kwota netto tradycyjnych zasobów własnych</w:t>
            </w:r>
          </w:p>
        </w:tc>
        <w:tc>
          <w:tcPr>
            <w:tcW w:w="1316" w:type="dxa"/>
            <w:gridSpan w:val="2"/>
            <w:tcBorders>
              <w:top w:val="dotted" w:sz="4" w:space="0" w:color="auto"/>
              <w:left w:val="dotted" w:sz="4" w:space="0" w:color="auto"/>
              <w:bottom w:val="dotted" w:sz="4" w:space="0" w:color="auto"/>
              <w:right w:val="dotted" w:sz="4" w:space="0" w:color="auto"/>
            </w:tcBorders>
            <w:shd w:val="clear" w:color="auto" w:fill="FFFFFF" w:themeFill="background1"/>
            <w:noWrap/>
            <w:vAlign w:val="center"/>
            <w:hideMark/>
          </w:tcPr>
          <w:p>
            <w:pPr>
              <w:jc w:val="right"/>
              <w:rPr>
                <w:noProof/>
                <w:color w:val="000000"/>
                <w:sz w:val="20"/>
                <w:szCs w:val="20"/>
              </w:rPr>
            </w:pPr>
            <w:r>
              <w:rPr>
                <w:noProof/>
                <w:color w:val="000000"/>
                <w:sz w:val="20"/>
                <w:szCs w:val="20"/>
              </w:rPr>
              <w:t>19,7</w:t>
            </w:r>
          </w:p>
        </w:tc>
        <w:tc>
          <w:tcPr>
            <w:tcW w:w="1250" w:type="dxa"/>
            <w:gridSpan w:val="2"/>
            <w:tcBorders>
              <w:top w:val="dotted" w:sz="4" w:space="0" w:color="auto"/>
              <w:left w:val="dotted" w:sz="4" w:space="0" w:color="auto"/>
              <w:bottom w:val="dotted" w:sz="4" w:space="0" w:color="auto"/>
              <w:right w:val="dotted" w:sz="4" w:space="0" w:color="auto"/>
            </w:tcBorders>
            <w:shd w:val="clear" w:color="auto" w:fill="FFFFFF" w:themeFill="background1"/>
            <w:noWrap/>
            <w:vAlign w:val="center"/>
            <w:hideMark/>
          </w:tcPr>
          <w:p>
            <w:pPr>
              <w:jc w:val="right"/>
              <w:rPr>
                <w:noProof/>
                <w:color w:val="000000"/>
                <w:sz w:val="20"/>
                <w:szCs w:val="20"/>
              </w:rPr>
            </w:pPr>
            <w:r>
              <w:rPr>
                <w:noProof/>
                <w:color w:val="000000"/>
                <w:sz w:val="20"/>
                <w:szCs w:val="20"/>
              </w:rPr>
              <w:t>19,9</w:t>
            </w:r>
          </w:p>
        </w:tc>
        <w:tc>
          <w:tcPr>
            <w:tcW w:w="1250" w:type="dxa"/>
            <w:gridSpan w:val="3"/>
            <w:tcBorders>
              <w:top w:val="dotted" w:sz="4" w:space="0" w:color="auto"/>
              <w:left w:val="dotted" w:sz="4" w:space="0" w:color="auto"/>
              <w:bottom w:val="dotted" w:sz="4" w:space="0" w:color="auto"/>
              <w:right w:val="dotted" w:sz="4" w:space="0" w:color="auto"/>
            </w:tcBorders>
            <w:shd w:val="clear" w:color="auto" w:fill="FFFFFF" w:themeFill="background1"/>
            <w:noWrap/>
            <w:vAlign w:val="center"/>
            <w:hideMark/>
          </w:tcPr>
          <w:p>
            <w:pPr>
              <w:jc w:val="right"/>
              <w:rPr>
                <w:noProof/>
                <w:color w:val="000000"/>
                <w:sz w:val="20"/>
                <w:szCs w:val="20"/>
              </w:rPr>
            </w:pPr>
            <w:r>
              <w:rPr>
                <w:noProof/>
                <w:color w:val="000000"/>
                <w:sz w:val="20"/>
                <w:szCs w:val="20"/>
              </w:rPr>
              <w:t>20,6</w:t>
            </w:r>
          </w:p>
        </w:tc>
        <w:tc>
          <w:tcPr>
            <w:tcW w:w="1250" w:type="dxa"/>
            <w:gridSpan w:val="2"/>
            <w:tcBorders>
              <w:top w:val="dotted" w:sz="4" w:space="0" w:color="auto"/>
              <w:left w:val="dotted" w:sz="4" w:space="0" w:color="auto"/>
              <w:bottom w:val="dotted" w:sz="4" w:space="0" w:color="auto"/>
              <w:right w:val="dotted" w:sz="4" w:space="0" w:color="auto"/>
            </w:tcBorders>
            <w:shd w:val="clear" w:color="auto" w:fill="FFFFFF" w:themeFill="background1"/>
            <w:noWrap/>
            <w:vAlign w:val="center"/>
            <w:hideMark/>
          </w:tcPr>
          <w:p>
            <w:pPr>
              <w:jc w:val="right"/>
              <w:rPr>
                <w:noProof/>
                <w:color w:val="000000"/>
                <w:sz w:val="20"/>
                <w:szCs w:val="20"/>
              </w:rPr>
            </w:pPr>
            <w:r>
              <w:rPr>
                <w:noProof/>
                <w:color w:val="000000"/>
                <w:sz w:val="20"/>
                <w:szCs w:val="20"/>
              </w:rPr>
              <w:t>21,4</w:t>
            </w:r>
          </w:p>
        </w:tc>
        <w:tc>
          <w:tcPr>
            <w:tcW w:w="1250" w:type="dxa"/>
            <w:gridSpan w:val="3"/>
            <w:tcBorders>
              <w:top w:val="dotted" w:sz="4" w:space="0" w:color="auto"/>
              <w:left w:val="dotted" w:sz="4" w:space="0" w:color="auto"/>
              <w:bottom w:val="dotted" w:sz="4" w:space="0" w:color="auto"/>
              <w:right w:val="nil"/>
            </w:tcBorders>
            <w:shd w:val="clear" w:color="auto" w:fill="FFFFFF" w:themeFill="background1"/>
            <w:noWrap/>
            <w:vAlign w:val="center"/>
            <w:hideMark/>
          </w:tcPr>
          <w:p>
            <w:pPr>
              <w:jc w:val="right"/>
              <w:rPr>
                <w:noProof/>
                <w:color w:val="000000"/>
                <w:sz w:val="20"/>
                <w:szCs w:val="20"/>
              </w:rPr>
            </w:pPr>
            <w:r>
              <w:rPr>
                <w:noProof/>
                <w:color w:val="000000"/>
                <w:sz w:val="20"/>
                <w:szCs w:val="20"/>
              </w:rPr>
              <w:t>22,0</w:t>
            </w:r>
          </w:p>
        </w:tc>
      </w:tr>
      <w:tr>
        <w:trPr>
          <w:gridAfter w:val="6"/>
          <w:wAfter w:w="6491" w:type="dxa"/>
          <w:trHeight w:val="290"/>
        </w:trPr>
        <w:tc>
          <w:tcPr>
            <w:tcW w:w="4706" w:type="dxa"/>
            <w:gridSpan w:val="2"/>
            <w:tcBorders>
              <w:top w:val="dotted" w:sz="4" w:space="0" w:color="auto"/>
              <w:left w:val="nil"/>
              <w:bottom w:val="dotted" w:sz="4" w:space="0" w:color="auto"/>
              <w:right w:val="dotted" w:sz="4" w:space="0" w:color="auto"/>
            </w:tcBorders>
            <w:shd w:val="clear" w:color="auto" w:fill="auto"/>
            <w:vAlign w:val="center"/>
            <w:hideMark/>
          </w:tcPr>
          <w:p>
            <w:pPr>
              <w:jc w:val="right"/>
              <w:rPr>
                <w:i/>
                <w:iCs/>
                <w:noProof/>
                <w:color w:val="000000"/>
                <w:sz w:val="20"/>
                <w:szCs w:val="20"/>
              </w:rPr>
            </w:pPr>
            <w:r>
              <w:rPr>
                <w:i/>
                <w:iCs/>
                <w:noProof/>
                <w:color w:val="000000"/>
                <w:sz w:val="20"/>
                <w:szCs w:val="20"/>
              </w:rPr>
              <w:t>w tym wkłady krajowe i nowe zasoby własne****</w:t>
            </w:r>
          </w:p>
        </w:tc>
        <w:tc>
          <w:tcPr>
            <w:tcW w:w="1316"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noProof/>
                <w:color w:val="000000"/>
                <w:sz w:val="20"/>
                <w:szCs w:val="20"/>
              </w:rPr>
            </w:pPr>
            <w:r>
              <w:rPr>
                <w:noProof/>
                <w:color w:val="000000"/>
                <w:sz w:val="20"/>
                <w:szCs w:val="20"/>
              </w:rPr>
              <w:t>134,8</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noProof/>
                <w:color w:val="000000"/>
                <w:sz w:val="20"/>
                <w:szCs w:val="20"/>
              </w:rPr>
            </w:pPr>
            <w:r>
              <w:rPr>
                <w:noProof/>
                <w:color w:val="000000"/>
                <w:sz w:val="20"/>
                <w:szCs w:val="20"/>
              </w:rPr>
              <w:t>137,4</w:t>
            </w:r>
          </w:p>
        </w:tc>
        <w:tc>
          <w:tcPr>
            <w:tcW w:w="1250"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noProof/>
                <w:color w:val="000000"/>
                <w:sz w:val="20"/>
                <w:szCs w:val="20"/>
              </w:rPr>
            </w:pPr>
            <w:r>
              <w:rPr>
                <w:noProof/>
                <w:color w:val="000000"/>
                <w:sz w:val="20"/>
                <w:szCs w:val="20"/>
              </w:rPr>
              <w:t>144,1</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noProof/>
                <w:color w:val="000000"/>
                <w:sz w:val="20"/>
                <w:szCs w:val="20"/>
              </w:rPr>
            </w:pPr>
            <w:r>
              <w:rPr>
                <w:noProof/>
                <w:color w:val="000000"/>
                <w:sz w:val="20"/>
                <w:szCs w:val="20"/>
              </w:rPr>
              <w:t>149,8</w:t>
            </w:r>
          </w:p>
        </w:tc>
        <w:tc>
          <w:tcPr>
            <w:tcW w:w="1250" w:type="dxa"/>
            <w:gridSpan w:val="3"/>
            <w:tcBorders>
              <w:top w:val="dotted" w:sz="4" w:space="0" w:color="auto"/>
              <w:left w:val="dotted" w:sz="4" w:space="0" w:color="auto"/>
              <w:bottom w:val="dotted" w:sz="4" w:space="0" w:color="auto"/>
              <w:right w:val="nil"/>
            </w:tcBorders>
            <w:shd w:val="clear" w:color="auto" w:fill="auto"/>
            <w:noWrap/>
            <w:vAlign w:val="center"/>
            <w:hideMark/>
          </w:tcPr>
          <w:p>
            <w:pPr>
              <w:jc w:val="right"/>
              <w:rPr>
                <w:noProof/>
                <w:color w:val="000000"/>
                <w:sz w:val="20"/>
                <w:szCs w:val="20"/>
              </w:rPr>
            </w:pPr>
            <w:r>
              <w:rPr>
                <w:noProof/>
                <w:color w:val="000000"/>
                <w:sz w:val="20"/>
                <w:szCs w:val="20"/>
              </w:rPr>
              <w:t>154,6</w:t>
            </w:r>
          </w:p>
        </w:tc>
      </w:tr>
      <w:tr>
        <w:trPr>
          <w:gridAfter w:val="6"/>
          <w:wAfter w:w="6491" w:type="dxa"/>
          <w:trHeight w:val="290"/>
        </w:trPr>
        <w:tc>
          <w:tcPr>
            <w:tcW w:w="4706" w:type="dxa"/>
            <w:gridSpan w:val="2"/>
            <w:tcBorders>
              <w:top w:val="dotted" w:sz="4" w:space="0" w:color="auto"/>
              <w:left w:val="nil"/>
              <w:bottom w:val="dotted" w:sz="4" w:space="0" w:color="auto"/>
              <w:right w:val="dotted" w:sz="4" w:space="0" w:color="auto"/>
            </w:tcBorders>
            <w:vAlign w:val="center"/>
            <w:hideMark/>
          </w:tcPr>
          <w:p>
            <w:pPr>
              <w:rPr>
                <w:noProof/>
                <w:color w:val="000000"/>
                <w:sz w:val="20"/>
                <w:szCs w:val="20"/>
              </w:rPr>
            </w:pPr>
            <w:r>
              <w:rPr>
                <w:noProof/>
                <w:color w:val="000000"/>
                <w:sz w:val="20"/>
                <w:szCs w:val="20"/>
              </w:rPr>
              <w:t>Inne dochody (w tym tymczasowy wkład Zjednoczonego Królestwa)</w:t>
            </w:r>
          </w:p>
        </w:tc>
        <w:tc>
          <w:tcPr>
            <w:tcW w:w="1316" w:type="dxa"/>
            <w:gridSpan w:val="2"/>
            <w:tcBorders>
              <w:top w:val="dotted" w:sz="4" w:space="0" w:color="auto"/>
              <w:left w:val="dotted" w:sz="4" w:space="0" w:color="auto"/>
              <w:bottom w:val="dotted" w:sz="4" w:space="0" w:color="auto"/>
              <w:right w:val="dotted" w:sz="4" w:space="0" w:color="auto"/>
            </w:tcBorders>
            <w:shd w:val="clear" w:color="auto" w:fill="FFFFFF" w:themeFill="background1"/>
            <w:noWrap/>
            <w:vAlign w:val="center"/>
            <w:hideMark/>
          </w:tcPr>
          <w:p>
            <w:pPr>
              <w:jc w:val="right"/>
              <w:rPr>
                <w:noProof/>
                <w:color w:val="000000"/>
                <w:sz w:val="20"/>
                <w:szCs w:val="20"/>
              </w:rPr>
            </w:pPr>
            <w:r>
              <w:rPr>
                <w:noProof/>
                <w:color w:val="000000"/>
                <w:sz w:val="20"/>
                <w:szCs w:val="20"/>
              </w:rPr>
              <w:t>8,9</w:t>
            </w:r>
          </w:p>
        </w:tc>
        <w:tc>
          <w:tcPr>
            <w:tcW w:w="1250" w:type="dxa"/>
            <w:gridSpan w:val="2"/>
            <w:tcBorders>
              <w:top w:val="dotted" w:sz="4" w:space="0" w:color="auto"/>
              <w:left w:val="dotted" w:sz="4" w:space="0" w:color="auto"/>
              <w:bottom w:val="dotted" w:sz="4" w:space="0" w:color="auto"/>
              <w:right w:val="dotted" w:sz="4" w:space="0" w:color="auto"/>
            </w:tcBorders>
            <w:shd w:val="clear" w:color="auto" w:fill="FFFFFF" w:themeFill="background1"/>
            <w:noWrap/>
            <w:vAlign w:val="center"/>
            <w:hideMark/>
          </w:tcPr>
          <w:p>
            <w:pPr>
              <w:jc w:val="right"/>
              <w:rPr>
                <w:noProof/>
                <w:color w:val="000000"/>
                <w:sz w:val="20"/>
                <w:szCs w:val="20"/>
              </w:rPr>
            </w:pPr>
            <w:r>
              <w:rPr>
                <w:noProof/>
                <w:color w:val="000000"/>
                <w:sz w:val="20"/>
                <w:szCs w:val="20"/>
              </w:rPr>
              <w:t>12,7</w:t>
            </w:r>
          </w:p>
        </w:tc>
        <w:tc>
          <w:tcPr>
            <w:tcW w:w="1250" w:type="dxa"/>
            <w:gridSpan w:val="3"/>
            <w:tcBorders>
              <w:top w:val="dotted" w:sz="4" w:space="0" w:color="auto"/>
              <w:left w:val="dotted" w:sz="4" w:space="0" w:color="auto"/>
              <w:bottom w:val="dotted" w:sz="4" w:space="0" w:color="auto"/>
              <w:right w:val="dotted" w:sz="4" w:space="0" w:color="auto"/>
            </w:tcBorders>
            <w:shd w:val="clear" w:color="auto" w:fill="FFFFFF" w:themeFill="background1"/>
            <w:noWrap/>
            <w:vAlign w:val="center"/>
            <w:hideMark/>
          </w:tcPr>
          <w:p>
            <w:pPr>
              <w:jc w:val="right"/>
              <w:rPr>
                <w:noProof/>
                <w:color w:val="000000"/>
                <w:sz w:val="20"/>
                <w:szCs w:val="20"/>
              </w:rPr>
            </w:pPr>
            <w:r>
              <w:rPr>
                <w:noProof/>
                <w:color w:val="000000"/>
                <w:sz w:val="20"/>
                <w:szCs w:val="20"/>
              </w:rPr>
              <w:t>9,7</w:t>
            </w:r>
          </w:p>
        </w:tc>
        <w:tc>
          <w:tcPr>
            <w:tcW w:w="1250" w:type="dxa"/>
            <w:gridSpan w:val="2"/>
            <w:tcBorders>
              <w:top w:val="dotted" w:sz="4" w:space="0" w:color="auto"/>
              <w:left w:val="dotted" w:sz="4" w:space="0" w:color="auto"/>
              <w:bottom w:val="dotted" w:sz="4" w:space="0" w:color="auto"/>
              <w:right w:val="dotted" w:sz="4" w:space="0" w:color="auto"/>
            </w:tcBorders>
            <w:shd w:val="clear" w:color="auto" w:fill="FFFFFF" w:themeFill="background1"/>
            <w:noWrap/>
            <w:vAlign w:val="center"/>
            <w:hideMark/>
          </w:tcPr>
          <w:p>
            <w:pPr>
              <w:jc w:val="right"/>
              <w:rPr>
                <w:noProof/>
                <w:color w:val="000000"/>
                <w:sz w:val="20"/>
                <w:szCs w:val="20"/>
              </w:rPr>
            </w:pPr>
            <w:r>
              <w:rPr>
                <w:noProof/>
                <w:color w:val="000000"/>
                <w:sz w:val="20"/>
                <w:szCs w:val="20"/>
              </w:rPr>
              <w:t>6,8</w:t>
            </w:r>
          </w:p>
        </w:tc>
        <w:tc>
          <w:tcPr>
            <w:tcW w:w="1250" w:type="dxa"/>
            <w:gridSpan w:val="3"/>
            <w:tcBorders>
              <w:top w:val="dotted" w:sz="4" w:space="0" w:color="auto"/>
              <w:left w:val="dotted" w:sz="4" w:space="0" w:color="auto"/>
              <w:bottom w:val="dotted" w:sz="4" w:space="0" w:color="auto"/>
              <w:right w:val="nil"/>
            </w:tcBorders>
            <w:shd w:val="clear" w:color="auto" w:fill="FFFFFF" w:themeFill="background1"/>
            <w:noWrap/>
            <w:vAlign w:val="center"/>
            <w:hideMark/>
          </w:tcPr>
          <w:p>
            <w:pPr>
              <w:jc w:val="right"/>
              <w:rPr>
                <w:noProof/>
                <w:color w:val="000000"/>
                <w:sz w:val="20"/>
                <w:szCs w:val="20"/>
              </w:rPr>
            </w:pPr>
            <w:r>
              <w:rPr>
                <w:noProof/>
                <w:color w:val="000000"/>
                <w:sz w:val="20"/>
                <w:szCs w:val="20"/>
              </w:rPr>
              <w:t>4,9</w:t>
            </w:r>
          </w:p>
        </w:tc>
      </w:tr>
      <w:tr>
        <w:trPr>
          <w:gridAfter w:val="6"/>
          <w:wAfter w:w="6491" w:type="dxa"/>
          <w:trHeight w:val="290"/>
        </w:trPr>
        <w:tc>
          <w:tcPr>
            <w:tcW w:w="4706" w:type="dxa"/>
            <w:gridSpan w:val="2"/>
            <w:tcBorders>
              <w:top w:val="dotted" w:sz="4" w:space="0" w:color="auto"/>
              <w:left w:val="nil"/>
              <w:bottom w:val="dotted" w:sz="4" w:space="0" w:color="auto"/>
              <w:right w:val="dotted" w:sz="4" w:space="0" w:color="auto"/>
            </w:tcBorders>
            <w:shd w:val="clear" w:color="auto" w:fill="auto"/>
            <w:noWrap/>
            <w:vAlign w:val="center"/>
            <w:hideMark/>
          </w:tcPr>
          <w:p>
            <w:pPr>
              <w:rPr>
                <w:b/>
                <w:bCs/>
                <w:noProof/>
                <w:color w:val="000000"/>
                <w:sz w:val="20"/>
                <w:szCs w:val="20"/>
              </w:rPr>
            </w:pPr>
            <w:r>
              <w:rPr>
                <w:b/>
                <w:bCs/>
                <w:noProof/>
                <w:color w:val="000000"/>
                <w:sz w:val="20"/>
                <w:szCs w:val="20"/>
              </w:rPr>
              <w:t>Dochody ogółem</w:t>
            </w:r>
          </w:p>
        </w:tc>
        <w:tc>
          <w:tcPr>
            <w:tcW w:w="1316"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b/>
                <w:bCs/>
                <w:noProof/>
                <w:color w:val="000000"/>
                <w:sz w:val="20"/>
                <w:szCs w:val="20"/>
              </w:rPr>
            </w:pPr>
            <w:r>
              <w:rPr>
                <w:b/>
                <w:bCs/>
                <w:noProof/>
                <w:color w:val="000000"/>
                <w:sz w:val="20"/>
                <w:szCs w:val="20"/>
              </w:rPr>
              <w:t>163,5</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b/>
                <w:bCs/>
                <w:noProof/>
                <w:color w:val="000000"/>
                <w:sz w:val="20"/>
                <w:szCs w:val="20"/>
              </w:rPr>
            </w:pPr>
            <w:r>
              <w:rPr>
                <w:b/>
                <w:bCs/>
                <w:noProof/>
                <w:color w:val="000000"/>
                <w:sz w:val="20"/>
                <w:szCs w:val="20"/>
              </w:rPr>
              <w:t>170,1</w:t>
            </w:r>
          </w:p>
        </w:tc>
        <w:tc>
          <w:tcPr>
            <w:tcW w:w="1250"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b/>
                <w:bCs/>
                <w:noProof/>
                <w:color w:val="000000"/>
                <w:sz w:val="20"/>
                <w:szCs w:val="20"/>
              </w:rPr>
            </w:pPr>
            <w:r>
              <w:rPr>
                <w:b/>
                <w:bCs/>
                <w:noProof/>
                <w:color w:val="000000"/>
                <w:sz w:val="20"/>
                <w:szCs w:val="20"/>
              </w:rPr>
              <w:t>174,5</w:t>
            </w:r>
          </w:p>
        </w:tc>
        <w:tc>
          <w:tcPr>
            <w:tcW w:w="125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pPr>
              <w:jc w:val="right"/>
              <w:rPr>
                <w:b/>
                <w:bCs/>
                <w:noProof/>
                <w:color w:val="000000"/>
                <w:sz w:val="20"/>
                <w:szCs w:val="20"/>
              </w:rPr>
            </w:pPr>
            <w:r>
              <w:rPr>
                <w:b/>
                <w:bCs/>
                <w:noProof/>
                <w:color w:val="000000"/>
                <w:sz w:val="20"/>
                <w:szCs w:val="20"/>
              </w:rPr>
              <w:t>178,0</w:t>
            </w:r>
          </w:p>
        </w:tc>
        <w:tc>
          <w:tcPr>
            <w:tcW w:w="1250" w:type="dxa"/>
            <w:gridSpan w:val="3"/>
            <w:tcBorders>
              <w:top w:val="dotted" w:sz="4" w:space="0" w:color="auto"/>
              <w:left w:val="dotted" w:sz="4" w:space="0" w:color="auto"/>
              <w:bottom w:val="dotted" w:sz="4" w:space="0" w:color="auto"/>
              <w:right w:val="nil"/>
            </w:tcBorders>
            <w:shd w:val="clear" w:color="auto" w:fill="auto"/>
            <w:noWrap/>
            <w:vAlign w:val="center"/>
            <w:hideMark/>
          </w:tcPr>
          <w:p>
            <w:pPr>
              <w:jc w:val="right"/>
              <w:rPr>
                <w:b/>
                <w:bCs/>
                <w:noProof/>
                <w:color w:val="000000"/>
                <w:sz w:val="20"/>
                <w:szCs w:val="20"/>
              </w:rPr>
            </w:pPr>
            <w:r>
              <w:rPr>
                <w:b/>
                <w:bCs/>
                <w:noProof/>
                <w:color w:val="000000"/>
                <w:sz w:val="20"/>
                <w:szCs w:val="20"/>
              </w:rPr>
              <w:t>181,6</w:t>
            </w:r>
          </w:p>
        </w:tc>
      </w:tr>
      <w:tr>
        <w:trPr>
          <w:trHeight w:val="135"/>
        </w:trPr>
        <w:tc>
          <w:tcPr>
            <w:tcW w:w="8434" w:type="dxa"/>
            <w:gridSpan w:val="7"/>
            <w:tcBorders>
              <w:top w:val="nil"/>
              <w:left w:val="nil"/>
              <w:bottom w:val="nil"/>
              <w:right w:val="nil"/>
            </w:tcBorders>
            <w:shd w:val="clear" w:color="auto" w:fill="auto"/>
            <w:noWrap/>
            <w:vAlign w:val="center"/>
            <w:hideMark/>
          </w:tcPr>
          <w:p>
            <w:pPr>
              <w:jc w:val="right"/>
              <w:rPr>
                <w:b/>
                <w:bCs/>
                <w:noProof/>
                <w:color w:val="000000"/>
                <w:sz w:val="20"/>
                <w:szCs w:val="20"/>
              </w:rPr>
            </w:pPr>
          </w:p>
        </w:tc>
        <w:tc>
          <w:tcPr>
            <w:tcW w:w="3091" w:type="dxa"/>
            <w:gridSpan w:val="9"/>
            <w:tcBorders>
              <w:top w:val="nil"/>
              <w:left w:val="nil"/>
              <w:bottom w:val="nil"/>
              <w:right w:val="nil"/>
            </w:tcBorders>
            <w:shd w:val="clear" w:color="auto" w:fill="auto"/>
            <w:noWrap/>
            <w:vAlign w:val="center"/>
            <w:hideMark/>
          </w:tcPr>
          <w:p>
            <w:pPr>
              <w:rPr>
                <w:noProof/>
                <w:sz w:val="20"/>
                <w:szCs w:val="20"/>
              </w:rPr>
            </w:pPr>
          </w:p>
        </w:tc>
        <w:tc>
          <w:tcPr>
            <w:tcW w:w="1656" w:type="dxa"/>
            <w:tcBorders>
              <w:top w:val="nil"/>
              <w:left w:val="nil"/>
              <w:bottom w:val="nil"/>
              <w:right w:val="nil"/>
            </w:tcBorders>
            <w:shd w:val="clear" w:color="auto" w:fill="auto"/>
            <w:noWrap/>
            <w:vAlign w:val="center"/>
            <w:hideMark/>
          </w:tcPr>
          <w:p>
            <w:pPr>
              <w:rPr>
                <w:noProof/>
                <w:sz w:val="20"/>
                <w:szCs w:val="20"/>
              </w:rPr>
            </w:pPr>
          </w:p>
        </w:tc>
        <w:tc>
          <w:tcPr>
            <w:tcW w:w="1656" w:type="dxa"/>
            <w:tcBorders>
              <w:top w:val="nil"/>
              <w:left w:val="nil"/>
              <w:bottom w:val="nil"/>
              <w:right w:val="nil"/>
            </w:tcBorders>
            <w:shd w:val="clear" w:color="auto" w:fill="auto"/>
            <w:noWrap/>
            <w:vAlign w:val="center"/>
            <w:hideMark/>
          </w:tcPr>
          <w:p>
            <w:pPr>
              <w:rPr>
                <w:noProof/>
                <w:sz w:val="20"/>
                <w:szCs w:val="20"/>
              </w:rPr>
            </w:pPr>
          </w:p>
        </w:tc>
        <w:tc>
          <w:tcPr>
            <w:tcW w:w="1656" w:type="dxa"/>
            <w:tcBorders>
              <w:top w:val="nil"/>
              <w:left w:val="nil"/>
              <w:bottom w:val="nil"/>
              <w:right w:val="nil"/>
            </w:tcBorders>
            <w:shd w:val="clear" w:color="auto" w:fill="auto"/>
            <w:noWrap/>
            <w:vAlign w:val="center"/>
            <w:hideMark/>
          </w:tcPr>
          <w:p>
            <w:pPr>
              <w:rPr>
                <w:noProof/>
                <w:sz w:val="20"/>
                <w:szCs w:val="20"/>
              </w:rPr>
            </w:pPr>
          </w:p>
        </w:tc>
        <w:tc>
          <w:tcPr>
            <w:tcW w:w="1020" w:type="dxa"/>
            <w:tcBorders>
              <w:top w:val="nil"/>
              <w:left w:val="nil"/>
              <w:bottom w:val="nil"/>
              <w:right w:val="nil"/>
            </w:tcBorders>
            <w:shd w:val="clear" w:color="auto" w:fill="auto"/>
            <w:noWrap/>
            <w:vAlign w:val="center"/>
            <w:hideMark/>
          </w:tcPr>
          <w:p>
            <w:pPr>
              <w:rPr>
                <w:noProof/>
                <w:sz w:val="20"/>
                <w:szCs w:val="20"/>
              </w:rPr>
            </w:pPr>
          </w:p>
        </w:tc>
      </w:tr>
      <w:tr>
        <w:trPr>
          <w:gridAfter w:val="8"/>
          <w:wAfter w:w="7582" w:type="dxa"/>
          <w:trHeight w:val="570"/>
        </w:trPr>
        <w:tc>
          <w:tcPr>
            <w:tcW w:w="9931" w:type="dxa"/>
            <w:gridSpan w:val="12"/>
            <w:tcBorders>
              <w:top w:val="nil"/>
              <w:left w:val="nil"/>
              <w:bottom w:val="nil"/>
              <w:right w:val="nil"/>
            </w:tcBorders>
            <w:shd w:val="clear" w:color="auto" w:fill="FFFFFF" w:themeFill="background1"/>
            <w:vAlign w:val="center"/>
            <w:hideMark/>
          </w:tcPr>
          <w:p>
            <w:pPr>
              <w:rPr>
                <w:i/>
                <w:iCs/>
                <w:noProof/>
                <w:color w:val="000000"/>
                <w:sz w:val="20"/>
                <w:szCs w:val="20"/>
              </w:rPr>
            </w:pPr>
            <w:r>
              <w:rPr>
                <w:i/>
                <w:iCs/>
                <w:noProof/>
                <w:color w:val="000000"/>
                <w:sz w:val="20"/>
                <w:szCs w:val="20"/>
              </w:rPr>
              <w:t>* W latach 2022–2025: płatności z tytułu potencjalnego wykorzystania marginesów dodano do łącznej kwoty dla każdego działu i wstępnie rozłożono proporcjonalnie do płatności działów.</w:t>
            </w:r>
          </w:p>
        </w:tc>
      </w:tr>
      <w:tr>
        <w:trPr>
          <w:gridAfter w:val="8"/>
          <w:wAfter w:w="7582" w:type="dxa"/>
          <w:trHeight w:val="1080"/>
        </w:trPr>
        <w:tc>
          <w:tcPr>
            <w:tcW w:w="9931" w:type="dxa"/>
            <w:gridSpan w:val="12"/>
            <w:tcBorders>
              <w:top w:val="nil"/>
              <w:left w:val="nil"/>
              <w:bottom w:val="nil"/>
              <w:right w:val="nil"/>
            </w:tcBorders>
            <w:shd w:val="clear" w:color="auto" w:fill="FFFFFF" w:themeFill="background1"/>
            <w:vAlign w:val="center"/>
            <w:hideMark/>
          </w:tcPr>
          <w:p>
            <w:pPr>
              <w:rPr>
                <w:i/>
                <w:iCs/>
                <w:noProof/>
                <w:color w:val="000000"/>
                <w:sz w:val="20"/>
                <w:szCs w:val="20"/>
              </w:rPr>
            </w:pPr>
            <w:r>
              <w:rPr>
                <w:i/>
                <w:iCs/>
                <w:noProof/>
                <w:color w:val="000000"/>
                <w:sz w:val="20"/>
                <w:szCs w:val="20"/>
              </w:rPr>
              <w:t xml:space="preserve">** Wskazane kwoty odpowiadają płatnościom przewidzianym w projekcie budżetu na 2021 r. dla Europejskiego Funduszu Dostosowania do Globalizacji, Funduszu Solidarności oraz rezerwy na pomoc nadzwyczajną. Ze względu na szczególny charakter tych instrumentów nie można prognozować ich wykorzystania po 2021 r. </w:t>
            </w:r>
            <w:r>
              <w:rPr>
                <w:noProof/>
              </w:rPr>
              <w:br/>
            </w:r>
            <w:r>
              <w:rPr>
                <w:i/>
                <w:iCs/>
                <w:noProof/>
                <w:color w:val="000000"/>
                <w:sz w:val="20"/>
                <w:szCs w:val="20"/>
              </w:rPr>
              <w:t>Środki na te instrumenty uznaje się za wykraczające poza pułapy wieloletnich ram finansowych do celów obliczenia odpowiadających marginesów. Założenie takie przyjęto również w przypadku środków związanych z instrumentem elastyczności.</w:t>
            </w:r>
          </w:p>
        </w:tc>
      </w:tr>
      <w:tr>
        <w:trPr>
          <w:gridAfter w:val="8"/>
          <w:wAfter w:w="7582" w:type="dxa"/>
          <w:trHeight w:val="300"/>
        </w:trPr>
        <w:tc>
          <w:tcPr>
            <w:tcW w:w="9931" w:type="dxa"/>
            <w:gridSpan w:val="12"/>
            <w:tcBorders>
              <w:top w:val="nil"/>
              <w:left w:val="nil"/>
              <w:bottom w:val="nil"/>
              <w:right w:val="nil"/>
            </w:tcBorders>
            <w:shd w:val="clear" w:color="auto" w:fill="FFFFFF" w:themeFill="background1"/>
            <w:vAlign w:val="center"/>
            <w:hideMark/>
          </w:tcPr>
          <w:p>
            <w:pPr>
              <w:rPr>
                <w:i/>
                <w:iCs/>
                <w:noProof/>
                <w:color w:val="000000"/>
                <w:sz w:val="20"/>
                <w:szCs w:val="20"/>
              </w:rPr>
            </w:pPr>
            <w:r>
              <w:rPr>
                <w:i/>
                <w:iCs/>
                <w:noProof/>
                <w:color w:val="000000"/>
                <w:sz w:val="20"/>
                <w:szCs w:val="20"/>
              </w:rPr>
              <w:t>*** Obliczone na podstawie najnowszej prognozy gospodarczej dochodu narodowego brutto UE-27 na lata 2021–2025.</w:t>
            </w:r>
          </w:p>
        </w:tc>
      </w:tr>
      <w:tr>
        <w:trPr>
          <w:gridAfter w:val="8"/>
          <w:wAfter w:w="7582" w:type="dxa"/>
          <w:trHeight w:val="960"/>
        </w:trPr>
        <w:tc>
          <w:tcPr>
            <w:tcW w:w="9931" w:type="dxa"/>
            <w:gridSpan w:val="12"/>
            <w:tcBorders>
              <w:top w:val="nil"/>
              <w:left w:val="nil"/>
              <w:bottom w:val="nil"/>
              <w:right w:val="nil"/>
            </w:tcBorders>
            <w:shd w:val="clear" w:color="auto" w:fill="FFFFFF" w:themeFill="background1"/>
            <w:vAlign w:val="center"/>
            <w:hideMark/>
          </w:tcPr>
          <w:p>
            <w:pPr>
              <w:rPr>
                <w:i/>
                <w:iCs/>
                <w:noProof/>
                <w:sz w:val="20"/>
                <w:szCs w:val="20"/>
              </w:rPr>
            </w:pPr>
            <w:r>
              <w:rPr>
                <w:i/>
                <w:iCs/>
                <w:noProof/>
                <w:sz w:val="20"/>
                <w:szCs w:val="20"/>
              </w:rPr>
              <w:t xml:space="preserve">**** Tradycyjne zasoby własne szacuje się na podstawie wskaźnika zatrzymania kosztów poboru wynoszącego 10%. Wkłady krajowe obejmują zasoby własne oparte na dochodzie narodowym brutto, zreformowane zasoby własne oparte na podatku od wartości dodanej oraz nowe zasoby własne określone we wniosku Komisji w sprawie WRF na lata 2021–2027. </w:t>
            </w:r>
            <w:r>
              <w:rPr>
                <w:noProof/>
              </w:rPr>
              <w:br/>
            </w:r>
          </w:p>
        </w:tc>
      </w:tr>
    </w:tbl>
    <w:p>
      <w:pPr>
        <w:rPr>
          <w:noProof/>
        </w:rPr>
      </w:pPr>
    </w:p>
    <w:p>
      <w:pPr>
        <w:rPr>
          <w:noProof/>
        </w:rPr>
      </w:pPr>
    </w:p>
    <w:p>
      <w:pPr>
        <w:pStyle w:val="Caption"/>
        <w:keepNext/>
        <w:rPr>
          <w:noProof/>
        </w:rPr>
      </w:pPr>
      <w:r>
        <w:rPr>
          <w:noProof/>
        </w:rPr>
        <w:t xml:space="preserve">Tabela </w:t>
      </w:r>
      <w:r>
        <w:rPr>
          <w:noProof/>
        </w:rPr>
        <w:fldChar w:fldCharType="begin"/>
      </w:r>
      <w:r>
        <w:rPr>
          <w:noProof/>
        </w:rPr>
        <w:instrText xml:space="preserve"> SEQ Table \* ARABIC </w:instrText>
      </w:r>
      <w:r>
        <w:rPr>
          <w:noProof/>
        </w:rPr>
        <w:fldChar w:fldCharType="separate"/>
      </w:r>
      <w:r>
        <w:rPr>
          <w:noProof/>
        </w:rPr>
        <w:t>2</w:t>
      </w:r>
      <w:r>
        <w:rPr>
          <w:noProof/>
        </w:rPr>
        <w:fldChar w:fldCharType="end"/>
      </w:r>
      <w:r>
        <w:rPr>
          <w:noProof/>
        </w:rPr>
        <w:t xml:space="preserve"> – Prognoza operacji umorzenia zobowiązań na lata 2021–2025</w:t>
      </w:r>
    </w:p>
    <w:tbl>
      <w:tblPr>
        <w:tblW w:w="9432" w:type="dxa"/>
        <w:tblInd w:w="108" w:type="dxa"/>
        <w:tblLook w:val="04A0" w:firstRow="1" w:lastRow="0" w:firstColumn="1" w:lastColumn="0" w:noHBand="0" w:noVBand="1"/>
      </w:tblPr>
      <w:tblGrid>
        <w:gridCol w:w="7356"/>
        <w:gridCol w:w="2076"/>
      </w:tblGrid>
      <w:tr>
        <w:trPr>
          <w:trHeight w:val="290"/>
        </w:trPr>
        <w:tc>
          <w:tcPr>
            <w:tcW w:w="9432" w:type="dxa"/>
            <w:gridSpan w:val="2"/>
            <w:tcBorders>
              <w:top w:val="nil"/>
              <w:left w:val="nil"/>
              <w:bottom w:val="dotted" w:sz="4" w:space="0" w:color="auto"/>
              <w:right w:val="nil"/>
            </w:tcBorders>
            <w:shd w:val="clear" w:color="auto" w:fill="auto"/>
            <w:noWrap/>
            <w:vAlign w:val="center"/>
            <w:hideMark/>
          </w:tcPr>
          <w:p>
            <w:pPr>
              <w:jc w:val="right"/>
              <w:rPr>
                <w:i/>
                <w:iCs/>
                <w:noProof/>
                <w:color w:val="000000"/>
                <w:sz w:val="22"/>
                <w:szCs w:val="22"/>
              </w:rPr>
            </w:pPr>
            <w:bookmarkStart w:id="23" w:name="RANGE!B1:E14"/>
            <w:bookmarkEnd w:id="23"/>
            <w:r>
              <w:rPr>
                <w:i/>
                <w:iCs/>
                <w:noProof/>
                <w:color w:val="000000"/>
                <w:sz w:val="22"/>
                <w:szCs w:val="22"/>
              </w:rPr>
              <w:t>w mld EUR, według cen bieżących</w:t>
            </w:r>
          </w:p>
        </w:tc>
      </w:tr>
      <w:tr>
        <w:trPr>
          <w:trHeight w:val="253"/>
        </w:trPr>
        <w:tc>
          <w:tcPr>
            <w:tcW w:w="7356" w:type="dxa"/>
            <w:vMerge w:val="restart"/>
            <w:tcBorders>
              <w:top w:val="dotted" w:sz="4" w:space="0" w:color="auto"/>
              <w:left w:val="nil"/>
              <w:bottom w:val="dotted" w:sz="4" w:space="0" w:color="auto"/>
              <w:right w:val="nil"/>
            </w:tcBorders>
            <w:shd w:val="clear" w:color="auto" w:fill="auto"/>
            <w:vAlign w:val="center"/>
            <w:hideMark/>
          </w:tcPr>
          <w:p>
            <w:pPr>
              <w:jc w:val="center"/>
              <w:rPr>
                <w:b/>
                <w:bCs/>
                <w:noProof/>
                <w:sz w:val="22"/>
                <w:szCs w:val="22"/>
              </w:rPr>
            </w:pPr>
            <w:r>
              <w:rPr>
                <w:b/>
                <w:bCs/>
                <w:noProof/>
                <w:sz w:val="22"/>
                <w:szCs w:val="22"/>
              </w:rPr>
              <w:t>Umorzenie zobowiązań</w:t>
            </w:r>
          </w:p>
        </w:tc>
        <w:tc>
          <w:tcPr>
            <w:tcW w:w="2076" w:type="dxa"/>
            <w:vMerge w:val="restart"/>
            <w:tcBorders>
              <w:top w:val="dotted" w:sz="4" w:space="0" w:color="auto"/>
              <w:left w:val="nil"/>
              <w:bottom w:val="dotted" w:sz="4" w:space="0" w:color="auto"/>
              <w:right w:val="nil"/>
            </w:tcBorders>
            <w:shd w:val="clear" w:color="auto" w:fill="auto"/>
            <w:vAlign w:val="center"/>
            <w:hideMark/>
          </w:tcPr>
          <w:p>
            <w:pPr>
              <w:jc w:val="center"/>
              <w:rPr>
                <w:b/>
                <w:bCs/>
                <w:noProof/>
                <w:sz w:val="22"/>
                <w:szCs w:val="22"/>
              </w:rPr>
            </w:pPr>
            <w:r>
              <w:rPr>
                <w:b/>
                <w:bCs/>
                <w:noProof/>
                <w:sz w:val="22"/>
                <w:szCs w:val="22"/>
              </w:rPr>
              <w:t>W latach 2021-2025</w:t>
            </w:r>
          </w:p>
        </w:tc>
      </w:tr>
      <w:tr>
        <w:trPr>
          <w:trHeight w:val="293"/>
        </w:trPr>
        <w:tc>
          <w:tcPr>
            <w:tcW w:w="7356" w:type="dxa"/>
            <w:vMerge/>
            <w:tcBorders>
              <w:top w:val="dotted" w:sz="4" w:space="0" w:color="auto"/>
              <w:left w:val="nil"/>
              <w:bottom w:val="dotted" w:sz="4" w:space="0" w:color="auto"/>
              <w:right w:val="nil"/>
            </w:tcBorders>
            <w:vAlign w:val="center"/>
            <w:hideMark/>
          </w:tcPr>
          <w:p>
            <w:pPr>
              <w:rPr>
                <w:b/>
                <w:bCs/>
                <w:noProof/>
                <w:sz w:val="22"/>
                <w:szCs w:val="22"/>
              </w:rPr>
            </w:pPr>
          </w:p>
        </w:tc>
        <w:tc>
          <w:tcPr>
            <w:tcW w:w="2076" w:type="dxa"/>
            <w:vMerge/>
            <w:tcBorders>
              <w:top w:val="dotted" w:sz="4" w:space="0" w:color="auto"/>
              <w:left w:val="nil"/>
              <w:bottom w:val="dotted" w:sz="4" w:space="0" w:color="auto"/>
              <w:right w:val="nil"/>
            </w:tcBorders>
            <w:vAlign w:val="center"/>
            <w:hideMark/>
          </w:tcPr>
          <w:p>
            <w:pPr>
              <w:rPr>
                <w:b/>
                <w:bCs/>
                <w:noProof/>
                <w:sz w:val="22"/>
                <w:szCs w:val="22"/>
              </w:rPr>
            </w:pPr>
          </w:p>
        </w:tc>
      </w:tr>
      <w:tr>
        <w:trPr>
          <w:trHeight w:val="340"/>
        </w:trPr>
        <w:tc>
          <w:tcPr>
            <w:tcW w:w="7356" w:type="dxa"/>
            <w:tcBorders>
              <w:top w:val="dotted" w:sz="4" w:space="0" w:color="auto"/>
              <w:left w:val="nil"/>
              <w:bottom w:val="dotted" w:sz="4" w:space="0" w:color="auto"/>
              <w:right w:val="nil"/>
            </w:tcBorders>
            <w:shd w:val="clear" w:color="auto" w:fill="auto"/>
            <w:noWrap/>
            <w:vAlign w:val="center"/>
            <w:hideMark/>
          </w:tcPr>
          <w:p>
            <w:pPr>
              <w:rPr>
                <w:noProof/>
                <w:sz w:val="22"/>
                <w:szCs w:val="22"/>
              </w:rPr>
            </w:pPr>
            <w:r>
              <w:rPr>
                <w:noProof/>
                <w:sz w:val="22"/>
                <w:szCs w:val="22"/>
              </w:rPr>
              <w:t>1. Jednolity rynek, innowacje i gospodarka cyfrowa</w:t>
            </w:r>
          </w:p>
        </w:tc>
        <w:tc>
          <w:tcPr>
            <w:tcW w:w="2076" w:type="dxa"/>
            <w:tcBorders>
              <w:top w:val="dotted" w:sz="4" w:space="0" w:color="auto"/>
              <w:left w:val="nil"/>
              <w:bottom w:val="dotted" w:sz="4" w:space="0" w:color="auto"/>
              <w:right w:val="nil"/>
            </w:tcBorders>
            <w:shd w:val="clear" w:color="auto" w:fill="auto"/>
            <w:noWrap/>
            <w:vAlign w:val="center"/>
            <w:hideMark/>
          </w:tcPr>
          <w:p>
            <w:pPr>
              <w:jc w:val="right"/>
              <w:rPr>
                <w:noProof/>
                <w:sz w:val="22"/>
                <w:szCs w:val="22"/>
              </w:rPr>
            </w:pPr>
            <w:r>
              <w:rPr>
                <w:noProof/>
                <w:sz w:val="22"/>
                <w:szCs w:val="22"/>
              </w:rPr>
              <w:t>-1,0</w:t>
            </w:r>
          </w:p>
        </w:tc>
      </w:tr>
      <w:tr>
        <w:trPr>
          <w:trHeight w:val="340"/>
        </w:trPr>
        <w:tc>
          <w:tcPr>
            <w:tcW w:w="7356" w:type="dxa"/>
            <w:tcBorders>
              <w:top w:val="dotted" w:sz="4" w:space="0" w:color="auto"/>
              <w:left w:val="nil"/>
              <w:bottom w:val="dotted" w:sz="4" w:space="0" w:color="auto"/>
              <w:right w:val="nil"/>
            </w:tcBorders>
            <w:shd w:val="clear" w:color="auto" w:fill="auto"/>
            <w:noWrap/>
            <w:vAlign w:val="center"/>
            <w:hideMark/>
          </w:tcPr>
          <w:p>
            <w:pPr>
              <w:rPr>
                <w:noProof/>
                <w:sz w:val="22"/>
                <w:szCs w:val="22"/>
              </w:rPr>
            </w:pPr>
            <w:r>
              <w:rPr>
                <w:noProof/>
                <w:sz w:val="22"/>
                <w:szCs w:val="22"/>
              </w:rPr>
              <w:t xml:space="preserve">2. Spójność i wartości </w:t>
            </w:r>
          </w:p>
        </w:tc>
        <w:tc>
          <w:tcPr>
            <w:tcW w:w="2076" w:type="dxa"/>
            <w:tcBorders>
              <w:top w:val="dotted" w:sz="4" w:space="0" w:color="auto"/>
              <w:left w:val="nil"/>
              <w:bottom w:val="dotted" w:sz="4" w:space="0" w:color="auto"/>
              <w:right w:val="nil"/>
            </w:tcBorders>
            <w:shd w:val="clear" w:color="auto" w:fill="auto"/>
            <w:noWrap/>
            <w:vAlign w:val="center"/>
            <w:hideMark/>
          </w:tcPr>
          <w:p>
            <w:pPr>
              <w:jc w:val="right"/>
              <w:rPr>
                <w:noProof/>
                <w:sz w:val="22"/>
                <w:szCs w:val="22"/>
              </w:rPr>
            </w:pPr>
            <w:r>
              <w:rPr>
                <w:noProof/>
                <w:sz w:val="22"/>
                <w:szCs w:val="22"/>
              </w:rPr>
              <w:t>-5,1</w:t>
            </w:r>
          </w:p>
        </w:tc>
      </w:tr>
      <w:tr>
        <w:trPr>
          <w:trHeight w:val="340"/>
        </w:trPr>
        <w:tc>
          <w:tcPr>
            <w:tcW w:w="7356" w:type="dxa"/>
            <w:tcBorders>
              <w:top w:val="dotted" w:sz="4" w:space="0" w:color="auto"/>
              <w:left w:val="nil"/>
              <w:bottom w:val="dotted" w:sz="4" w:space="0" w:color="auto"/>
              <w:right w:val="nil"/>
            </w:tcBorders>
            <w:shd w:val="clear" w:color="auto" w:fill="auto"/>
            <w:noWrap/>
            <w:vAlign w:val="center"/>
            <w:hideMark/>
          </w:tcPr>
          <w:p>
            <w:pPr>
              <w:rPr>
                <w:noProof/>
                <w:sz w:val="22"/>
                <w:szCs w:val="22"/>
              </w:rPr>
            </w:pPr>
            <w:r>
              <w:rPr>
                <w:noProof/>
                <w:sz w:val="22"/>
                <w:szCs w:val="22"/>
              </w:rPr>
              <w:t>w tym: spójność gospodarcza, społeczna i terytorialna</w:t>
            </w:r>
          </w:p>
        </w:tc>
        <w:tc>
          <w:tcPr>
            <w:tcW w:w="2076" w:type="dxa"/>
            <w:tcBorders>
              <w:top w:val="dotted" w:sz="4" w:space="0" w:color="auto"/>
              <w:left w:val="nil"/>
              <w:bottom w:val="dotted" w:sz="4" w:space="0" w:color="auto"/>
              <w:right w:val="nil"/>
            </w:tcBorders>
            <w:shd w:val="clear" w:color="auto" w:fill="auto"/>
            <w:noWrap/>
            <w:vAlign w:val="center"/>
            <w:hideMark/>
          </w:tcPr>
          <w:p>
            <w:pPr>
              <w:jc w:val="right"/>
              <w:rPr>
                <w:noProof/>
                <w:sz w:val="22"/>
                <w:szCs w:val="22"/>
              </w:rPr>
            </w:pPr>
            <w:r>
              <w:rPr>
                <w:noProof/>
                <w:sz w:val="22"/>
                <w:szCs w:val="22"/>
              </w:rPr>
              <w:t>-5,0</w:t>
            </w:r>
          </w:p>
        </w:tc>
      </w:tr>
      <w:tr>
        <w:trPr>
          <w:trHeight w:val="340"/>
        </w:trPr>
        <w:tc>
          <w:tcPr>
            <w:tcW w:w="7356" w:type="dxa"/>
            <w:tcBorders>
              <w:top w:val="dotted" w:sz="4" w:space="0" w:color="auto"/>
              <w:left w:val="nil"/>
              <w:bottom w:val="dotted" w:sz="4" w:space="0" w:color="auto"/>
              <w:right w:val="nil"/>
            </w:tcBorders>
            <w:shd w:val="clear" w:color="auto" w:fill="auto"/>
            <w:noWrap/>
            <w:vAlign w:val="center"/>
            <w:hideMark/>
          </w:tcPr>
          <w:p>
            <w:pPr>
              <w:rPr>
                <w:noProof/>
                <w:sz w:val="22"/>
                <w:szCs w:val="22"/>
              </w:rPr>
            </w:pPr>
            <w:r>
              <w:rPr>
                <w:noProof/>
                <w:sz w:val="22"/>
                <w:szCs w:val="22"/>
              </w:rPr>
              <w:t>3. Zasoby naturalne i środowisko</w:t>
            </w:r>
          </w:p>
        </w:tc>
        <w:tc>
          <w:tcPr>
            <w:tcW w:w="2076" w:type="dxa"/>
            <w:tcBorders>
              <w:top w:val="dotted" w:sz="4" w:space="0" w:color="auto"/>
              <w:left w:val="nil"/>
              <w:bottom w:val="dotted" w:sz="4" w:space="0" w:color="auto"/>
              <w:right w:val="nil"/>
            </w:tcBorders>
            <w:shd w:val="clear" w:color="auto" w:fill="auto"/>
            <w:noWrap/>
            <w:vAlign w:val="center"/>
            <w:hideMark/>
          </w:tcPr>
          <w:p>
            <w:pPr>
              <w:jc w:val="right"/>
              <w:rPr>
                <w:noProof/>
                <w:sz w:val="22"/>
                <w:szCs w:val="22"/>
              </w:rPr>
            </w:pPr>
            <w:r>
              <w:rPr>
                <w:noProof/>
                <w:sz w:val="22"/>
                <w:szCs w:val="22"/>
              </w:rPr>
              <w:t>-2,1</w:t>
            </w:r>
          </w:p>
        </w:tc>
      </w:tr>
      <w:tr>
        <w:trPr>
          <w:trHeight w:val="340"/>
        </w:trPr>
        <w:tc>
          <w:tcPr>
            <w:tcW w:w="7356" w:type="dxa"/>
            <w:tcBorders>
              <w:top w:val="dotted" w:sz="4" w:space="0" w:color="auto"/>
              <w:left w:val="nil"/>
              <w:bottom w:val="dotted" w:sz="4" w:space="0" w:color="auto"/>
              <w:right w:val="nil"/>
            </w:tcBorders>
            <w:shd w:val="clear" w:color="auto" w:fill="auto"/>
            <w:noWrap/>
            <w:vAlign w:val="center"/>
            <w:hideMark/>
          </w:tcPr>
          <w:p>
            <w:pPr>
              <w:rPr>
                <w:noProof/>
                <w:sz w:val="22"/>
                <w:szCs w:val="22"/>
              </w:rPr>
            </w:pPr>
            <w:r>
              <w:rPr>
                <w:noProof/>
                <w:sz w:val="22"/>
                <w:szCs w:val="22"/>
              </w:rPr>
              <w:t>4. Migracja i zarządzanie granicami</w:t>
            </w:r>
          </w:p>
        </w:tc>
        <w:tc>
          <w:tcPr>
            <w:tcW w:w="2076" w:type="dxa"/>
            <w:tcBorders>
              <w:top w:val="dotted" w:sz="4" w:space="0" w:color="auto"/>
              <w:left w:val="nil"/>
              <w:bottom w:val="dotted" w:sz="4" w:space="0" w:color="auto"/>
              <w:right w:val="nil"/>
            </w:tcBorders>
            <w:shd w:val="clear" w:color="auto" w:fill="auto"/>
            <w:noWrap/>
            <w:vAlign w:val="center"/>
            <w:hideMark/>
          </w:tcPr>
          <w:p>
            <w:pPr>
              <w:jc w:val="right"/>
              <w:rPr>
                <w:noProof/>
                <w:sz w:val="22"/>
                <w:szCs w:val="22"/>
              </w:rPr>
            </w:pPr>
            <w:r>
              <w:rPr>
                <w:noProof/>
                <w:sz w:val="22"/>
                <w:szCs w:val="22"/>
              </w:rPr>
              <w:t>-0,6</w:t>
            </w:r>
          </w:p>
        </w:tc>
      </w:tr>
      <w:tr>
        <w:trPr>
          <w:trHeight w:val="340"/>
        </w:trPr>
        <w:tc>
          <w:tcPr>
            <w:tcW w:w="7356" w:type="dxa"/>
            <w:tcBorders>
              <w:top w:val="dotted" w:sz="4" w:space="0" w:color="auto"/>
              <w:left w:val="nil"/>
              <w:bottom w:val="dotted" w:sz="4" w:space="0" w:color="auto"/>
              <w:right w:val="nil"/>
            </w:tcBorders>
            <w:shd w:val="clear" w:color="auto" w:fill="auto"/>
            <w:noWrap/>
            <w:vAlign w:val="center"/>
            <w:hideMark/>
          </w:tcPr>
          <w:p>
            <w:pPr>
              <w:rPr>
                <w:noProof/>
                <w:sz w:val="22"/>
                <w:szCs w:val="22"/>
              </w:rPr>
            </w:pPr>
            <w:r>
              <w:rPr>
                <w:noProof/>
                <w:sz w:val="22"/>
                <w:szCs w:val="22"/>
              </w:rPr>
              <w:t>5. Odporność, bezpieczeństwo i obrona</w:t>
            </w:r>
          </w:p>
        </w:tc>
        <w:tc>
          <w:tcPr>
            <w:tcW w:w="2076" w:type="dxa"/>
            <w:tcBorders>
              <w:top w:val="dotted" w:sz="4" w:space="0" w:color="auto"/>
              <w:left w:val="nil"/>
              <w:bottom w:val="dotted" w:sz="4" w:space="0" w:color="auto"/>
              <w:right w:val="nil"/>
            </w:tcBorders>
            <w:shd w:val="clear" w:color="auto" w:fill="auto"/>
            <w:noWrap/>
            <w:vAlign w:val="center"/>
            <w:hideMark/>
          </w:tcPr>
          <w:p>
            <w:pPr>
              <w:jc w:val="right"/>
              <w:rPr>
                <w:noProof/>
                <w:sz w:val="22"/>
                <w:szCs w:val="22"/>
              </w:rPr>
            </w:pPr>
            <w:r>
              <w:rPr>
                <w:noProof/>
                <w:sz w:val="22"/>
                <w:szCs w:val="22"/>
              </w:rPr>
              <w:t>-0,1</w:t>
            </w:r>
          </w:p>
        </w:tc>
      </w:tr>
      <w:tr>
        <w:trPr>
          <w:trHeight w:val="340"/>
        </w:trPr>
        <w:tc>
          <w:tcPr>
            <w:tcW w:w="7356" w:type="dxa"/>
            <w:tcBorders>
              <w:top w:val="dotted" w:sz="4" w:space="0" w:color="auto"/>
              <w:left w:val="nil"/>
              <w:bottom w:val="dotted" w:sz="4" w:space="0" w:color="auto"/>
              <w:right w:val="nil"/>
            </w:tcBorders>
            <w:shd w:val="clear" w:color="auto" w:fill="auto"/>
            <w:noWrap/>
            <w:vAlign w:val="center"/>
            <w:hideMark/>
          </w:tcPr>
          <w:p>
            <w:pPr>
              <w:rPr>
                <w:noProof/>
                <w:sz w:val="22"/>
                <w:szCs w:val="22"/>
              </w:rPr>
            </w:pPr>
            <w:r>
              <w:rPr>
                <w:noProof/>
                <w:sz w:val="22"/>
                <w:szCs w:val="22"/>
              </w:rPr>
              <w:t>6. Sąsiedztwo i świat</w:t>
            </w:r>
          </w:p>
        </w:tc>
        <w:tc>
          <w:tcPr>
            <w:tcW w:w="2076" w:type="dxa"/>
            <w:tcBorders>
              <w:top w:val="dotted" w:sz="4" w:space="0" w:color="auto"/>
              <w:left w:val="nil"/>
              <w:bottom w:val="dotted" w:sz="4" w:space="0" w:color="auto"/>
              <w:right w:val="nil"/>
            </w:tcBorders>
            <w:shd w:val="clear" w:color="auto" w:fill="auto"/>
            <w:noWrap/>
            <w:vAlign w:val="center"/>
            <w:hideMark/>
          </w:tcPr>
          <w:p>
            <w:pPr>
              <w:jc w:val="right"/>
              <w:rPr>
                <w:noProof/>
                <w:sz w:val="22"/>
                <w:szCs w:val="22"/>
              </w:rPr>
            </w:pPr>
            <w:r>
              <w:rPr>
                <w:noProof/>
                <w:sz w:val="22"/>
                <w:szCs w:val="22"/>
              </w:rPr>
              <w:t>-0,1</w:t>
            </w:r>
          </w:p>
        </w:tc>
      </w:tr>
      <w:tr>
        <w:trPr>
          <w:trHeight w:val="340"/>
        </w:trPr>
        <w:tc>
          <w:tcPr>
            <w:tcW w:w="7356" w:type="dxa"/>
            <w:tcBorders>
              <w:top w:val="dotted" w:sz="4" w:space="0" w:color="auto"/>
              <w:left w:val="nil"/>
              <w:bottom w:val="dotted" w:sz="4" w:space="0" w:color="auto"/>
              <w:right w:val="nil"/>
            </w:tcBorders>
            <w:shd w:val="clear" w:color="auto" w:fill="auto"/>
            <w:noWrap/>
            <w:vAlign w:val="center"/>
            <w:hideMark/>
          </w:tcPr>
          <w:p>
            <w:pPr>
              <w:rPr>
                <w:noProof/>
                <w:sz w:val="22"/>
                <w:szCs w:val="22"/>
              </w:rPr>
            </w:pPr>
            <w:r>
              <w:rPr>
                <w:noProof/>
                <w:sz w:val="22"/>
                <w:szCs w:val="22"/>
              </w:rPr>
              <w:t>7. Europejska administracja publiczna</w:t>
            </w:r>
          </w:p>
        </w:tc>
        <w:tc>
          <w:tcPr>
            <w:tcW w:w="2076" w:type="dxa"/>
            <w:tcBorders>
              <w:top w:val="dotted" w:sz="4" w:space="0" w:color="auto"/>
              <w:left w:val="nil"/>
              <w:bottom w:val="dotted" w:sz="4" w:space="0" w:color="auto"/>
              <w:right w:val="nil"/>
            </w:tcBorders>
            <w:shd w:val="clear" w:color="auto" w:fill="auto"/>
            <w:noWrap/>
            <w:vAlign w:val="center"/>
            <w:hideMark/>
          </w:tcPr>
          <w:p>
            <w:pPr>
              <w:jc w:val="right"/>
              <w:rPr>
                <w:noProof/>
                <w:sz w:val="22"/>
                <w:szCs w:val="22"/>
              </w:rPr>
            </w:pPr>
            <w:r>
              <w:rPr>
                <w:noProof/>
                <w:sz w:val="22"/>
                <w:szCs w:val="22"/>
              </w:rPr>
              <w:t>0,0</w:t>
            </w:r>
          </w:p>
        </w:tc>
      </w:tr>
      <w:tr>
        <w:trPr>
          <w:trHeight w:val="370"/>
        </w:trPr>
        <w:tc>
          <w:tcPr>
            <w:tcW w:w="7356" w:type="dxa"/>
            <w:tcBorders>
              <w:top w:val="dotted" w:sz="4" w:space="0" w:color="auto"/>
              <w:left w:val="nil"/>
              <w:bottom w:val="nil"/>
              <w:right w:val="nil"/>
            </w:tcBorders>
            <w:shd w:val="clear" w:color="auto" w:fill="auto"/>
            <w:noWrap/>
            <w:vAlign w:val="center"/>
            <w:hideMark/>
          </w:tcPr>
          <w:p>
            <w:pPr>
              <w:jc w:val="right"/>
              <w:rPr>
                <w:b/>
                <w:bCs/>
                <w:noProof/>
                <w:sz w:val="22"/>
                <w:szCs w:val="22"/>
              </w:rPr>
            </w:pPr>
            <w:r>
              <w:rPr>
                <w:b/>
                <w:bCs/>
                <w:noProof/>
                <w:sz w:val="22"/>
                <w:szCs w:val="22"/>
              </w:rPr>
              <w:t>OGÓŁEM</w:t>
            </w:r>
          </w:p>
        </w:tc>
        <w:tc>
          <w:tcPr>
            <w:tcW w:w="2076" w:type="dxa"/>
            <w:tcBorders>
              <w:top w:val="dotted" w:sz="4" w:space="0" w:color="auto"/>
              <w:left w:val="nil"/>
              <w:bottom w:val="nil"/>
              <w:right w:val="nil"/>
            </w:tcBorders>
            <w:shd w:val="clear" w:color="auto" w:fill="auto"/>
            <w:noWrap/>
            <w:vAlign w:val="center"/>
            <w:hideMark/>
          </w:tcPr>
          <w:p>
            <w:pPr>
              <w:jc w:val="right"/>
              <w:rPr>
                <w:b/>
                <w:bCs/>
                <w:noProof/>
                <w:sz w:val="22"/>
                <w:szCs w:val="22"/>
              </w:rPr>
            </w:pPr>
            <w:r>
              <w:rPr>
                <w:b/>
                <w:bCs/>
                <w:noProof/>
                <w:sz w:val="22"/>
                <w:szCs w:val="22"/>
              </w:rPr>
              <w:t>-9,0</w:t>
            </w:r>
          </w:p>
        </w:tc>
      </w:tr>
      <w:tr>
        <w:trPr>
          <w:trHeight w:val="290"/>
        </w:trPr>
        <w:tc>
          <w:tcPr>
            <w:tcW w:w="9432" w:type="dxa"/>
            <w:gridSpan w:val="2"/>
            <w:tcBorders>
              <w:top w:val="nil"/>
              <w:left w:val="nil"/>
              <w:bottom w:val="nil"/>
              <w:right w:val="nil"/>
            </w:tcBorders>
            <w:shd w:val="clear" w:color="auto" w:fill="auto"/>
            <w:noWrap/>
            <w:vAlign w:val="bottom"/>
            <w:hideMark/>
          </w:tcPr>
          <w:p>
            <w:pPr>
              <w:rPr>
                <w:i/>
                <w:iCs/>
                <w:noProof/>
                <w:sz w:val="22"/>
                <w:szCs w:val="22"/>
              </w:rPr>
            </w:pPr>
            <w:r>
              <w:rPr>
                <w:i/>
                <w:iCs/>
                <w:noProof/>
                <w:sz w:val="18"/>
                <w:szCs w:val="18"/>
              </w:rPr>
              <w:t>* Nie przewiduje się żadnych operacji umorzenia zobowiązań w odniesieniu do zobowiązań zaproponowanych w ramach finansowych na lata 2021–2027.</w:t>
            </w:r>
          </w:p>
        </w:tc>
      </w:tr>
    </w:tbl>
    <w:p>
      <w:pPr>
        <w:pStyle w:val="Text1"/>
        <w:ind w:left="0"/>
        <w:rPr>
          <w:i/>
          <w:noProof/>
          <w:sz w:val="20"/>
        </w:rPr>
      </w:pPr>
    </w:p>
    <w:p>
      <w:pPr>
        <w:pStyle w:val="Caption"/>
        <w:keepNext/>
        <w:jc w:val="both"/>
        <w:rPr>
          <w:noProof/>
        </w:rPr>
      </w:pPr>
      <w:r>
        <w:rPr>
          <w:noProof/>
        </w:rPr>
        <w:t xml:space="preserve">Tabela </w:t>
      </w:r>
      <w:r>
        <w:rPr>
          <w:noProof/>
        </w:rPr>
        <w:fldChar w:fldCharType="begin"/>
      </w:r>
      <w:r>
        <w:rPr>
          <w:noProof/>
        </w:rPr>
        <w:instrText xml:space="preserve"> SEQ Table \* ARABIC </w:instrText>
      </w:r>
      <w:r>
        <w:rPr>
          <w:noProof/>
        </w:rPr>
        <w:fldChar w:fldCharType="separate"/>
      </w:r>
      <w:r>
        <w:rPr>
          <w:noProof/>
        </w:rPr>
        <w:t>3</w:t>
      </w:r>
      <w:r>
        <w:rPr>
          <w:noProof/>
        </w:rPr>
        <w:fldChar w:fldCharType="end"/>
      </w:r>
      <w:r>
        <w:rPr>
          <w:noProof/>
        </w:rPr>
        <w:t xml:space="preserve"> – Zmiana łącznej kwoty zobowiązań pozostających do spłaty w latach 2021–2025</w:t>
      </w:r>
    </w:p>
    <w:tbl>
      <w:tblPr>
        <w:tblW w:w="9607" w:type="dxa"/>
        <w:tblInd w:w="93" w:type="dxa"/>
        <w:tblLook w:val="04A0" w:firstRow="1" w:lastRow="0" w:firstColumn="1" w:lastColumn="0" w:noHBand="0" w:noVBand="1"/>
      </w:tblPr>
      <w:tblGrid>
        <w:gridCol w:w="25"/>
        <w:gridCol w:w="2778"/>
        <w:gridCol w:w="1701"/>
        <w:gridCol w:w="1701"/>
        <w:gridCol w:w="1701"/>
        <w:gridCol w:w="1618"/>
        <w:gridCol w:w="83"/>
      </w:tblGrid>
      <w:tr>
        <w:trPr>
          <w:gridAfter w:val="1"/>
          <w:wAfter w:w="83" w:type="dxa"/>
          <w:trHeight w:val="315"/>
        </w:trPr>
        <w:tc>
          <w:tcPr>
            <w:tcW w:w="9524" w:type="dxa"/>
            <w:gridSpan w:val="6"/>
            <w:tcBorders>
              <w:top w:val="nil"/>
              <w:left w:val="nil"/>
              <w:bottom w:val="nil"/>
              <w:right w:val="nil"/>
            </w:tcBorders>
            <w:shd w:val="clear" w:color="auto" w:fill="auto"/>
            <w:noWrap/>
            <w:vAlign w:val="center"/>
            <w:hideMark/>
          </w:tcPr>
          <w:p>
            <w:pPr>
              <w:jc w:val="right"/>
              <w:rPr>
                <w:i/>
                <w:iCs/>
                <w:noProof/>
                <w:color w:val="000000"/>
                <w:sz w:val="20"/>
                <w:szCs w:val="20"/>
              </w:rPr>
            </w:pPr>
            <w:r>
              <w:rPr>
                <w:i/>
                <w:iCs/>
                <w:noProof/>
                <w:color w:val="000000"/>
                <w:sz w:val="20"/>
                <w:szCs w:val="20"/>
              </w:rPr>
              <w:t>w mld EUR, według cen bieżących</w:t>
            </w:r>
          </w:p>
        </w:tc>
      </w:tr>
      <w:tr>
        <w:trPr>
          <w:gridBefore w:val="1"/>
          <w:wBefore w:w="25" w:type="dxa"/>
          <w:trHeight w:val="720"/>
        </w:trPr>
        <w:tc>
          <w:tcPr>
            <w:tcW w:w="2778" w:type="dxa"/>
            <w:tcBorders>
              <w:top w:val="single" w:sz="8" w:space="0" w:color="auto"/>
              <w:left w:val="single" w:sz="8" w:space="0" w:color="auto"/>
              <w:bottom w:val="nil"/>
              <w:right w:val="single" w:sz="8" w:space="0" w:color="auto"/>
            </w:tcBorders>
            <w:shd w:val="clear" w:color="auto" w:fill="auto"/>
            <w:noWrap/>
            <w:vAlign w:val="center"/>
            <w:hideMark/>
          </w:tcPr>
          <w:p>
            <w:pPr>
              <w:jc w:val="center"/>
              <w:rPr>
                <w:b/>
                <w:bCs/>
                <w:noProof/>
                <w:color w:val="000000"/>
                <w:sz w:val="22"/>
                <w:szCs w:val="22"/>
              </w:rPr>
            </w:pPr>
            <w:r>
              <w:rPr>
                <w:b/>
                <w:bCs/>
                <w:noProof/>
                <w:color w:val="000000"/>
                <w:sz w:val="22"/>
                <w:szCs w:val="22"/>
              </w:rPr>
              <w:t>Zobowiązania pozostające do spłaty do końca 2020 r.*</w:t>
            </w:r>
          </w:p>
        </w:tc>
        <w:tc>
          <w:tcPr>
            <w:tcW w:w="1701" w:type="dxa"/>
            <w:tcBorders>
              <w:top w:val="single" w:sz="8" w:space="0" w:color="auto"/>
              <w:left w:val="nil"/>
              <w:bottom w:val="nil"/>
              <w:right w:val="nil"/>
            </w:tcBorders>
            <w:shd w:val="clear" w:color="auto" w:fill="auto"/>
            <w:noWrap/>
            <w:vAlign w:val="center"/>
            <w:hideMark/>
          </w:tcPr>
          <w:p>
            <w:pPr>
              <w:jc w:val="center"/>
              <w:rPr>
                <w:b/>
                <w:bCs/>
                <w:noProof/>
                <w:color w:val="000000"/>
                <w:sz w:val="22"/>
                <w:szCs w:val="22"/>
              </w:rPr>
            </w:pPr>
            <w:r>
              <w:rPr>
                <w:b/>
                <w:bCs/>
                <w:noProof/>
                <w:color w:val="000000"/>
                <w:sz w:val="22"/>
                <w:szCs w:val="22"/>
              </w:rPr>
              <w:t>Zobowiązania 2021–2025</w:t>
            </w:r>
          </w:p>
        </w:tc>
        <w:tc>
          <w:tcPr>
            <w:tcW w:w="1701" w:type="dxa"/>
            <w:tcBorders>
              <w:top w:val="single" w:sz="8" w:space="0" w:color="auto"/>
              <w:left w:val="single" w:sz="8" w:space="0" w:color="auto"/>
              <w:bottom w:val="nil"/>
              <w:right w:val="nil"/>
            </w:tcBorders>
            <w:shd w:val="clear" w:color="auto" w:fill="auto"/>
            <w:noWrap/>
            <w:vAlign w:val="center"/>
            <w:hideMark/>
          </w:tcPr>
          <w:p>
            <w:pPr>
              <w:jc w:val="center"/>
              <w:rPr>
                <w:b/>
                <w:bCs/>
                <w:noProof/>
                <w:color w:val="000000"/>
                <w:sz w:val="22"/>
                <w:szCs w:val="22"/>
              </w:rPr>
            </w:pPr>
            <w:r>
              <w:rPr>
                <w:b/>
                <w:bCs/>
                <w:noProof/>
                <w:color w:val="000000"/>
                <w:sz w:val="22"/>
                <w:szCs w:val="22"/>
              </w:rPr>
              <w:t>Płatności 2021–2025</w:t>
            </w:r>
          </w:p>
        </w:tc>
        <w:tc>
          <w:tcPr>
            <w:tcW w:w="1701" w:type="dxa"/>
            <w:tcBorders>
              <w:top w:val="single" w:sz="8" w:space="0" w:color="auto"/>
              <w:left w:val="single" w:sz="8" w:space="0" w:color="auto"/>
              <w:bottom w:val="nil"/>
              <w:right w:val="nil"/>
            </w:tcBorders>
            <w:shd w:val="clear" w:color="auto" w:fill="auto"/>
            <w:vAlign w:val="center"/>
            <w:hideMark/>
          </w:tcPr>
          <w:p>
            <w:pPr>
              <w:jc w:val="center"/>
              <w:rPr>
                <w:b/>
                <w:bCs/>
                <w:noProof/>
                <w:color w:val="000000"/>
                <w:sz w:val="22"/>
                <w:szCs w:val="22"/>
              </w:rPr>
            </w:pPr>
            <w:r>
              <w:rPr>
                <w:b/>
                <w:bCs/>
                <w:noProof/>
                <w:color w:val="000000"/>
                <w:sz w:val="22"/>
                <w:szCs w:val="22"/>
              </w:rPr>
              <w:t>Umorzenie zobowiązań</w:t>
            </w:r>
          </w:p>
        </w:tc>
        <w:tc>
          <w:tcPr>
            <w:tcW w:w="1701" w:type="dxa"/>
            <w:gridSpan w:val="2"/>
            <w:tcBorders>
              <w:top w:val="single" w:sz="8" w:space="0" w:color="auto"/>
              <w:left w:val="single" w:sz="8" w:space="0" w:color="auto"/>
              <w:bottom w:val="nil"/>
              <w:right w:val="single" w:sz="8" w:space="0" w:color="auto"/>
            </w:tcBorders>
            <w:shd w:val="clear" w:color="auto" w:fill="auto"/>
            <w:noWrap/>
            <w:vAlign w:val="center"/>
            <w:hideMark/>
          </w:tcPr>
          <w:p>
            <w:pPr>
              <w:jc w:val="center"/>
              <w:rPr>
                <w:b/>
                <w:bCs/>
                <w:noProof/>
                <w:color w:val="000000"/>
                <w:sz w:val="22"/>
                <w:szCs w:val="22"/>
              </w:rPr>
            </w:pPr>
            <w:r>
              <w:rPr>
                <w:b/>
                <w:bCs/>
                <w:noProof/>
                <w:color w:val="000000"/>
                <w:sz w:val="22"/>
                <w:szCs w:val="22"/>
              </w:rPr>
              <w:t>Zobowiązania pozostające do spłaty do końca 2025 r.</w:t>
            </w:r>
          </w:p>
        </w:tc>
      </w:tr>
      <w:tr>
        <w:trPr>
          <w:gridBefore w:val="1"/>
          <w:wBefore w:w="25" w:type="dxa"/>
          <w:trHeight w:val="290"/>
        </w:trPr>
        <w:tc>
          <w:tcPr>
            <w:tcW w:w="2778" w:type="dxa"/>
            <w:tcBorders>
              <w:top w:val="nil"/>
              <w:left w:val="single" w:sz="8" w:space="0" w:color="auto"/>
              <w:bottom w:val="nil"/>
              <w:right w:val="single" w:sz="8" w:space="0" w:color="auto"/>
            </w:tcBorders>
            <w:shd w:val="clear" w:color="auto" w:fill="auto"/>
            <w:noWrap/>
            <w:vAlign w:val="center"/>
            <w:hideMark/>
          </w:tcPr>
          <w:p>
            <w:pPr>
              <w:jc w:val="center"/>
              <w:rPr>
                <w:i/>
                <w:iCs/>
                <w:noProof/>
                <w:color w:val="000000"/>
                <w:sz w:val="18"/>
                <w:szCs w:val="18"/>
              </w:rPr>
            </w:pPr>
            <w:r>
              <w:rPr>
                <w:i/>
                <w:iCs/>
                <w:noProof/>
                <w:color w:val="000000"/>
                <w:sz w:val="18"/>
                <w:szCs w:val="18"/>
              </w:rPr>
              <w:t>(a)</w:t>
            </w:r>
          </w:p>
        </w:tc>
        <w:tc>
          <w:tcPr>
            <w:tcW w:w="1701" w:type="dxa"/>
            <w:tcBorders>
              <w:top w:val="nil"/>
              <w:left w:val="nil"/>
              <w:bottom w:val="nil"/>
              <w:right w:val="nil"/>
            </w:tcBorders>
            <w:shd w:val="clear" w:color="auto" w:fill="auto"/>
            <w:noWrap/>
            <w:vAlign w:val="center"/>
            <w:hideMark/>
          </w:tcPr>
          <w:p>
            <w:pPr>
              <w:jc w:val="center"/>
              <w:rPr>
                <w:i/>
                <w:iCs/>
                <w:noProof/>
                <w:color w:val="000000"/>
                <w:sz w:val="18"/>
                <w:szCs w:val="18"/>
              </w:rPr>
            </w:pPr>
            <w:r>
              <w:rPr>
                <w:i/>
                <w:iCs/>
                <w:noProof/>
                <w:color w:val="000000"/>
                <w:sz w:val="18"/>
                <w:szCs w:val="18"/>
              </w:rPr>
              <w:t>(b)</w:t>
            </w:r>
          </w:p>
        </w:tc>
        <w:tc>
          <w:tcPr>
            <w:tcW w:w="1701" w:type="dxa"/>
            <w:tcBorders>
              <w:top w:val="nil"/>
              <w:left w:val="single" w:sz="8" w:space="0" w:color="auto"/>
              <w:bottom w:val="nil"/>
              <w:right w:val="nil"/>
            </w:tcBorders>
            <w:shd w:val="clear" w:color="auto" w:fill="auto"/>
            <w:noWrap/>
            <w:vAlign w:val="center"/>
            <w:hideMark/>
          </w:tcPr>
          <w:p>
            <w:pPr>
              <w:jc w:val="center"/>
              <w:rPr>
                <w:i/>
                <w:iCs/>
                <w:noProof/>
                <w:color w:val="000000"/>
                <w:sz w:val="18"/>
                <w:szCs w:val="18"/>
              </w:rPr>
            </w:pPr>
            <w:r>
              <w:rPr>
                <w:i/>
                <w:iCs/>
                <w:noProof/>
                <w:color w:val="000000"/>
                <w:sz w:val="18"/>
                <w:szCs w:val="18"/>
              </w:rPr>
              <w:t>(c)</w:t>
            </w:r>
          </w:p>
        </w:tc>
        <w:tc>
          <w:tcPr>
            <w:tcW w:w="1701" w:type="dxa"/>
            <w:tcBorders>
              <w:top w:val="nil"/>
              <w:left w:val="single" w:sz="8" w:space="0" w:color="auto"/>
              <w:bottom w:val="nil"/>
              <w:right w:val="nil"/>
            </w:tcBorders>
            <w:shd w:val="clear" w:color="auto" w:fill="auto"/>
            <w:vAlign w:val="center"/>
            <w:hideMark/>
          </w:tcPr>
          <w:p>
            <w:pPr>
              <w:jc w:val="center"/>
              <w:rPr>
                <w:i/>
                <w:iCs/>
                <w:noProof/>
                <w:color w:val="000000"/>
                <w:sz w:val="16"/>
                <w:szCs w:val="16"/>
              </w:rPr>
            </w:pPr>
            <w:r>
              <w:rPr>
                <w:i/>
                <w:iCs/>
                <w:noProof/>
                <w:color w:val="000000"/>
                <w:sz w:val="16"/>
                <w:szCs w:val="16"/>
              </w:rPr>
              <w:t>(d)</w:t>
            </w:r>
          </w:p>
        </w:tc>
        <w:tc>
          <w:tcPr>
            <w:tcW w:w="1701" w:type="dxa"/>
            <w:gridSpan w:val="2"/>
            <w:tcBorders>
              <w:top w:val="nil"/>
              <w:left w:val="single" w:sz="8" w:space="0" w:color="auto"/>
              <w:bottom w:val="nil"/>
              <w:right w:val="single" w:sz="8" w:space="0" w:color="auto"/>
            </w:tcBorders>
            <w:shd w:val="clear" w:color="auto" w:fill="auto"/>
            <w:noWrap/>
            <w:vAlign w:val="center"/>
            <w:hideMark/>
          </w:tcPr>
          <w:p>
            <w:pPr>
              <w:jc w:val="center"/>
              <w:rPr>
                <w:i/>
                <w:iCs/>
                <w:noProof/>
                <w:color w:val="000000"/>
                <w:sz w:val="18"/>
                <w:szCs w:val="18"/>
              </w:rPr>
            </w:pPr>
            <w:r>
              <w:rPr>
                <w:i/>
                <w:iCs/>
                <w:noProof/>
                <w:color w:val="000000"/>
                <w:sz w:val="18"/>
                <w:szCs w:val="18"/>
              </w:rPr>
              <w:t>(a+b-c+d)</w:t>
            </w:r>
          </w:p>
        </w:tc>
      </w:tr>
      <w:tr>
        <w:trPr>
          <w:gridBefore w:val="1"/>
          <w:wBefore w:w="25" w:type="dxa"/>
          <w:trHeight w:val="380"/>
        </w:trPr>
        <w:tc>
          <w:tcPr>
            <w:tcW w:w="277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pPr>
              <w:jc w:val="center"/>
              <w:rPr>
                <w:noProof/>
                <w:color w:val="000000"/>
                <w:sz w:val="22"/>
                <w:szCs w:val="22"/>
              </w:rPr>
            </w:pPr>
            <w:r>
              <w:rPr>
                <w:noProof/>
                <w:color w:val="000000"/>
                <w:sz w:val="22"/>
                <w:szCs w:val="22"/>
              </w:rPr>
              <w:t>307,9</w:t>
            </w:r>
          </w:p>
        </w:tc>
        <w:tc>
          <w:tcPr>
            <w:tcW w:w="1701" w:type="dxa"/>
            <w:tcBorders>
              <w:top w:val="single" w:sz="4" w:space="0" w:color="auto"/>
              <w:left w:val="nil"/>
              <w:bottom w:val="single" w:sz="8" w:space="0" w:color="auto"/>
              <w:right w:val="nil"/>
            </w:tcBorders>
            <w:shd w:val="clear" w:color="auto" w:fill="auto"/>
            <w:noWrap/>
            <w:vAlign w:val="center"/>
            <w:hideMark/>
          </w:tcPr>
          <w:p>
            <w:pPr>
              <w:jc w:val="center"/>
              <w:rPr>
                <w:noProof/>
                <w:color w:val="000000"/>
                <w:sz w:val="22"/>
                <w:szCs w:val="22"/>
              </w:rPr>
            </w:pPr>
            <w:r>
              <w:rPr>
                <w:noProof/>
                <w:color w:val="000000"/>
                <w:sz w:val="22"/>
                <w:szCs w:val="22"/>
              </w:rPr>
              <w:t>859,4</w:t>
            </w:r>
          </w:p>
        </w:tc>
        <w:tc>
          <w:tcPr>
            <w:tcW w:w="1701" w:type="dxa"/>
            <w:tcBorders>
              <w:top w:val="single" w:sz="4" w:space="0" w:color="auto"/>
              <w:left w:val="single" w:sz="8" w:space="0" w:color="auto"/>
              <w:bottom w:val="single" w:sz="8" w:space="0" w:color="auto"/>
              <w:right w:val="nil"/>
            </w:tcBorders>
            <w:shd w:val="clear" w:color="auto" w:fill="auto"/>
            <w:noWrap/>
            <w:vAlign w:val="center"/>
            <w:hideMark/>
          </w:tcPr>
          <w:p>
            <w:pPr>
              <w:jc w:val="center"/>
              <w:rPr>
                <w:noProof/>
                <w:color w:val="000000"/>
                <w:sz w:val="22"/>
                <w:szCs w:val="22"/>
              </w:rPr>
            </w:pPr>
            <w:r>
              <w:rPr>
                <w:noProof/>
                <w:color w:val="000000"/>
                <w:sz w:val="22"/>
                <w:szCs w:val="22"/>
              </w:rPr>
              <w:t>866,1</w:t>
            </w:r>
          </w:p>
        </w:tc>
        <w:tc>
          <w:tcPr>
            <w:tcW w:w="1701" w:type="dxa"/>
            <w:tcBorders>
              <w:top w:val="single" w:sz="4" w:space="0" w:color="auto"/>
              <w:left w:val="single" w:sz="8" w:space="0" w:color="auto"/>
              <w:bottom w:val="single" w:sz="8" w:space="0" w:color="auto"/>
              <w:right w:val="nil"/>
            </w:tcBorders>
            <w:shd w:val="clear" w:color="auto" w:fill="auto"/>
            <w:noWrap/>
            <w:vAlign w:val="center"/>
            <w:hideMark/>
          </w:tcPr>
          <w:p>
            <w:pPr>
              <w:jc w:val="center"/>
              <w:rPr>
                <w:noProof/>
                <w:color w:val="000000"/>
                <w:sz w:val="22"/>
                <w:szCs w:val="22"/>
              </w:rPr>
            </w:pPr>
            <w:r>
              <w:rPr>
                <w:noProof/>
                <w:color w:val="000000"/>
                <w:sz w:val="22"/>
                <w:szCs w:val="22"/>
              </w:rPr>
              <w:t>-9,0</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pPr>
              <w:jc w:val="center"/>
              <w:rPr>
                <w:noProof/>
                <w:color w:val="000000"/>
                <w:sz w:val="22"/>
                <w:szCs w:val="22"/>
              </w:rPr>
            </w:pPr>
            <w:r>
              <w:rPr>
                <w:noProof/>
                <w:color w:val="000000"/>
                <w:sz w:val="22"/>
                <w:szCs w:val="22"/>
              </w:rPr>
              <w:t>292,3</w:t>
            </w:r>
          </w:p>
        </w:tc>
      </w:tr>
      <w:tr>
        <w:trPr>
          <w:gridBefore w:val="1"/>
          <w:wBefore w:w="25" w:type="dxa"/>
          <w:trHeight w:val="435"/>
        </w:trPr>
        <w:tc>
          <w:tcPr>
            <w:tcW w:w="2778" w:type="dxa"/>
            <w:tcBorders>
              <w:top w:val="nil"/>
              <w:left w:val="nil"/>
              <w:bottom w:val="nil"/>
              <w:right w:val="nil"/>
            </w:tcBorders>
            <w:shd w:val="clear" w:color="auto" w:fill="auto"/>
            <w:noWrap/>
            <w:vAlign w:val="center"/>
            <w:hideMark/>
          </w:tcPr>
          <w:p>
            <w:pPr>
              <w:outlineLvl w:val="0"/>
              <w:rPr>
                <w:i/>
                <w:iCs/>
                <w:noProof/>
                <w:color w:val="000000"/>
                <w:sz w:val="22"/>
                <w:szCs w:val="22"/>
              </w:rPr>
            </w:pPr>
            <w:r>
              <w:rPr>
                <w:i/>
                <w:iCs/>
                <w:noProof/>
                <w:color w:val="000000"/>
                <w:sz w:val="22"/>
                <w:szCs w:val="22"/>
              </w:rPr>
              <w:t>W tym:</w:t>
            </w:r>
          </w:p>
        </w:tc>
        <w:tc>
          <w:tcPr>
            <w:tcW w:w="1701" w:type="dxa"/>
            <w:tcBorders>
              <w:top w:val="nil"/>
              <w:left w:val="nil"/>
              <w:bottom w:val="nil"/>
              <w:right w:val="nil"/>
            </w:tcBorders>
            <w:shd w:val="clear" w:color="auto" w:fill="auto"/>
            <w:noWrap/>
            <w:vAlign w:val="center"/>
            <w:hideMark/>
          </w:tcPr>
          <w:p>
            <w:pPr>
              <w:outlineLvl w:val="0"/>
              <w:rPr>
                <w:i/>
                <w:iCs/>
                <w:noProof/>
                <w:color w:val="000000"/>
                <w:sz w:val="22"/>
                <w:szCs w:val="22"/>
              </w:rPr>
            </w:pPr>
          </w:p>
        </w:tc>
        <w:tc>
          <w:tcPr>
            <w:tcW w:w="1701" w:type="dxa"/>
            <w:tcBorders>
              <w:top w:val="nil"/>
              <w:left w:val="nil"/>
              <w:bottom w:val="nil"/>
              <w:right w:val="nil"/>
            </w:tcBorders>
            <w:shd w:val="clear" w:color="auto" w:fill="auto"/>
            <w:noWrap/>
            <w:vAlign w:val="center"/>
            <w:hideMark/>
          </w:tcPr>
          <w:p>
            <w:pPr>
              <w:outlineLvl w:val="0"/>
              <w:rPr>
                <w:noProof/>
                <w:sz w:val="20"/>
                <w:szCs w:val="20"/>
              </w:rPr>
            </w:pPr>
          </w:p>
        </w:tc>
        <w:tc>
          <w:tcPr>
            <w:tcW w:w="1701" w:type="dxa"/>
            <w:tcBorders>
              <w:top w:val="nil"/>
              <w:left w:val="nil"/>
              <w:bottom w:val="nil"/>
              <w:right w:val="nil"/>
            </w:tcBorders>
            <w:shd w:val="clear" w:color="auto" w:fill="auto"/>
            <w:noWrap/>
            <w:vAlign w:val="center"/>
            <w:hideMark/>
          </w:tcPr>
          <w:p>
            <w:pPr>
              <w:outlineLvl w:val="0"/>
              <w:rPr>
                <w:noProof/>
                <w:sz w:val="20"/>
                <w:szCs w:val="20"/>
              </w:rPr>
            </w:pPr>
          </w:p>
        </w:tc>
        <w:tc>
          <w:tcPr>
            <w:tcW w:w="1701" w:type="dxa"/>
            <w:gridSpan w:val="2"/>
            <w:tcBorders>
              <w:top w:val="nil"/>
              <w:left w:val="nil"/>
              <w:bottom w:val="nil"/>
              <w:right w:val="nil"/>
            </w:tcBorders>
            <w:shd w:val="clear" w:color="auto" w:fill="auto"/>
            <w:noWrap/>
            <w:vAlign w:val="center"/>
            <w:hideMark/>
          </w:tcPr>
          <w:p>
            <w:pPr>
              <w:outlineLvl w:val="0"/>
              <w:rPr>
                <w:noProof/>
                <w:sz w:val="20"/>
                <w:szCs w:val="20"/>
              </w:rPr>
            </w:pPr>
          </w:p>
        </w:tc>
      </w:tr>
      <w:tr>
        <w:trPr>
          <w:gridBefore w:val="1"/>
          <w:wBefore w:w="25" w:type="dxa"/>
          <w:trHeight w:val="310"/>
        </w:trPr>
        <w:tc>
          <w:tcPr>
            <w:tcW w:w="2778" w:type="dxa"/>
            <w:tcBorders>
              <w:top w:val="single" w:sz="8" w:space="0" w:color="auto"/>
              <w:left w:val="single" w:sz="8" w:space="0" w:color="auto"/>
              <w:bottom w:val="nil"/>
              <w:right w:val="single" w:sz="8" w:space="0" w:color="auto"/>
            </w:tcBorders>
            <w:shd w:val="clear" w:color="auto" w:fill="auto"/>
            <w:noWrap/>
            <w:vAlign w:val="center"/>
            <w:hideMark/>
          </w:tcPr>
          <w:p>
            <w:pPr>
              <w:jc w:val="center"/>
              <w:outlineLvl w:val="0"/>
              <w:rPr>
                <w:b/>
                <w:bCs/>
                <w:noProof/>
                <w:color w:val="000000"/>
                <w:sz w:val="22"/>
                <w:szCs w:val="22"/>
              </w:rPr>
            </w:pPr>
            <w:r>
              <w:rPr>
                <w:b/>
                <w:bCs/>
                <w:noProof/>
                <w:color w:val="000000"/>
                <w:sz w:val="22"/>
                <w:szCs w:val="22"/>
              </w:rPr>
              <w:t>WRF na lata 2014–2020</w:t>
            </w:r>
          </w:p>
        </w:tc>
        <w:tc>
          <w:tcPr>
            <w:tcW w:w="1701" w:type="dxa"/>
            <w:tcBorders>
              <w:top w:val="single" w:sz="8" w:space="0" w:color="auto"/>
              <w:left w:val="nil"/>
              <w:bottom w:val="nil"/>
              <w:right w:val="single" w:sz="8" w:space="0" w:color="auto"/>
            </w:tcBorders>
            <w:shd w:val="clear" w:color="auto" w:fill="auto"/>
            <w:noWrap/>
            <w:vAlign w:val="center"/>
            <w:hideMark/>
          </w:tcPr>
          <w:p>
            <w:pPr>
              <w:outlineLvl w:val="0"/>
              <w:rPr>
                <w:noProof/>
                <w:color w:val="000000"/>
                <w:sz w:val="22"/>
                <w:szCs w:val="22"/>
              </w:rPr>
            </w:pPr>
            <w:r>
              <w:rPr>
                <w:noProof/>
                <w:color w:val="000000"/>
                <w:sz w:val="22"/>
                <w:szCs w:val="22"/>
              </w:rPr>
              <w:t xml:space="preserve"> </w:t>
            </w:r>
          </w:p>
        </w:tc>
        <w:tc>
          <w:tcPr>
            <w:tcW w:w="1701" w:type="dxa"/>
            <w:tcBorders>
              <w:top w:val="single" w:sz="8" w:space="0" w:color="auto"/>
              <w:left w:val="nil"/>
              <w:bottom w:val="nil"/>
              <w:right w:val="single" w:sz="8" w:space="0" w:color="auto"/>
            </w:tcBorders>
            <w:shd w:val="clear" w:color="auto" w:fill="auto"/>
            <w:noWrap/>
            <w:vAlign w:val="center"/>
            <w:hideMark/>
          </w:tcPr>
          <w:p>
            <w:pPr>
              <w:outlineLvl w:val="0"/>
              <w:rPr>
                <w:noProof/>
                <w:color w:val="000000"/>
                <w:sz w:val="22"/>
                <w:szCs w:val="22"/>
              </w:rPr>
            </w:pPr>
            <w:r>
              <w:rPr>
                <w:noProof/>
                <w:color w:val="000000"/>
                <w:sz w:val="22"/>
                <w:szCs w:val="22"/>
              </w:rPr>
              <w:t xml:space="preserve"> </w:t>
            </w:r>
          </w:p>
        </w:tc>
        <w:tc>
          <w:tcPr>
            <w:tcW w:w="1701" w:type="dxa"/>
            <w:tcBorders>
              <w:top w:val="single" w:sz="8" w:space="0" w:color="auto"/>
              <w:left w:val="nil"/>
              <w:bottom w:val="nil"/>
              <w:right w:val="nil"/>
            </w:tcBorders>
            <w:shd w:val="clear" w:color="auto" w:fill="auto"/>
            <w:vAlign w:val="center"/>
            <w:hideMark/>
          </w:tcPr>
          <w:p>
            <w:pPr>
              <w:jc w:val="center"/>
              <w:outlineLvl w:val="0"/>
              <w:rPr>
                <w:noProof/>
                <w:color w:val="000000"/>
                <w:sz w:val="18"/>
                <w:szCs w:val="18"/>
              </w:rPr>
            </w:pPr>
            <w:r>
              <w:rPr>
                <w:noProof/>
                <w:color w:val="000000"/>
                <w:sz w:val="18"/>
                <w:szCs w:val="18"/>
              </w:rPr>
              <w:t xml:space="preserve"> </w:t>
            </w:r>
          </w:p>
        </w:tc>
        <w:tc>
          <w:tcPr>
            <w:tcW w:w="1701" w:type="dxa"/>
            <w:gridSpan w:val="2"/>
            <w:tcBorders>
              <w:top w:val="single" w:sz="8" w:space="0" w:color="auto"/>
              <w:left w:val="single" w:sz="8" w:space="0" w:color="auto"/>
              <w:bottom w:val="nil"/>
              <w:right w:val="single" w:sz="8" w:space="0" w:color="auto"/>
            </w:tcBorders>
            <w:shd w:val="clear" w:color="auto" w:fill="auto"/>
            <w:noWrap/>
            <w:vAlign w:val="center"/>
            <w:hideMark/>
          </w:tcPr>
          <w:p>
            <w:pPr>
              <w:outlineLvl w:val="0"/>
              <w:rPr>
                <w:noProof/>
                <w:color w:val="000000"/>
                <w:sz w:val="22"/>
                <w:szCs w:val="22"/>
              </w:rPr>
            </w:pPr>
            <w:r>
              <w:rPr>
                <w:noProof/>
                <w:color w:val="000000"/>
                <w:sz w:val="22"/>
                <w:szCs w:val="22"/>
              </w:rPr>
              <w:t xml:space="preserve"> </w:t>
            </w:r>
          </w:p>
        </w:tc>
      </w:tr>
      <w:tr>
        <w:trPr>
          <w:gridBefore w:val="1"/>
          <w:wBefore w:w="25" w:type="dxa"/>
          <w:trHeight w:val="290"/>
        </w:trPr>
        <w:tc>
          <w:tcPr>
            <w:tcW w:w="2778" w:type="dxa"/>
            <w:tcBorders>
              <w:top w:val="nil"/>
              <w:left w:val="single" w:sz="8" w:space="0" w:color="auto"/>
              <w:bottom w:val="nil"/>
              <w:right w:val="single" w:sz="8" w:space="0" w:color="auto"/>
            </w:tcBorders>
            <w:shd w:val="clear" w:color="auto" w:fill="auto"/>
            <w:noWrap/>
            <w:vAlign w:val="center"/>
            <w:hideMark/>
          </w:tcPr>
          <w:p>
            <w:pPr>
              <w:jc w:val="center"/>
              <w:outlineLvl w:val="0"/>
              <w:rPr>
                <w:noProof/>
                <w:color w:val="000000"/>
                <w:sz w:val="22"/>
                <w:szCs w:val="22"/>
              </w:rPr>
            </w:pPr>
            <w:r>
              <w:rPr>
                <w:noProof/>
                <w:color w:val="000000"/>
                <w:sz w:val="22"/>
                <w:szCs w:val="22"/>
              </w:rPr>
              <w:t>307,9</w:t>
            </w:r>
          </w:p>
        </w:tc>
        <w:tc>
          <w:tcPr>
            <w:tcW w:w="1701" w:type="dxa"/>
            <w:tcBorders>
              <w:top w:val="nil"/>
              <w:left w:val="nil"/>
              <w:bottom w:val="nil"/>
              <w:right w:val="single" w:sz="8" w:space="0" w:color="auto"/>
            </w:tcBorders>
            <w:shd w:val="clear" w:color="auto" w:fill="auto"/>
            <w:noWrap/>
            <w:vAlign w:val="center"/>
            <w:hideMark/>
          </w:tcPr>
          <w:p>
            <w:pPr>
              <w:jc w:val="center"/>
              <w:outlineLvl w:val="0"/>
              <w:rPr>
                <w:noProof/>
                <w:color w:val="000000"/>
                <w:sz w:val="22"/>
                <w:szCs w:val="22"/>
              </w:rPr>
            </w:pPr>
            <w:r>
              <w:rPr>
                <w:noProof/>
                <w:color w:val="000000"/>
                <w:sz w:val="22"/>
                <w:szCs w:val="22"/>
              </w:rPr>
              <w:t>n.d.</w:t>
            </w:r>
          </w:p>
        </w:tc>
        <w:tc>
          <w:tcPr>
            <w:tcW w:w="1701" w:type="dxa"/>
            <w:tcBorders>
              <w:top w:val="nil"/>
              <w:left w:val="nil"/>
              <w:bottom w:val="nil"/>
              <w:right w:val="single" w:sz="8" w:space="0" w:color="auto"/>
            </w:tcBorders>
            <w:shd w:val="clear" w:color="auto" w:fill="auto"/>
            <w:noWrap/>
            <w:vAlign w:val="center"/>
            <w:hideMark/>
          </w:tcPr>
          <w:p>
            <w:pPr>
              <w:jc w:val="center"/>
              <w:outlineLvl w:val="0"/>
              <w:rPr>
                <w:noProof/>
                <w:color w:val="000000"/>
                <w:sz w:val="22"/>
                <w:szCs w:val="22"/>
              </w:rPr>
            </w:pPr>
            <w:r>
              <w:rPr>
                <w:noProof/>
                <w:color w:val="000000"/>
                <w:sz w:val="22"/>
                <w:szCs w:val="22"/>
              </w:rPr>
              <w:t>282,6</w:t>
            </w:r>
          </w:p>
        </w:tc>
        <w:tc>
          <w:tcPr>
            <w:tcW w:w="1701" w:type="dxa"/>
            <w:tcBorders>
              <w:top w:val="nil"/>
              <w:left w:val="nil"/>
              <w:bottom w:val="nil"/>
              <w:right w:val="single" w:sz="8" w:space="0" w:color="auto"/>
            </w:tcBorders>
            <w:shd w:val="clear" w:color="auto" w:fill="auto"/>
            <w:noWrap/>
            <w:vAlign w:val="center"/>
            <w:hideMark/>
          </w:tcPr>
          <w:p>
            <w:pPr>
              <w:jc w:val="center"/>
              <w:outlineLvl w:val="0"/>
              <w:rPr>
                <w:noProof/>
                <w:color w:val="000000"/>
                <w:sz w:val="22"/>
                <w:szCs w:val="22"/>
              </w:rPr>
            </w:pPr>
            <w:r>
              <w:rPr>
                <w:noProof/>
                <w:color w:val="000000"/>
                <w:sz w:val="22"/>
                <w:szCs w:val="22"/>
              </w:rPr>
              <w:t>-9,0</w:t>
            </w:r>
          </w:p>
        </w:tc>
        <w:tc>
          <w:tcPr>
            <w:tcW w:w="1701" w:type="dxa"/>
            <w:gridSpan w:val="2"/>
            <w:tcBorders>
              <w:top w:val="nil"/>
              <w:left w:val="nil"/>
              <w:bottom w:val="nil"/>
              <w:right w:val="single" w:sz="8" w:space="0" w:color="auto"/>
            </w:tcBorders>
            <w:shd w:val="clear" w:color="auto" w:fill="auto"/>
            <w:noWrap/>
            <w:vAlign w:val="center"/>
            <w:hideMark/>
          </w:tcPr>
          <w:p>
            <w:pPr>
              <w:jc w:val="center"/>
              <w:outlineLvl w:val="0"/>
              <w:rPr>
                <w:noProof/>
                <w:color w:val="000000"/>
                <w:sz w:val="22"/>
                <w:szCs w:val="22"/>
              </w:rPr>
            </w:pPr>
            <w:r>
              <w:rPr>
                <w:noProof/>
                <w:color w:val="000000"/>
                <w:sz w:val="22"/>
                <w:szCs w:val="22"/>
              </w:rPr>
              <w:t>16,3</w:t>
            </w:r>
          </w:p>
        </w:tc>
      </w:tr>
      <w:tr>
        <w:trPr>
          <w:gridBefore w:val="1"/>
          <w:wBefore w:w="25" w:type="dxa"/>
          <w:trHeight w:val="290"/>
        </w:trPr>
        <w:tc>
          <w:tcPr>
            <w:tcW w:w="2778" w:type="dxa"/>
            <w:tcBorders>
              <w:top w:val="single" w:sz="4" w:space="0" w:color="auto"/>
              <w:left w:val="single" w:sz="8" w:space="0" w:color="auto"/>
              <w:bottom w:val="nil"/>
              <w:right w:val="single" w:sz="8" w:space="0" w:color="auto"/>
            </w:tcBorders>
            <w:shd w:val="clear" w:color="auto" w:fill="auto"/>
            <w:noWrap/>
            <w:vAlign w:val="center"/>
            <w:hideMark/>
          </w:tcPr>
          <w:p>
            <w:pPr>
              <w:jc w:val="center"/>
              <w:outlineLvl w:val="0"/>
              <w:rPr>
                <w:b/>
                <w:bCs/>
                <w:noProof/>
                <w:color w:val="000000"/>
                <w:sz w:val="22"/>
                <w:szCs w:val="22"/>
              </w:rPr>
            </w:pPr>
            <w:r>
              <w:rPr>
                <w:b/>
                <w:bCs/>
                <w:noProof/>
                <w:color w:val="000000"/>
                <w:sz w:val="22"/>
                <w:szCs w:val="22"/>
              </w:rPr>
              <w:t>WRF na lata 2021-2027</w:t>
            </w:r>
          </w:p>
        </w:tc>
        <w:tc>
          <w:tcPr>
            <w:tcW w:w="1701" w:type="dxa"/>
            <w:tcBorders>
              <w:top w:val="single" w:sz="4" w:space="0" w:color="auto"/>
              <w:left w:val="nil"/>
              <w:bottom w:val="nil"/>
              <w:right w:val="single" w:sz="8" w:space="0" w:color="auto"/>
            </w:tcBorders>
            <w:shd w:val="clear" w:color="auto" w:fill="auto"/>
            <w:noWrap/>
            <w:vAlign w:val="center"/>
            <w:hideMark/>
          </w:tcPr>
          <w:p>
            <w:pPr>
              <w:outlineLvl w:val="0"/>
              <w:rPr>
                <w:noProof/>
                <w:color w:val="000000"/>
                <w:sz w:val="22"/>
                <w:szCs w:val="22"/>
              </w:rPr>
            </w:pPr>
            <w:r>
              <w:rPr>
                <w:noProof/>
                <w:color w:val="000000"/>
                <w:sz w:val="22"/>
                <w:szCs w:val="22"/>
              </w:rPr>
              <w:t xml:space="preserve"> </w:t>
            </w:r>
          </w:p>
        </w:tc>
        <w:tc>
          <w:tcPr>
            <w:tcW w:w="1701" w:type="dxa"/>
            <w:tcBorders>
              <w:top w:val="single" w:sz="4" w:space="0" w:color="auto"/>
              <w:left w:val="nil"/>
              <w:bottom w:val="nil"/>
              <w:right w:val="single" w:sz="8" w:space="0" w:color="auto"/>
            </w:tcBorders>
            <w:shd w:val="clear" w:color="auto" w:fill="auto"/>
            <w:noWrap/>
            <w:vAlign w:val="center"/>
            <w:hideMark/>
          </w:tcPr>
          <w:p>
            <w:pPr>
              <w:outlineLvl w:val="0"/>
              <w:rPr>
                <w:noProof/>
                <w:color w:val="000000"/>
                <w:sz w:val="22"/>
                <w:szCs w:val="22"/>
              </w:rPr>
            </w:pPr>
            <w:r>
              <w:rPr>
                <w:noProof/>
                <w:color w:val="000000"/>
                <w:sz w:val="22"/>
                <w:szCs w:val="22"/>
              </w:rPr>
              <w:t xml:space="preserve"> </w:t>
            </w:r>
          </w:p>
        </w:tc>
        <w:tc>
          <w:tcPr>
            <w:tcW w:w="1701" w:type="dxa"/>
            <w:tcBorders>
              <w:top w:val="single" w:sz="4" w:space="0" w:color="auto"/>
              <w:left w:val="nil"/>
              <w:bottom w:val="nil"/>
              <w:right w:val="single" w:sz="8" w:space="0" w:color="auto"/>
            </w:tcBorders>
            <w:shd w:val="clear" w:color="auto" w:fill="auto"/>
            <w:vAlign w:val="center"/>
            <w:hideMark/>
          </w:tcPr>
          <w:p>
            <w:pPr>
              <w:jc w:val="center"/>
              <w:outlineLvl w:val="0"/>
              <w:rPr>
                <w:noProof/>
                <w:color w:val="000000"/>
                <w:sz w:val="18"/>
                <w:szCs w:val="18"/>
              </w:rPr>
            </w:pPr>
            <w:r>
              <w:rPr>
                <w:noProof/>
                <w:color w:val="000000"/>
                <w:sz w:val="18"/>
                <w:szCs w:val="18"/>
              </w:rPr>
              <w:t xml:space="preserve"> </w:t>
            </w:r>
          </w:p>
        </w:tc>
        <w:tc>
          <w:tcPr>
            <w:tcW w:w="1701" w:type="dxa"/>
            <w:gridSpan w:val="2"/>
            <w:tcBorders>
              <w:top w:val="single" w:sz="4" w:space="0" w:color="auto"/>
              <w:left w:val="nil"/>
              <w:bottom w:val="nil"/>
              <w:right w:val="single" w:sz="8" w:space="0" w:color="auto"/>
            </w:tcBorders>
            <w:shd w:val="clear" w:color="auto" w:fill="auto"/>
            <w:noWrap/>
            <w:vAlign w:val="center"/>
            <w:hideMark/>
          </w:tcPr>
          <w:p>
            <w:pPr>
              <w:outlineLvl w:val="0"/>
              <w:rPr>
                <w:noProof/>
                <w:color w:val="FF0000"/>
                <w:sz w:val="22"/>
                <w:szCs w:val="22"/>
              </w:rPr>
            </w:pPr>
            <w:r>
              <w:rPr>
                <w:noProof/>
                <w:color w:val="FF0000"/>
                <w:sz w:val="22"/>
                <w:szCs w:val="22"/>
              </w:rPr>
              <w:t xml:space="preserve"> </w:t>
            </w:r>
          </w:p>
        </w:tc>
      </w:tr>
      <w:tr>
        <w:trPr>
          <w:gridBefore w:val="1"/>
          <w:wBefore w:w="25" w:type="dxa"/>
          <w:trHeight w:val="300"/>
        </w:trPr>
        <w:tc>
          <w:tcPr>
            <w:tcW w:w="2778" w:type="dxa"/>
            <w:tcBorders>
              <w:top w:val="nil"/>
              <w:left w:val="single" w:sz="8" w:space="0" w:color="auto"/>
              <w:bottom w:val="single" w:sz="8" w:space="0" w:color="auto"/>
              <w:right w:val="single" w:sz="8" w:space="0" w:color="auto"/>
            </w:tcBorders>
            <w:shd w:val="clear" w:color="auto" w:fill="auto"/>
            <w:noWrap/>
            <w:vAlign w:val="center"/>
            <w:hideMark/>
          </w:tcPr>
          <w:p>
            <w:pPr>
              <w:jc w:val="center"/>
              <w:outlineLvl w:val="0"/>
              <w:rPr>
                <w:noProof/>
                <w:color w:val="000000"/>
                <w:sz w:val="22"/>
                <w:szCs w:val="22"/>
              </w:rPr>
            </w:pPr>
            <w:r>
              <w:rPr>
                <w:noProof/>
                <w:color w:val="000000"/>
                <w:sz w:val="22"/>
                <w:szCs w:val="22"/>
              </w:rPr>
              <w:t>n.d.</w:t>
            </w:r>
          </w:p>
        </w:tc>
        <w:tc>
          <w:tcPr>
            <w:tcW w:w="1701" w:type="dxa"/>
            <w:tcBorders>
              <w:top w:val="nil"/>
              <w:left w:val="nil"/>
              <w:bottom w:val="single" w:sz="8" w:space="0" w:color="auto"/>
              <w:right w:val="single" w:sz="8" w:space="0" w:color="auto"/>
            </w:tcBorders>
            <w:shd w:val="clear" w:color="auto" w:fill="auto"/>
            <w:noWrap/>
            <w:vAlign w:val="center"/>
            <w:hideMark/>
          </w:tcPr>
          <w:p>
            <w:pPr>
              <w:jc w:val="center"/>
              <w:outlineLvl w:val="0"/>
              <w:rPr>
                <w:noProof/>
                <w:color w:val="000000"/>
                <w:sz w:val="22"/>
                <w:szCs w:val="22"/>
              </w:rPr>
            </w:pPr>
            <w:r>
              <w:rPr>
                <w:noProof/>
                <w:color w:val="000000"/>
                <w:sz w:val="22"/>
                <w:szCs w:val="22"/>
              </w:rPr>
              <w:t>859,4</w:t>
            </w:r>
          </w:p>
        </w:tc>
        <w:tc>
          <w:tcPr>
            <w:tcW w:w="1701" w:type="dxa"/>
            <w:tcBorders>
              <w:top w:val="nil"/>
              <w:left w:val="nil"/>
              <w:bottom w:val="single" w:sz="8" w:space="0" w:color="auto"/>
              <w:right w:val="single" w:sz="8" w:space="0" w:color="auto"/>
            </w:tcBorders>
            <w:shd w:val="clear" w:color="auto" w:fill="auto"/>
            <w:noWrap/>
            <w:vAlign w:val="center"/>
            <w:hideMark/>
          </w:tcPr>
          <w:p>
            <w:pPr>
              <w:jc w:val="center"/>
              <w:outlineLvl w:val="0"/>
              <w:rPr>
                <w:noProof/>
                <w:color w:val="000000"/>
                <w:sz w:val="22"/>
                <w:szCs w:val="22"/>
              </w:rPr>
            </w:pPr>
            <w:r>
              <w:rPr>
                <w:noProof/>
                <w:color w:val="000000"/>
                <w:sz w:val="22"/>
                <w:szCs w:val="22"/>
              </w:rPr>
              <w:t>583,5</w:t>
            </w:r>
          </w:p>
        </w:tc>
        <w:tc>
          <w:tcPr>
            <w:tcW w:w="1701" w:type="dxa"/>
            <w:tcBorders>
              <w:top w:val="nil"/>
              <w:left w:val="nil"/>
              <w:bottom w:val="single" w:sz="8" w:space="0" w:color="auto"/>
              <w:right w:val="single" w:sz="8" w:space="0" w:color="auto"/>
            </w:tcBorders>
            <w:shd w:val="clear" w:color="auto" w:fill="auto"/>
            <w:noWrap/>
            <w:vAlign w:val="center"/>
            <w:hideMark/>
          </w:tcPr>
          <w:p>
            <w:pPr>
              <w:jc w:val="center"/>
              <w:outlineLvl w:val="0"/>
              <w:rPr>
                <w:noProof/>
                <w:color w:val="000000"/>
                <w:sz w:val="22"/>
                <w:szCs w:val="22"/>
              </w:rPr>
            </w:pPr>
            <w:r>
              <w:rPr>
                <w:noProof/>
                <w:color w:val="000000"/>
                <w:sz w:val="22"/>
                <w:szCs w:val="22"/>
              </w:rPr>
              <w:t>-</w:t>
            </w:r>
          </w:p>
        </w:tc>
        <w:tc>
          <w:tcPr>
            <w:tcW w:w="1701" w:type="dxa"/>
            <w:gridSpan w:val="2"/>
            <w:tcBorders>
              <w:top w:val="nil"/>
              <w:left w:val="nil"/>
              <w:bottom w:val="single" w:sz="8" w:space="0" w:color="auto"/>
              <w:right w:val="single" w:sz="8" w:space="0" w:color="auto"/>
            </w:tcBorders>
            <w:shd w:val="clear" w:color="auto" w:fill="auto"/>
            <w:noWrap/>
            <w:vAlign w:val="center"/>
            <w:hideMark/>
          </w:tcPr>
          <w:p>
            <w:pPr>
              <w:jc w:val="center"/>
              <w:outlineLvl w:val="0"/>
              <w:rPr>
                <w:noProof/>
                <w:color w:val="000000"/>
                <w:sz w:val="22"/>
                <w:szCs w:val="22"/>
              </w:rPr>
            </w:pPr>
            <w:r>
              <w:rPr>
                <w:noProof/>
                <w:color w:val="000000"/>
                <w:sz w:val="22"/>
                <w:szCs w:val="22"/>
              </w:rPr>
              <w:t>275,9</w:t>
            </w:r>
          </w:p>
        </w:tc>
      </w:tr>
      <w:tr>
        <w:trPr>
          <w:gridBefore w:val="1"/>
          <w:wBefore w:w="25" w:type="dxa"/>
          <w:trHeight w:val="290"/>
        </w:trPr>
        <w:tc>
          <w:tcPr>
            <w:tcW w:w="9582" w:type="dxa"/>
            <w:gridSpan w:val="6"/>
            <w:tcBorders>
              <w:top w:val="single" w:sz="8" w:space="0" w:color="auto"/>
              <w:left w:val="nil"/>
              <w:bottom w:val="nil"/>
              <w:right w:val="nil"/>
            </w:tcBorders>
            <w:shd w:val="clear" w:color="auto" w:fill="auto"/>
            <w:vAlign w:val="center"/>
            <w:hideMark/>
          </w:tcPr>
          <w:p>
            <w:pPr>
              <w:rPr>
                <w:i/>
                <w:iCs/>
                <w:noProof/>
                <w:sz w:val="22"/>
                <w:szCs w:val="22"/>
              </w:rPr>
            </w:pPr>
            <w:r>
              <w:rPr>
                <w:i/>
                <w:iCs/>
                <w:noProof/>
                <w:sz w:val="22"/>
                <w:szCs w:val="22"/>
              </w:rPr>
              <w:t>* Zobowiązania pozostające do spłaty nie obejmują zobowiązań wynikających z dochodów zewnętrznych przeznaczonych na określony cel.</w:t>
            </w:r>
          </w:p>
        </w:tc>
      </w:tr>
    </w:tbl>
    <w:p>
      <w:pPr>
        <w:rPr>
          <w:i/>
          <w:noProof/>
          <w:sz w:val="20"/>
        </w:rPr>
      </w:pPr>
      <w:r>
        <w:rPr>
          <w:noProof/>
        </w:rPr>
        <w:tab/>
      </w:r>
      <w:r>
        <w:rPr>
          <w:noProof/>
        </w:rPr>
        <w:tab/>
      </w:r>
      <w:r>
        <w:rPr>
          <w:noProof/>
        </w:rPr>
        <w:tab/>
      </w:r>
      <w:r>
        <w:rPr>
          <w:noProof/>
        </w:rPr>
        <w:tab/>
      </w:r>
    </w:p>
    <w:sectPr>
      <w:headerReference w:type="even" r:id="rId19"/>
      <w:headerReference w:type="default" r:id="rId20"/>
      <w:footerReference w:type="even" r:id="rId21"/>
      <w:footerReference w:type="default" r:id="rId22"/>
      <w:headerReference w:type="first" r:id="rId23"/>
      <w:footerReference w:type="first" r:id="rId24"/>
      <w:pgSz w:w="11906" w:h="16838"/>
      <w:pgMar w:top="1320" w:right="1151" w:bottom="1440" w:left="1151" w:header="720" w:footer="720" w:gutter="0"/>
      <w:pgNumType w:fmt="numberInDash"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 w:type="continuationNotice" w:id="1">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41691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- 1 -</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 w:type="continuationNotice" w:id="1">
    <w:p/>
    <w:p/>
  </w:footnote>
  <w:footnote w:id="2">
    <w:p>
      <w:pPr>
        <w:pStyle w:val="FootnoteText"/>
      </w:pPr>
      <w:r>
        <w:rPr>
          <w:rStyle w:val="FootnoteReference"/>
        </w:rPr>
        <w:footnoteRef/>
      </w:r>
      <w:r>
        <w:t xml:space="preserve"> Rozporządzenie finansowe w sprawie zasad mających zastosowanie do budżetu ogólnego Unii, rozporządzenie (UE, Euratom) 2018/1046 z dnia 30 lipca 2018 r.</w:t>
      </w:r>
    </w:p>
  </w:footnote>
  <w:footnote w:id="3">
    <w:p>
      <w:pPr>
        <w:pStyle w:val="FootnoteText"/>
      </w:pPr>
      <w:r>
        <w:rPr>
          <w:rStyle w:val="FootnoteReference"/>
        </w:rPr>
        <w:footnoteRef/>
      </w:r>
      <w:r>
        <w:t xml:space="preserve"> Dz.U. C 66 I z 19.2.2019, s. 1.</w:t>
      </w:r>
    </w:p>
  </w:footnote>
  <w:footnote w:id="4">
    <w:p>
      <w:pPr>
        <w:pStyle w:val="FootnoteText"/>
      </w:pPr>
      <w:r>
        <w:rPr>
          <w:rStyle w:val="FootnoteReference"/>
        </w:rPr>
        <w:footnoteRef/>
      </w:r>
      <w:r>
        <w:t xml:space="preserve"> COM/2020/442 final z 27.5.2020.</w:t>
      </w:r>
    </w:p>
  </w:footnote>
  <w:footnote w:id="5">
    <w:p>
      <w:pPr>
        <w:pStyle w:val="FootnoteText"/>
      </w:pPr>
      <w:r>
        <w:rPr>
          <w:rStyle w:val="FootnoteReference"/>
        </w:rPr>
        <w:footnoteRef/>
      </w:r>
      <w:r>
        <w:t xml:space="preserve"> COM(2019) 305 final z 26.6.2019.</w:t>
      </w:r>
    </w:p>
  </w:footnote>
  <w:footnote w:id="6">
    <w:p>
      <w:pPr>
        <w:pStyle w:val="FootnoteText"/>
      </w:pPr>
      <w:r>
        <w:rPr>
          <w:rStyle w:val="FootnoteReference"/>
        </w:rPr>
        <w:footnoteRef/>
      </w:r>
      <w:r>
        <w:t xml:space="preserve"> </w:t>
      </w:r>
      <w:r>
        <w:rPr>
          <w:b/>
        </w:rPr>
        <w:t>Nr 1</w:t>
      </w:r>
      <w:r>
        <w:t xml:space="preserve"> 2020/536, Dz.U. L 126 z 21.4.2020, </w:t>
      </w:r>
      <w:r>
        <w:rPr>
          <w:b/>
        </w:rPr>
        <w:t>nr 2</w:t>
      </w:r>
      <w:r>
        <w:t xml:space="preserve">: 2020/537 Dz.U. L 126 z 21.4.2020, </w:t>
      </w:r>
      <w:r>
        <w:rPr>
          <w:b/>
        </w:rPr>
        <w:t>nr°3</w:t>
      </w:r>
      <w:r>
        <w:t xml:space="preserve"> COM(2020)180 final z 15.4.2020, </w:t>
      </w:r>
      <w:r>
        <w:rPr>
          <w:b/>
        </w:rPr>
        <w:t xml:space="preserve">nr°4 </w:t>
      </w:r>
      <w:r>
        <w:t xml:space="preserve">COM(2020)190 final z 30.4.2020, </w:t>
      </w:r>
      <w:r>
        <w:rPr>
          <w:b/>
        </w:rPr>
        <w:t xml:space="preserve">nr°5 </w:t>
      </w:r>
      <w:r>
        <w:t xml:space="preserve">COM(2020)421 final z 3.6.2020, </w:t>
      </w:r>
      <w:r>
        <w:rPr>
          <w:b/>
        </w:rPr>
        <w:t>nr°6</w:t>
      </w:r>
      <w:r>
        <w:t xml:space="preserve"> COM(2020)423 final z 3.6.2020.</w:t>
      </w:r>
    </w:p>
  </w:footnote>
  <w:footnote w:id="7">
    <w:p>
      <w:pPr>
        <w:pStyle w:val="FootnoteText"/>
      </w:pPr>
      <w:r>
        <w:rPr>
          <w:rStyle w:val="FootnoteReference"/>
        </w:rPr>
        <w:footnoteRef/>
      </w:r>
      <w:r>
        <w:t xml:space="preserve"> COM(2020)300 z 24.6.2020.</w:t>
      </w:r>
    </w:p>
  </w:footnote>
  <w:footnote w:id="8">
    <w:p>
      <w:pPr>
        <w:pStyle w:val="FootnoteText"/>
      </w:pPr>
      <w:r>
        <w:rPr>
          <w:rStyle w:val="FootnoteReference"/>
        </w:rPr>
        <w:footnoteRef/>
      </w:r>
      <w:r>
        <w:t xml:space="preserve"> Kwota ta nie obejmuje 3,5 mld EUR zobowiązań pozostających do spłaty uzyskanych z wkładów państw trzecich, ponieważ odpowiednie płatności zostały już przekazane do budżetu UE.</w:t>
      </w:r>
    </w:p>
  </w:footnote>
  <w:footnote w:id="9">
    <w:p>
      <w:pPr>
        <w:pStyle w:val="FootnoteText"/>
      </w:pPr>
      <w:r>
        <w:rPr>
          <w:rStyle w:val="FootnoteReference"/>
        </w:rPr>
        <w:footnoteRef/>
      </w:r>
      <w:r>
        <w:t>COM (2018) 325 final z 2.5.2018, zmieniony COM (2020) 445 final z 28.5.2020.</w:t>
      </w:r>
    </w:p>
  </w:footnote>
  <w:footnote w:id="10">
    <w:p>
      <w:pPr>
        <w:pStyle w:val="FootnoteText"/>
      </w:pPr>
      <w:r>
        <w:rPr>
          <w:rStyle w:val="FootnoteReference"/>
        </w:rPr>
        <w:footnoteRef/>
      </w:r>
      <w:r>
        <w:t xml:space="preserve"> </w:t>
      </w:r>
      <w:r>
        <w:rPr>
          <w:color w:val="444444"/>
          <w:sz w:val="21"/>
          <w:szCs w:val="21"/>
          <w:shd w:val="clear" w:color="auto" w:fill="FFFFFF"/>
        </w:rPr>
        <w:t xml:space="preserve">Decyzja Rady w sprawie systemu zasobów własnych Unii Europejskiej, 2014/335/UE, Euratom: </w:t>
      </w:r>
      <w:r>
        <w:t>Dz.U. L 168 z 4.6.2014, s.105.</w:t>
      </w:r>
    </w:p>
  </w:footnote>
  <w:footnote w:id="11">
    <w:p>
      <w:pPr>
        <w:pStyle w:val="FootnoteText"/>
      </w:pPr>
      <w:r>
        <w:rPr>
          <w:rStyle w:val="FootnoteReference"/>
        </w:rPr>
        <w:footnoteRef/>
      </w:r>
      <w:r>
        <w:t xml:space="preserve"> W tym należności celne ustanowione przez Zjednoczone Królestwo w listopadzie i grudniu 2020 r., które zgodnie z art. 10 ust. 1 rozporządzenia (UE, Euratom) nr 609/2014 są wymagalne przez Zjednoczone Królestwo odpowiednio w dniach 20 stycznia 2021 r. i 22 lutego 2021 r. Na podstawie art. 136 ust. 1 i 3 lit. b) Umowy o wystąpieniu wspomniane należności celne należy nadal uważać za zasoby własne na 2021 r.</w:t>
      </w:r>
    </w:p>
  </w:footnote>
  <w:footnote w:id="12">
    <w:p>
      <w:pPr>
        <w:pStyle w:val="FootnoteText"/>
      </w:pPr>
      <w:r>
        <w:rPr>
          <w:rStyle w:val="FootnoteReference"/>
        </w:rPr>
        <w:footnoteRef/>
      </w:r>
      <w:r>
        <w:t xml:space="preserve"> COM(2018) 325 final z 2.5.2018, zmieniony COM(2020) 445 final z 28.5.2020.</w:t>
      </w:r>
    </w:p>
  </w:footnote>
  <w:footnote w:id="13">
    <w:p>
      <w:pPr>
        <w:pStyle w:val="FootnoteText"/>
      </w:pPr>
      <w:r>
        <w:rPr>
          <w:rStyle w:val="FootnoteReference"/>
        </w:rPr>
        <w:footnoteRef/>
      </w:r>
      <w:r>
        <w:t xml:space="preserve"> COM/2020/442 final z 27.5.2020.</w:t>
      </w:r>
    </w:p>
  </w:footnote>
  <w:footnote w:id="14">
    <w:p>
      <w:pPr>
        <w:pStyle w:val="FootnoteText"/>
      </w:pPr>
      <w:r>
        <w:rPr>
          <w:rStyle w:val="FootnoteReference"/>
        </w:rPr>
        <w:footnoteRef/>
      </w:r>
      <w:r>
        <w:t xml:space="preserve"> Wszystkie elementy wkładu Zjednoczonego Królestwa są wskazane w art. 148 Umowy o wystąpieniu. W obliczeniach uwzględniono jedynie te elementy wkładu Zjednoczonego Królestwa, które można określić ilościowo na tym etapie, a mianowicie tymczasowy wkład Zjednoczonego Królestwa w finansowanie płatności z tytułu zobowiązań pozostających do spłaty przed 2021 r. i zobowiązań emerytalnych zgodnie z art. 142 ust. 5 Umowy o wystąpieniu.</w:t>
      </w:r>
    </w:p>
  </w:footnote>
  <w:footnote w:id="15">
    <w:p>
      <w:pPr>
        <w:pStyle w:val="FootnoteText"/>
      </w:pPr>
      <w:r>
        <w:rPr>
          <w:rStyle w:val="FootnoteReference"/>
        </w:rPr>
        <w:footnoteRef/>
      </w:r>
      <w:r>
        <w:t xml:space="preserve"> Z wyjątkiem zobowiązań pozostających do spłaty wynikających z proponowanego projektu budżetu korygującego nr 6 do budżetu na 2020 r.</w:t>
      </w:r>
    </w:p>
  </w:footnote>
  <w:footnote w:id="16">
    <w:p>
      <w:pPr>
        <w:pStyle w:val="FootnoteText"/>
      </w:pPr>
      <w:r>
        <w:rPr>
          <w:rStyle w:val="FootnoteReference"/>
        </w:rPr>
        <w:footnoteRef/>
      </w:r>
      <w:r>
        <w:t xml:space="preserve"> Udział Zjednoczonego Królestwa jest zdefiniowany w art. 139 Umowy o wystąpieniu.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F2"/>
    <w:multiLevelType w:val="singleLevel"/>
    <w:tmpl w:val="4190AB00"/>
    <w:name w:val="Tiret 0"/>
    <w:lvl w:ilvl="0">
      <w:start w:val="1"/>
      <w:numFmt w:val="bullet"/>
      <w:lvlText w:val="–"/>
      <w:lvlJc w:val="left"/>
      <w:pPr>
        <w:tabs>
          <w:tab w:val="num" w:pos="850"/>
        </w:tabs>
        <w:ind w:left="850" w:hanging="850"/>
      </w:pPr>
    </w:lvl>
  </w:abstractNum>
  <w:abstractNum w:abstractNumId="1">
    <w:nsid w:val="04421258"/>
    <w:multiLevelType w:val="hybridMultilevel"/>
    <w:tmpl w:val="F3A24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1578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4D226D"/>
    <w:multiLevelType w:val="hybridMultilevel"/>
    <w:tmpl w:val="B6A09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ED505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22A140F0"/>
    <w:multiLevelType w:val="hybridMultilevel"/>
    <w:tmpl w:val="F38E451C"/>
    <w:lvl w:ilvl="0" w:tplc="ED0211A2">
      <w:numFmt w:val="bullet"/>
      <w:lvlText w:val="-"/>
      <w:lvlJc w:val="left"/>
      <w:pPr>
        <w:ind w:left="842" w:hanging="360"/>
      </w:pPr>
      <w:rPr>
        <w:rFonts w:ascii="Times New Roman" w:eastAsia="Times New Roman" w:hAnsi="Times New Roman" w:cs="Times New Roman" w:hint="default"/>
      </w:rPr>
    </w:lvl>
    <w:lvl w:ilvl="1" w:tplc="18090003" w:tentative="1">
      <w:start w:val="1"/>
      <w:numFmt w:val="bullet"/>
      <w:lvlText w:val="o"/>
      <w:lvlJc w:val="left"/>
      <w:pPr>
        <w:ind w:left="1562" w:hanging="360"/>
      </w:pPr>
      <w:rPr>
        <w:rFonts w:ascii="Courier New" w:hAnsi="Courier New" w:cs="Courier New" w:hint="default"/>
      </w:rPr>
    </w:lvl>
    <w:lvl w:ilvl="2" w:tplc="18090005" w:tentative="1">
      <w:start w:val="1"/>
      <w:numFmt w:val="bullet"/>
      <w:lvlText w:val=""/>
      <w:lvlJc w:val="left"/>
      <w:pPr>
        <w:ind w:left="2282" w:hanging="360"/>
      </w:pPr>
      <w:rPr>
        <w:rFonts w:ascii="Wingdings" w:hAnsi="Wingdings" w:hint="default"/>
      </w:rPr>
    </w:lvl>
    <w:lvl w:ilvl="3" w:tplc="18090001" w:tentative="1">
      <w:start w:val="1"/>
      <w:numFmt w:val="bullet"/>
      <w:lvlText w:val=""/>
      <w:lvlJc w:val="left"/>
      <w:pPr>
        <w:ind w:left="3002" w:hanging="360"/>
      </w:pPr>
      <w:rPr>
        <w:rFonts w:ascii="Symbol" w:hAnsi="Symbol" w:hint="default"/>
      </w:rPr>
    </w:lvl>
    <w:lvl w:ilvl="4" w:tplc="18090003" w:tentative="1">
      <w:start w:val="1"/>
      <w:numFmt w:val="bullet"/>
      <w:lvlText w:val="o"/>
      <w:lvlJc w:val="left"/>
      <w:pPr>
        <w:ind w:left="3722" w:hanging="360"/>
      </w:pPr>
      <w:rPr>
        <w:rFonts w:ascii="Courier New" w:hAnsi="Courier New" w:cs="Courier New" w:hint="default"/>
      </w:rPr>
    </w:lvl>
    <w:lvl w:ilvl="5" w:tplc="18090005" w:tentative="1">
      <w:start w:val="1"/>
      <w:numFmt w:val="bullet"/>
      <w:lvlText w:val=""/>
      <w:lvlJc w:val="left"/>
      <w:pPr>
        <w:ind w:left="4442" w:hanging="360"/>
      </w:pPr>
      <w:rPr>
        <w:rFonts w:ascii="Wingdings" w:hAnsi="Wingdings" w:hint="default"/>
      </w:rPr>
    </w:lvl>
    <w:lvl w:ilvl="6" w:tplc="18090001" w:tentative="1">
      <w:start w:val="1"/>
      <w:numFmt w:val="bullet"/>
      <w:lvlText w:val=""/>
      <w:lvlJc w:val="left"/>
      <w:pPr>
        <w:ind w:left="5162" w:hanging="360"/>
      </w:pPr>
      <w:rPr>
        <w:rFonts w:ascii="Symbol" w:hAnsi="Symbol" w:hint="default"/>
      </w:rPr>
    </w:lvl>
    <w:lvl w:ilvl="7" w:tplc="18090003" w:tentative="1">
      <w:start w:val="1"/>
      <w:numFmt w:val="bullet"/>
      <w:lvlText w:val="o"/>
      <w:lvlJc w:val="left"/>
      <w:pPr>
        <w:ind w:left="5882" w:hanging="360"/>
      </w:pPr>
      <w:rPr>
        <w:rFonts w:ascii="Courier New" w:hAnsi="Courier New" w:cs="Courier New" w:hint="default"/>
      </w:rPr>
    </w:lvl>
    <w:lvl w:ilvl="8" w:tplc="18090005" w:tentative="1">
      <w:start w:val="1"/>
      <w:numFmt w:val="bullet"/>
      <w:lvlText w:val=""/>
      <w:lvlJc w:val="left"/>
      <w:pPr>
        <w:ind w:left="6602" w:hanging="360"/>
      </w:pPr>
      <w:rPr>
        <w:rFonts w:ascii="Wingdings" w:hAnsi="Wingdings" w:hint="default"/>
      </w:rPr>
    </w:lvl>
  </w:abstractNum>
  <w:abstractNum w:abstractNumId="6">
    <w:nsid w:val="29572355"/>
    <w:multiLevelType w:val="hybridMultilevel"/>
    <w:tmpl w:val="5608E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9C68F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566"/>
        </w:tabs>
        <w:ind w:left="156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9">
    <w:nsid w:val="2CC371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42E10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6AC28B0"/>
    <w:multiLevelType w:val="hybridMultilevel"/>
    <w:tmpl w:val="213685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40A54562"/>
    <w:multiLevelType w:val="hybridMultilevel"/>
    <w:tmpl w:val="8286EDAC"/>
    <w:lvl w:ilvl="0" w:tplc="08090001">
      <w:start w:val="1"/>
      <w:numFmt w:val="bullet"/>
      <w:lvlText w:val=""/>
      <w:lvlJc w:val="left"/>
      <w:pPr>
        <w:tabs>
          <w:tab w:val="num" w:pos="720"/>
        </w:tabs>
        <w:ind w:left="720" w:hanging="360"/>
      </w:pPr>
      <w:rPr>
        <w:rFonts w:ascii="Symbol" w:hAnsi="Symbol" w:hint="default"/>
      </w:rPr>
    </w:lvl>
    <w:lvl w:ilvl="1" w:tplc="08090019">
      <w:start w:val="1"/>
      <w:numFmt w:val="bullet"/>
      <w:lvlText w:val=""/>
      <w:lvlJc w:val="left"/>
      <w:pPr>
        <w:tabs>
          <w:tab w:val="num" w:pos="3905"/>
        </w:tabs>
        <w:ind w:left="3905" w:hanging="360"/>
      </w:pPr>
      <w:rPr>
        <w:rFonts w:ascii="Wingdings" w:hAnsi="Wingdings" w:hint="default"/>
      </w:rPr>
    </w:lvl>
    <w:lvl w:ilvl="2" w:tplc="0809001B">
      <w:start w:val="1"/>
      <w:numFmt w:val="decimal"/>
      <w:lvlText w:val="%3."/>
      <w:lvlJc w:val="left"/>
      <w:pPr>
        <w:tabs>
          <w:tab w:val="num" w:pos="2160"/>
        </w:tabs>
        <w:ind w:left="2160" w:hanging="360"/>
      </w:pPr>
      <w:rPr>
        <w:rFonts w:hint="default"/>
      </w:rPr>
    </w:lvl>
    <w:lvl w:ilvl="3" w:tplc="8184259A">
      <w:numFmt w:val="bullet"/>
      <w:lvlText w:val="•"/>
      <w:lvlJc w:val="left"/>
      <w:pPr>
        <w:ind w:left="2880" w:hanging="360"/>
      </w:pPr>
      <w:rPr>
        <w:rFonts w:ascii="Times New Roman" w:eastAsia="Times New Roman" w:hAnsi="Times New Roman" w:cs="Times New Roman"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3">
    <w:nsid w:val="489956A0"/>
    <w:multiLevelType w:val="singleLevel"/>
    <w:tmpl w:val="6520E3F6"/>
    <w:lvl w:ilvl="0">
      <w:start w:val="1"/>
      <w:numFmt w:val="bullet"/>
      <w:lvlRestart w:val="0"/>
      <w:pStyle w:val="Tiret0"/>
      <w:lvlText w:val="–"/>
      <w:lvlJc w:val="left"/>
      <w:pPr>
        <w:tabs>
          <w:tab w:val="num" w:pos="850"/>
        </w:tabs>
        <w:ind w:left="850" w:hanging="850"/>
      </w:pPr>
    </w:lvl>
  </w:abstractNum>
  <w:abstractNum w:abstractNumId="14">
    <w:nsid w:val="4D3527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F8732B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913628"/>
    <w:multiLevelType w:val="hybridMultilevel"/>
    <w:tmpl w:val="C5E810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
      <w:lvlJc w:val="left"/>
      <w:pPr>
        <w:tabs>
          <w:tab w:val="num" w:pos="3905"/>
        </w:tabs>
        <w:ind w:left="3905" w:hanging="360"/>
      </w:pPr>
      <w:rPr>
        <w:rFonts w:ascii="Wingdings" w:hAnsi="Wingdings" w:hint="default"/>
      </w:rPr>
    </w:lvl>
    <w:lvl w:ilvl="2" w:tplc="08090005">
      <w:start w:val="1"/>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7BF14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AD31103"/>
    <w:multiLevelType w:val="hybridMultilevel"/>
    <w:tmpl w:val="9228A87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3D65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24C4580"/>
    <w:multiLevelType w:val="hybridMultilevel"/>
    <w:tmpl w:val="0D282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4B0DA2"/>
    <w:multiLevelType w:val="hybridMultilevel"/>
    <w:tmpl w:val="5E5C631A"/>
    <w:name w:val="Heading"/>
    <w:lvl w:ilvl="0" w:tplc="70C0E33E">
      <w:start w:val="1"/>
      <w:numFmt w:val="bullet"/>
      <w:lvlText w:val=""/>
      <w:lvlJc w:val="left"/>
      <w:pPr>
        <w:tabs>
          <w:tab w:val="num" w:pos="720"/>
        </w:tabs>
        <w:ind w:left="720" w:hanging="360"/>
      </w:pPr>
      <w:rPr>
        <w:rFonts w:ascii="Wingdings" w:hAnsi="Wingdings" w:hint="default"/>
      </w:rPr>
    </w:lvl>
    <w:lvl w:ilvl="1" w:tplc="5608EE86" w:tentative="1">
      <w:start w:val="1"/>
      <w:numFmt w:val="bullet"/>
      <w:lvlText w:val="o"/>
      <w:lvlJc w:val="left"/>
      <w:pPr>
        <w:tabs>
          <w:tab w:val="num" w:pos="1440"/>
        </w:tabs>
        <w:ind w:left="1440" w:hanging="360"/>
      </w:pPr>
      <w:rPr>
        <w:rFonts w:ascii="Courier New" w:hAnsi="Courier New" w:cs="Courier New" w:hint="default"/>
      </w:rPr>
    </w:lvl>
    <w:lvl w:ilvl="2" w:tplc="30244C20" w:tentative="1">
      <w:start w:val="1"/>
      <w:numFmt w:val="bullet"/>
      <w:lvlText w:val=""/>
      <w:lvlJc w:val="left"/>
      <w:pPr>
        <w:tabs>
          <w:tab w:val="num" w:pos="2160"/>
        </w:tabs>
        <w:ind w:left="2160" w:hanging="360"/>
      </w:pPr>
      <w:rPr>
        <w:rFonts w:ascii="Wingdings" w:hAnsi="Wingdings" w:hint="default"/>
      </w:rPr>
    </w:lvl>
    <w:lvl w:ilvl="3" w:tplc="E5CE95E6" w:tentative="1">
      <w:start w:val="1"/>
      <w:numFmt w:val="bullet"/>
      <w:lvlText w:val=""/>
      <w:lvlJc w:val="left"/>
      <w:pPr>
        <w:tabs>
          <w:tab w:val="num" w:pos="2880"/>
        </w:tabs>
        <w:ind w:left="2880" w:hanging="360"/>
      </w:pPr>
      <w:rPr>
        <w:rFonts w:ascii="Symbol" w:hAnsi="Symbol" w:hint="default"/>
      </w:rPr>
    </w:lvl>
    <w:lvl w:ilvl="4" w:tplc="0100D990" w:tentative="1">
      <w:start w:val="1"/>
      <w:numFmt w:val="bullet"/>
      <w:lvlText w:val="o"/>
      <w:lvlJc w:val="left"/>
      <w:pPr>
        <w:tabs>
          <w:tab w:val="num" w:pos="3600"/>
        </w:tabs>
        <w:ind w:left="3600" w:hanging="360"/>
      </w:pPr>
      <w:rPr>
        <w:rFonts w:ascii="Courier New" w:hAnsi="Courier New" w:cs="Courier New" w:hint="default"/>
      </w:rPr>
    </w:lvl>
    <w:lvl w:ilvl="5" w:tplc="FC88B498" w:tentative="1">
      <w:start w:val="1"/>
      <w:numFmt w:val="bullet"/>
      <w:lvlText w:val=""/>
      <w:lvlJc w:val="left"/>
      <w:pPr>
        <w:tabs>
          <w:tab w:val="num" w:pos="4320"/>
        </w:tabs>
        <w:ind w:left="4320" w:hanging="360"/>
      </w:pPr>
      <w:rPr>
        <w:rFonts w:ascii="Wingdings" w:hAnsi="Wingdings" w:hint="default"/>
      </w:rPr>
    </w:lvl>
    <w:lvl w:ilvl="6" w:tplc="D4D21692" w:tentative="1">
      <w:start w:val="1"/>
      <w:numFmt w:val="bullet"/>
      <w:lvlText w:val=""/>
      <w:lvlJc w:val="left"/>
      <w:pPr>
        <w:tabs>
          <w:tab w:val="num" w:pos="5040"/>
        </w:tabs>
        <w:ind w:left="5040" w:hanging="360"/>
      </w:pPr>
      <w:rPr>
        <w:rFonts w:ascii="Symbol" w:hAnsi="Symbol" w:hint="default"/>
      </w:rPr>
    </w:lvl>
    <w:lvl w:ilvl="7" w:tplc="3B12B370" w:tentative="1">
      <w:start w:val="1"/>
      <w:numFmt w:val="bullet"/>
      <w:lvlText w:val="o"/>
      <w:lvlJc w:val="left"/>
      <w:pPr>
        <w:tabs>
          <w:tab w:val="num" w:pos="5760"/>
        </w:tabs>
        <w:ind w:left="5760" w:hanging="360"/>
      </w:pPr>
      <w:rPr>
        <w:rFonts w:ascii="Courier New" w:hAnsi="Courier New" w:cs="Courier New" w:hint="default"/>
      </w:rPr>
    </w:lvl>
    <w:lvl w:ilvl="8" w:tplc="46463BCA" w:tentative="1">
      <w:start w:val="1"/>
      <w:numFmt w:val="bullet"/>
      <w:lvlText w:val=""/>
      <w:lvlJc w:val="left"/>
      <w:pPr>
        <w:tabs>
          <w:tab w:val="num" w:pos="6480"/>
        </w:tabs>
        <w:ind w:left="6480" w:hanging="360"/>
      </w:pPr>
      <w:rPr>
        <w:rFonts w:ascii="Wingdings" w:hAnsi="Wingdings" w:hint="default"/>
      </w:rPr>
    </w:lvl>
  </w:abstractNum>
  <w:abstractNum w:abstractNumId="22">
    <w:nsid w:val="66870614"/>
    <w:multiLevelType w:val="hybridMultilevel"/>
    <w:tmpl w:val="995A9EAA"/>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23">
    <w:nsid w:val="6715525B"/>
    <w:multiLevelType w:val="hybridMultilevel"/>
    <w:tmpl w:val="F3905F4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E0215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2410A66"/>
    <w:multiLevelType w:val="hybridMultilevel"/>
    <w:tmpl w:val="9F7E1F10"/>
    <w:lvl w:ilvl="0" w:tplc="361C4606">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2DB0EF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5215256"/>
    <w:multiLevelType w:val="hybridMultilevel"/>
    <w:tmpl w:val="F8F0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460620"/>
    <w:multiLevelType w:val="hybridMultilevel"/>
    <w:tmpl w:val="6E620E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C3634E"/>
    <w:multiLevelType w:val="hybridMultilevel"/>
    <w:tmpl w:val="F3905F4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F117AE3"/>
    <w:multiLevelType w:val="hybridMultilevel"/>
    <w:tmpl w:val="F7EEF178"/>
    <w:lvl w:ilvl="0" w:tplc="6AAA8028">
      <w:start w:val="1"/>
      <w:numFmt w:val="bullet"/>
      <w:lvlText w:val=""/>
      <w:lvlJc w:val="left"/>
      <w:pPr>
        <w:tabs>
          <w:tab w:val="num" w:pos="720"/>
        </w:tabs>
        <w:ind w:left="720" w:hanging="360"/>
      </w:pPr>
      <w:rPr>
        <w:rFonts w:ascii="Wingdings" w:hAnsi="Wingdings" w:hint="default"/>
      </w:rPr>
    </w:lvl>
    <w:lvl w:ilvl="1" w:tplc="F9AE0BC2">
      <w:start w:val="1"/>
      <w:numFmt w:val="bullet"/>
      <w:lvlText w:val=""/>
      <w:lvlJc w:val="left"/>
      <w:pPr>
        <w:tabs>
          <w:tab w:val="num" w:pos="3905"/>
        </w:tabs>
        <w:ind w:left="3905" w:hanging="360"/>
      </w:pPr>
      <w:rPr>
        <w:rFonts w:ascii="Wingdings" w:hAnsi="Wingdings" w:hint="default"/>
      </w:rPr>
    </w:lvl>
    <w:lvl w:ilvl="2" w:tplc="6FC8AB52">
      <w:start w:val="1"/>
      <w:numFmt w:val="decimal"/>
      <w:lvlText w:val="%3."/>
      <w:lvlJc w:val="left"/>
      <w:pPr>
        <w:tabs>
          <w:tab w:val="num" w:pos="2160"/>
        </w:tabs>
        <w:ind w:left="2160" w:hanging="360"/>
      </w:pPr>
      <w:rPr>
        <w:rFonts w:hint="default"/>
      </w:rPr>
    </w:lvl>
    <w:lvl w:ilvl="3" w:tplc="0E96D468" w:tentative="1">
      <w:start w:val="1"/>
      <w:numFmt w:val="bullet"/>
      <w:lvlText w:val=""/>
      <w:lvlJc w:val="left"/>
      <w:pPr>
        <w:tabs>
          <w:tab w:val="num" w:pos="2880"/>
        </w:tabs>
        <w:ind w:left="2880" w:hanging="360"/>
      </w:pPr>
      <w:rPr>
        <w:rFonts w:ascii="Symbol" w:hAnsi="Symbol" w:hint="default"/>
      </w:rPr>
    </w:lvl>
    <w:lvl w:ilvl="4" w:tplc="2F8C92AC" w:tentative="1">
      <w:start w:val="1"/>
      <w:numFmt w:val="bullet"/>
      <w:lvlText w:val="o"/>
      <w:lvlJc w:val="left"/>
      <w:pPr>
        <w:tabs>
          <w:tab w:val="num" w:pos="3600"/>
        </w:tabs>
        <w:ind w:left="3600" w:hanging="360"/>
      </w:pPr>
      <w:rPr>
        <w:rFonts w:ascii="Courier New" w:hAnsi="Courier New" w:cs="Courier New" w:hint="default"/>
      </w:rPr>
    </w:lvl>
    <w:lvl w:ilvl="5" w:tplc="68BEBA64" w:tentative="1">
      <w:start w:val="1"/>
      <w:numFmt w:val="bullet"/>
      <w:lvlText w:val=""/>
      <w:lvlJc w:val="left"/>
      <w:pPr>
        <w:tabs>
          <w:tab w:val="num" w:pos="4320"/>
        </w:tabs>
        <w:ind w:left="4320" w:hanging="360"/>
      </w:pPr>
      <w:rPr>
        <w:rFonts w:ascii="Wingdings" w:hAnsi="Wingdings" w:hint="default"/>
      </w:rPr>
    </w:lvl>
    <w:lvl w:ilvl="6" w:tplc="466CF938" w:tentative="1">
      <w:start w:val="1"/>
      <w:numFmt w:val="bullet"/>
      <w:lvlText w:val=""/>
      <w:lvlJc w:val="left"/>
      <w:pPr>
        <w:tabs>
          <w:tab w:val="num" w:pos="5040"/>
        </w:tabs>
        <w:ind w:left="5040" w:hanging="360"/>
      </w:pPr>
      <w:rPr>
        <w:rFonts w:ascii="Symbol" w:hAnsi="Symbol" w:hint="default"/>
      </w:rPr>
    </w:lvl>
    <w:lvl w:ilvl="7" w:tplc="8FE826AC" w:tentative="1">
      <w:start w:val="1"/>
      <w:numFmt w:val="bullet"/>
      <w:lvlText w:val="o"/>
      <w:lvlJc w:val="left"/>
      <w:pPr>
        <w:tabs>
          <w:tab w:val="num" w:pos="5760"/>
        </w:tabs>
        <w:ind w:left="5760" w:hanging="360"/>
      </w:pPr>
      <w:rPr>
        <w:rFonts w:ascii="Courier New" w:hAnsi="Courier New" w:cs="Courier New" w:hint="default"/>
      </w:rPr>
    </w:lvl>
    <w:lvl w:ilvl="8" w:tplc="E0524B4E"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8"/>
  </w:num>
  <w:num w:numId="4">
    <w:abstractNumId w:val="30"/>
  </w:num>
  <w:num w:numId="5">
    <w:abstractNumId w:val="16"/>
  </w:num>
  <w:num w:numId="6">
    <w:abstractNumId w:val="12"/>
  </w:num>
  <w:num w:numId="7">
    <w:abstractNumId w:val="4"/>
  </w:num>
  <w:num w:numId="8">
    <w:abstractNumId w:val="29"/>
  </w:num>
  <w:num w:numId="9">
    <w:abstractNumId w:val="3"/>
  </w:num>
  <w:num w:numId="10">
    <w:abstractNumId w:val="27"/>
  </w:num>
  <w:num w:numId="11">
    <w:abstractNumId w:val="1"/>
  </w:num>
  <w:num w:numId="12">
    <w:abstractNumId w:val="6"/>
  </w:num>
  <w:num w:numId="13">
    <w:abstractNumId w:val="22"/>
  </w:num>
  <w:num w:numId="14">
    <w:abstractNumId w:val="28"/>
  </w:num>
  <w:num w:numId="15">
    <w:abstractNumId w:val="7"/>
  </w:num>
  <w:num w:numId="16">
    <w:abstractNumId w:val="23"/>
  </w:num>
  <w:num w:numId="17">
    <w:abstractNumId w:val="18"/>
  </w:num>
  <w:num w:numId="18">
    <w:abstractNumId w:val="11"/>
  </w:num>
  <w:num w:numId="19">
    <w:abstractNumId w:val="20"/>
  </w:num>
  <w:num w:numId="20">
    <w:abstractNumId w:val="30"/>
    <w:lvlOverride w:ilvl="0"/>
    <w:lvlOverride w:ilvl="1"/>
    <w:lvlOverride w:ilvl="2">
      <w:startOverride w:val="1"/>
    </w:lvlOverride>
    <w:lvlOverride w:ilvl="3"/>
    <w:lvlOverride w:ilvl="4"/>
    <w:lvlOverride w:ilvl="5"/>
    <w:lvlOverride w:ilvl="6"/>
    <w:lvlOverride w:ilvl="7"/>
    <w:lvlOverride w:ilvl="8"/>
  </w:num>
  <w:num w:numId="21">
    <w:abstractNumId w:val="2"/>
  </w:num>
  <w:num w:numId="22">
    <w:abstractNumId w:val="18"/>
  </w:num>
  <w:num w:numId="23">
    <w:abstractNumId w:val="16"/>
    <w:lvlOverride w:ilvl="0"/>
    <w:lvlOverride w:ilvl="1"/>
    <w:lvlOverride w:ilvl="2">
      <w:startOverride w:val="1"/>
    </w:lvlOverride>
    <w:lvlOverride w:ilvl="3"/>
    <w:lvlOverride w:ilvl="4"/>
    <w:lvlOverride w:ilvl="5"/>
    <w:lvlOverride w:ilvl="6"/>
    <w:lvlOverride w:ilvl="7"/>
    <w:lvlOverride w:ilvl="8"/>
  </w:num>
  <w:num w:numId="24">
    <w:abstractNumId w:val="14"/>
  </w:num>
  <w:num w:numId="25">
    <w:abstractNumId w:val="26"/>
  </w:num>
  <w:num w:numId="26">
    <w:abstractNumId w:val="9"/>
  </w:num>
  <w:num w:numId="27">
    <w:abstractNumId w:val="17"/>
  </w:num>
  <w:num w:numId="28">
    <w:abstractNumId w:val="19"/>
  </w:num>
  <w:num w:numId="29">
    <w:abstractNumId w:val="15"/>
  </w:num>
  <w:num w:numId="30">
    <w:abstractNumId w:val="0"/>
  </w:num>
  <w:num w:numId="31">
    <w:abstractNumId w:val="5"/>
  </w:num>
  <w:num w:numId="32">
    <w:abstractNumId w:val="25"/>
  </w:num>
  <w:num w:numId="33">
    <w:abstractNumId w:val="24"/>
  </w:num>
  <w:num w:numId="3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425"/>
  <w:drawingGridHorizontalSpacing w:val="120"/>
  <w:displayHorizontalDrawingGridEvery w:val="2"/>
  <w:noPunctuationKerning/>
  <w:characterSpacingControl w:val="doNotCompress"/>
  <w:hdrShapeDefaults>
    <o:shapedefaults v:ext="edit" spidmax="149505"/>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ocStatus" w:val="Green"/>
    <w:docVar w:name="LW_CORRIGENDUM" w:val="&lt;UNUSED&gt;"/>
    <w:docVar w:name="LW_COVERPAGE_EXISTS" w:val="True"/>
    <w:docVar w:name="LW_COVERPAGE_GUID" w:val="7530783A-4C6E-4462-B5CF-5E7C8CFE7F52"/>
    <w:docVar w:name="LW_COVERPAGE_TYPE" w:val="1"/>
    <w:docVar w:name="LW_CROSSREFERENCE" w:val="&lt;UNUSED&gt;"/>
    <w:docVar w:name="LW_DocType" w:val="NORMAL"/>
    <w:docVar w:name="LW_EMISSION" w:val="30.6.2020"/>
    <w:docVar w:name="LW_EMISSION_ISODATE" w:val="2020-06-30"/>
    <w:docVar w:name="LW_EMISSION_LOCATION" w:val="BRX"/>
    <w:docVar w:name="LW_EMISSION_PREFIX" w:val="Bruksela, dnia "/>
    <w:docVar w:name="LW_EMISSION_SUFFIX" w:val=" r."/>
    <w:docVar w:name="LW_ID_DOCTYPE_NONLW" w:val="CP-006"/>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20) 29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D\u322?ugoterminowa prognoza przysz\u322?ych wp\u322?ywów i wyp\u322?ywów w bud\u380?ecie UE (2021-2025)"/>
    <w:docVar w:name="LW_TYPE.DOC.CP" w:val="SPRAWOZDANIE KOMISJI DLA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Text1"/>
    <w:link w:val="Heading1Char"/>
    <w:qFormat/>
    <w:pPr>
      <w:keepNext/>
      <w:tabs>
        <w:tab w:val="num" w:pos="480"/>
      </w:tabs>
      <w:spacing w:before="240" w:after="240"/>
      <w:ind w:left="480" w:hanging="480"/>
      <w:jc w:val="both"/>
      <w:outlineLvl w:val="0"/>
    </w:pPr>
    <w:rPr>
      <w:b/>
      <w:smallCaps/>
      <w:szCs w:val="20"/>
      <w:lang w:eastAsia="en-US"/>
    </w:rPr>
  </w:style>
  <w:style w:type="paragraph" w:styleId="Heading2">
    <w:name w:val="heading 2"/>
    <w:basedOn w:val="Normal"/>
    <w:next w:val="Normal"/>
    <w:link w:val="Heading2Char"/>
    <w:qFormat/>
    <w:pPr>
      <w:keepNext/>
      <w:tabs>
        <w:tab w:val="num" w:pos="1200"/>
      </w:tabs>
      <w:spacing w:after="240"/>
      <w:ind w:left="1200" w:hanging="720"/>
      <w:jc w:val="both"/>
      <w:outlineLvl w:val="1"/>
    </w:pPr>
    <w:rPr>
      <w:b/>
      <w:szCs w:val="20"/>
      <w:lang w:eastAsia="en-US"/>
    </w:rPr>
  </w:style>
  <w:style w:type="paragraph" w:styleId="Heading3">
    <w:name w:val="heading 3"/>
    <w:basedOn w:val="Normal"/>
    <w:next w:val="Normal"/>
    <w:qFormat/>
    <w:pPr>
      <w:keepNext/>
      <w:spacing w:before="240" w:after="60"/>
      <w:outlineLvl w:val="2"/>
    </w:pPr>
    <w:rPr>
      <w:rFonts w:ascii="Arial" w:hAnsi="Arial"/>
      <w:szCs w:val="20"/>
    </w:rPr>
  </w:style>
  <w:style w:type="paragraph" w:styleId="Heading4">
    <w:name w:val="heading 4"/>
    <w:basedOn w:val="Normal"/>
    <w:next w:val="Normal"/>
    <w:qFormat/>
    <w:pPr>
      <w:keepNext/>
      <w:tabs>
        <w:tab w:val="num" w:pos="1920"/>
      </w:tabs>
      <w:spacing w:after="240"/>
      <w:ind w:left="1920" w:hanging="720"/>
      <w:jc w:val="both"/>
      <w:outlineLvl w:val="3"/>
    </w:pPr>
    <w:rPr>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36"/>
        <w:tab w:val="right" w:pos="9072"/>
      </w:tabs>
    </w:pPr>
    <w:rPr>
      <w:szCs w:val="20"/>
    </w:rPr>
  </w:style>
  <w:style w:type="paragraph" w:styleId="Header">
    <w:name w:val="header"/>
    <w:basedOn w:val="Normal"/>
    <w:pPr>
      <w:tabs>
        <w:tab w:val="center" w:pos="4536"/>
        <w:tab w:val="right" w:pos="9072"/>
      </w:tabs>
    </w:pPr>
  </w:style>
  <w:style w:type="paragraph" w:styleId="BalloonText">
    <w:name w:val="Balloon Text"/>
    <w:basedOn w:val="Normal"/>
    <w:semiHidden/>
    <w:rPr>
      <w:rFonts w:ascii="Tahoma" w:hAnsi="Tahoma" w:cs="Tahoma"/>
      <w:sz w:val="16"/>
      <w:szCs w:val="16"/>
    </w:rPr>
  </w:style>
  <w:style w:type="paragraph" w:styleId="FootnoteText">
    <w:name w:val="footnote text"/>
    <w:aliases w:val="fn,footnote text,footnote text Char Char,Car,Footnote Text Char2 Char,Footnote Text Char Char Char1,Footnote Text Char1 Char Char Char,Footnote Text Char2 Char Char Char Char,Footnote Text Char1 Char1 Char Char Char Char,Car Car Ca"/>
    <w:basedOn w:val="Normal"/>
    <w:link w:val="FootnoteTextChar"/>
    <w:uiPriority w:val="99"/>
    <w:qFormat/>
    <w:rPr>
      <w:sz w:val="20"/>
      <w:szCs w:val="20"/>
    </w:rPr>
  </w:style>
  <w:style w:type="character" w:styleId="FootnoteReference">
    <w:name w:val="footnote reference"/>
    <w:aliases w:val="Footnote,Footnote number,Footnote symbol,Footnote Reference Number,Footnote reference number,Times 10 Point,Exposant 3 Point,Voetnootverwijzing,fr,o,Footnotemark,FR,Footnotemark1,Footnotemark2,FR1,Footnotemark3,FR2,Footnotemark4,FR3"/>
    <w:basedOn w:val="DefaultParagraphFont"/>
    <w:uiPriority w:val="99"/>
    <w:qFormat/>
    <w:rPr>
      <w:vertAlign w:val="superscript"/>
    </w:rPr>
  </w:style>
  <w:style w:type="paragraph" w:customStyle="1" w:styleId="ZCom">
    <w:name w:val="Z_Com"/>
    <w:basedOn w:val="Normal"/>
    <w:next w:val="ZDGName"/>
    <w:pPr>
      <w:widowControl w:val="0"/>
      <w:autoSpaceDE w:val="0"/>
      <w:autoSpaceDN w:val="0"/>
      <w:ind w:right="85"/>
      <w:jc w:val="both"/>
    </w:pPr>
    <w:rPr>
      <w:rFonts w:ascii="Arial" w:hAnsi="Arial" w:cs="Arial"/>
      <w:lang w:eastAsia="ko-KR"/>
    </w:rPr>
  </w:style>
  <w:style w:type="paragraph" w:customStyle="1" w:styleId="ZDGName">
    <w:name w:val="Z_DGName"/>
    <w:basedOn w:val="Normal"/>
    <w:pPr>
      <w:widowControl w:val="0"/>
      <w:autoSpaceDE w:val="0"/>
      <w:autoSpaceDN w:val="0"/>
      <w:ind w:right="85"/>
    </w:pPr>
    <w:rPr>
      <w:rFonts w:ascii="Arial" w:hAnsi="Arial" w:cs="Arial"/>
      <w:sz w:val="16"/>
      <w:szCs w:val="16"/>
      <w:lang w:eastAsia="ko-KR"/>
    </w:rPr>
  </w:style>
  <w:style w:type="paragraph" w:customStyle="1" w:styleId="NoteHead">
    <w:name w:val="NoteHead"/>
    <w:basedOn w:val="Normal"/>
    <w:next w:val="Normal"/>
    <w:pPr>
      <w:spacing w:before="720" w:after="720"/>
      <w:jc w:val="center"/>
    </w:pPr>
    <w:rPr>
      <w:b/>
      <w:smallCaps/>
      <w:szCs w:val="20"/>
      <w:lang w:eastAsia="en-US"/>
    </w:rPr>
  </w:style>
  <w:style w:type="paragraph" w:customStyle="1" w:styleId="Text3">
    <w:name w:val="Text 3"/>
    <w:basedOn w:val="Normal"/>
    <w:pPr>
      <w:spacing w:before="120" w:after="120"/>
      <w:ind w:left="851"/>
      <w:jc w:val="both"/>
    </w:pPr>
    <w:rPr>
      <w:szCs w:val="20"/>
      <w:lang w:eastAsia="fr-BE"/>
    </w:rPr>
  </w:style>
  <w:style w:type="paragraph" w:customStyle="1" w:styleId="Tiret0">
    <w:name w:val="Tiret 0"/>
    <w:basedOn w:val="Normal"/>
    <w:link w:val="Tiret0Char"/>
    <w:uiPriority w:val="99"/>
    <w:pPr>
      <w:numPr>
        <w:numId w:val="1"/>
      </w:numPr>
      <w:spacing w:before="120" w:after="120"/>
      <w:jc w:val="both"/>
    </w:pPr>
  </w:style>
  <w:style w:type="character" w:customStyle="1" w:styleId="Tiret0Char">
    <w:name w:val="Tiret 0 Char"/>
    <w:basedOn w:val="DefaultParagraphFont"/>
    <w:link w:val="Tiret0"/>
    <w:rPr>
      <w:sz w:val="24"/>
      <w:szCs w:val="24"/>
    </w:rPr>
  </w:style>
  <w:style w:type="character" w:styleId="PageNumber">
    <w:name w:val="page number"/>
    <w:basedOn w:val="DefaultParagraphFont"/>
  </w:style>
  <w:style w:type="paragraph" w:customStyle="1" w:styleId="Text1">
    <w:name w:val="Text 1"/>
    <w:basedOn w:val="Normal"/>
    <w:link w:val="Text1Char"/>
    <w:pPr>
      <w:spacing w:after="240"/>
      <w:ind w:left="482"/>
      <w:jc w:val="both"/>
    </w:pPr>
    <w:rPr>
      <w:szCs w:val="20"/>
      <w:lang w:eastAsia="en-US"/>
    </w:rPr>
  </w:style>
  <w:style w:type="paragraph" w:customStyle="1" w:styleId="Text2">
    <w:name w:val="Text 2"/>
    <w:basedOn w:val="Normal"/>
    <w:pPr>
      <w:tabs>
        <w:tab w:val="left" w:pos="2160"/>
      </w:tabs>
      <w:spacing w:after="240"/>
      <w:ind w:left="1077"/>
      <w:jc w:val="both"/>
    </w:pPr>
    <w:rPr>
      <w:szCs w:val="20"/>
      <w:lang w:eastAsia="en-US"/>
    </w:rPr>
  </w:style>
  <w:style w:type="paragraph" w:styleId="ListBullet2">
    <w:name w:val="List Bullet 2"/>
    <w:basedOn w:val="Text2"/>
    <w:pPr>
      <w:numPr>
        <w:numId w:val="3"/>
      </w:numPr>
      <w:tabs>
        <w:tab w:val="clear" w:pos="2160"/>
      </w:tabs>
    </w:pPr>
  </w:style>
  <w:style w:type="table" w:styleId="TableGrid">
    <w:name w:val="Table Grid"/>
    <w:basedOn w:val="TableNormal"/>
    <w:uiPriority w:val="59"/>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ject">
    <w:name w:val="Subject"/>
    <w:basedOn w:val="Normal"/>
    <w:next w:val="Normal"/>
    <w:pPr>
      <w:spacing w:after="480"/>
      <w:ind w:left="1191" w:hanging="1191"/>
    </w:pPr>
    <w:rPr>
      <w:b/>
      <w:szCs w:val="20"/>
      <w:lang w:eastAsia="en-US"/>
    </w:rPr>
  </w:style>
  <w:style w:type="character" w:customStyle="1" w:styleId="Text1Char">
    <w:name w:val="Text 1 Char"/>
    <w:basedOn w:val="DefaultParagraphFont"/>
    <w:link w:val="Text1"/>
    <w:rPr>
      <w:sz w:val="24"/>
      <w:lang w:val="pl-PL" w:eastAsia="en-US" w:bidi="ar-SA"/>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Heading1Char">
    <w:name w:val="Heading 1 Char"/>
    <w:basedOn w:val="DefaultParagraphFont"/>
    <w:link w:val="Heading1"/>
    <w:rPr>
      <w:b/>
      <w:smallCaps/>
      <w:sz w:val="24"/>
      <w:lang w:eastAsia="en-US"/>
    </w:rPr>
  </w:style>
  <w:style w:type="character" w:customStyle="1" w:styleId="Heading2Char">
    <w:name w:val="Heading 2 Char"/>
    <w:basedOn w:val="DefaultParagraphFont"/>
    <w:link w:val="Heading2"/>
    <w:rPr>
      <w:b/>
      <w:sz w:val="24"/>
      <w:lang w:eastAsia="en-US"/>
    </w:rPr>
  </w:style>
  <w:style w:type="character" w:customStyle="1" w:styleId="FootnoteTextChar">
    <w:name w:val="Footnote Text Char"/>
    <w:aliases w:val="fn Char,footnote text Char,footnote text Char Char Char,Car Char,Footnote Text Char2 Char Char,Footnote Text Char Char Char1 Char,Footnote Text Char1 Char Char Char Char,Footnote Text Char2 Char Char Char Char Char,Car Car Ca Char"/>
    <w:basedOn w:val="DefaultParagraphFont"/>
    <w:link w:val="FootnoteText"/>
    <w:uiPriority w:val="99"/>
  </w:style>
  <w:style w:type="paragraph" w:styleId="Revision">
    <w:name w:val="Revision"/>
    <w:hidden/>
    <w:uiPriority w:val="99"/>
    <w:semiHidden/>
    <w:rPr>
      <w:sz w:val="24"/>
      <w:szCs w:val="24"/>
    </w:rPr>
  </w:style>
  <w:style w:type="paragraph" w:styleId="ListParagraph">
    <w:name w:val="List Paragraph"/>
    <w:basedOn w:val="Normal"/>
    <w:uiPriority w:val="34"/>
    <w:qFormat/>
    <w:pPr>
      <w:ind w:left="720"/>
    </w:pPr>
    <w:rPr>
      <w:rFonts w:ascii="Calibri" w:hAnsi="Calibri"/>
      <w:sz w:val="22"/>
      <w:szCs w:val="22"/>
      <w:lang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FooterChar">
    <w:name w:val="Footer Char"/>
    <w:basedOn w:val="DefaultParagraphFont"/>
    <w:link w:val="Footer"/>
    <w:uiPriority w:val="99"/>
    <w:rPr>
      <w:sz w:val="24"/>
      <w:lang w:val="pl-PL"/>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styleId="Caption">
    <w:name w:val="caption"/>
    <w:basedOn w:val="Normal"/>
    <w:next w:val="Normal"/>
    <w:link w:val="CaptionChar"/>
    <w:unhideWhenUsed/>
    <w:qFormat/>
    <w:pPr>
      <w:spacing w:after="200"/>
    </w:pPr>
    <w:rPr>
      <w:b/>
      <w:bCs/>
      <w:color w:val="4F81BD" w:themeColor="accent1"/>
      <w:sz w:val="18"/>
      <w:szCs w:val="18"/>
    </w:rPr>
  </w:style>
  <w:style w:type="character" w:styleId="Strong">
    <w:name w:val="Strong"/>
    <w:basedOn w:val="DefaultParagraphFont"/>
    <w:uiPriority w:val="22"/>
    <w:qFormat/>
    <w:rPr>
      <w:b/>
      <w:bCs/>
    </w:rPr>
  </w:style>
  <w:style w:type="paragraph" w:styleId="TOCHeading">
    <w:name w:val="TOC Heading"/>
    <w:basedOn w:val="Heading1"/>
    <w:next w:val="Normal"/>
    <w:uiPriority w:val="39"/>
    <w:unhideWhenUsed/>
    <w:qFormat/>
    <w:pPr>
      <w:keepLines/>
      <w:tabs>
        <w:tab w:val="clear" w:pos="480"/>
      </w:tabs>
      <w:spacing w:before="480" w:after="0" w:line="276" w:lineRule="auto"/>
      <w:ind w:left="0" w:firstLine="0"/>
      <w:jc w:val="left"/>
      <w:outlineLvl w:val="9"/>
    </w:pPr>
    <w:rPr>
      <w:rFonts w:asciiTheme="majorHAnsi" w:eastAsiaTheme="majorEastAsia" w:hAnsiTheme="majorHAnsi" w:cstheme="majorBidi"/>
      <w:bCs/>
      <w:smallCaps w:val="0"/>
      <w:color w:val="365F91" w:themeColor="accent1" w:themeShade="BF"/>
      <w:sz w:val="28"/>
      <w:szCs w:val="28"/>
      <w:lang w:eastAsia="ja-JP"/>
    </w:rPr>
  </w:style>
  <w:style w:type="paragraph" w:styleId="TOC1">
    <w:name w:val="toc 1"/>
    <w:basedOn w:val="Normal"/>
    <w:next w:val="Normal"/>
    <w:autoRedefine/>
    <w:uiPriority w:val="39"/>
    <w:qFormat/>
    <w:pPr>
      <w:spacing w:after="100"/>
    </w:pPr>
  </w:style>
  <w:style w:type="paragraph" w:styleId="TOC2">
    <w:name w:val="toc 2"/>
    <w:basedOn w:val="Normal"/>
    <w:next w:val="Normal"/>
    <w:autoRedefine/>
    <w:uiPriority w:val="39"/>
    <w:qFormat/>
    <w:pPr>
      <w:spacing w:after="100"/>
      <w:ind w:left="240"/>
    </w:pPr>
  </w:style>
  <w:style w:type="character" w:styleId="Hyperlink">
    <w:name w:val="Hyperlink"/>
    <w:basedOn w:val="DefaultParagraphFont"/>
    <w:uiPriority w:val="99"/>
    <w:unhideWhenUsed/>
    <w:rPr>
      <w:color w:val="0000FF" w:themeColor="hyperlink"/>
      <w:u w:val="single"/>
    </w:rPr>
  </w:style>
  <w:style w:type="paragraph" w:styleId="TOC3">
    <w:name w:val="toc 3"/>
    <w:basedOn w:val="Normal"/>
    <w:next w:val="Normal"/>
    <w:autoRedefine/>
    <w:uiPriority w:val="39"/>
    <w:unhideWhenUsed/>
    <w:qFormat/>
    <w:pPr>
      <w:spacing w:after="100" w:line="276" w:lineRule="auto"/>
      <w:ind w:left="440"/>
    </w:pPr>
    <w:rPr>
      <w:rFonts w:asciiTheme="minorHAnsi" w:eastAsiaTheme="minorEastAsia" w:hAnsiTheme="minorHAnsi" w:cstheme="minorBidi"/>
      <w:sz w:val="22"/>
      <w:szCs w:val="22"/>
      <w:lang w:eastAsia="ja-JP"/>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CaptionChar">
    <w:name w:val="Caption Char"/>
    <w:basedOn w:val="DefaultParagraphFont"/>
    <w:link w:val="Caption"/>
    <w:rPr>
      <w:b/>
      <w:bCs/>
      <w:color w:val="4F81BD" w:themeColor="accent1"/>
      <w:sz w:val="18"/>
      <w:szCs w:val="18"/>
    </w:rPr>
  </w:style>
  <w:style w:type="character" w:customStyle="1" w:styleId="FooterCoverPageChar">
    <w:name w:val="Footer Cover Page Char"/>
    <w:basedOn w:val="CaptionChar"/>
    <w:link w:val="FooterCoverPage"/>
    <w:rPr>
      <w:b w:val="0"/>
      <w:bCs w:val="0"/>
      <w:color w:val="4F81BD" w:themeColor="accent1"/>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CaptionChar"/>
    <w:link w:val="FooterSensitivity"/>
    <w:rPr>
      <w:b/>
      <w:bCs w:val="0"/>
      <w:color w:val="4F81BD" w:themeColor="accent1"/>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CaptionChar"/>
    <w:link w:val="HeaderCoverPage"/>
    <w:rPr>
      <w:b w:val="0"/>
      <w:bCs w:val="0"/>
      <w:color w:val="4F81BD" w:themeColor="accent1"/>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CaptionChar"/>
    <w:link w:val="HeaderSensitivity"/>
    <w:rPr>
      <w:b/>
      <w:bCs w:val="0"/>
      <w:color w:val="4F81BD" w:themeColor="accent1"/>
      <w:sz w:val="32"/>
      <w:szCs w:val="24"/>
    </w:rPr>
  </w:style>
  <w:style w:type="character" w:customStyle="1" w:styleId="WW8Num4z1">
    <w:name w:val="WW8Num4z1"/>
    <w:rPr>
      <w:rFonts w:ascii="Wingdings" w:hAnsi="Wingdings" w:cs="Symbol" w:hint="default"/>
    </w:rPr>
  </w:style>
  <w:style w:type="character" w:customStyle="1" w:styleId="footnotereference0">
    <w:name w:val="footnotereference"/>
    <w:basedOn w:val="DefaultParagraphFont"/>
    <w:rPr>
      <w:rFonts w:ascii="Times New Roman" w:hAnsi="Times New Roman" w:cs="Times New Roman" w:hint="default"/>
    </w:rPr>
  </w:style>
  <w:style w:type="paragraph" w:customStyle="1" w:styleId="SecurityMarking">
    <w:name w:val="SecurityMarking"/>
    <w:basedOn w:val="Normal"/>
    <w:pPr>
      <w:spacing w:line="276" w:lineRule="auto"/>
      <w:ind w:left="5103"/>
    </w:pPr>
    <w:rPr>
      <w:rFonts w:eastAsiaTheme="minorHAnsi"/>
      <w:sz w:val="28"/>
      <w:szCs w:val="22"/>
      <w:lang w:eastAsia="en-US"/>
    </w:rPr>
  </w:style>
  <w:style w:type="paragraph" w:customStyle="1" w:styleId="DateMarking">
    <w:name w:val="DateMarking"/>
    <w:basedOn w:val="Normal"/>
    <w:pPr>
      <w:spacing w:line="276" w:lineRule="auto"/>
      <w:ind w:left="5103"/>
    </w:pPr>
    <w:rPr>
      <w:rFonts w:eastAsiaTheme="minorHAnsi"/>
      <w:i/>
      <w:sz w:val="28"/>
      <w:szCs w:val="22"/>
      <w:lang w:eastAsia="en-US"/>
    </w:rPr>
  </w:style>
  <w:style w:type="paragraph" w:customStyle="1" w:styleId="ReleasableTo">
    <w:name w:val="ReleasableTo"/>
    <w:basedOn w:val="Normal"/>
    <w:pPr>
      <w:spacing w:line="276" w:lineRule="auto"/>
      <w:ind w:left="5103"/>
    </w:pPr>
    <w:rPr>
      <w:rFonts w:eastAsiaTheme="minorHAnsi"/>
      <w:i/>
      <w:sz w:val="28"/>
      <w:szCs w:val="22"/>
      <w:lang w:eastAsia="en-US"/>
    </w:rPr>
  </w:style>
  <w:style w:type="paragraph" w:customStyle="1" w:styleId="HeaderSensitivityRight">
    <w:name w:val="Header Sensitivity Right"/>
    <w:basedOn w:val="Normal"/>
    <w:pPr>
      <w:spacing w:after="120"/>
      <w:jc w:val="right"/>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Text1"/>
    <w:link w:val="Heading1Char"/>
    <w:qFormat/>
    <w:pPr>
      <w:keepNext/>
      <w:tabs>
        <w:tab w:val="num" w:pos="480"/>
      </w:tabs>
      <w:spacing w:before="240" w:after="240"/>
      <w:ind w:left="480" w:hanging="480"/>
      <w:jc w:val="both"/>
      <w:outlineLvl w:val="0"/>
    </w:pPr>
    <w:rPr>
      <w:b/>
      <w:smallCaps/>
      <w:szCs w:val="20"/>
      <w:lang w:eastAsia="en-US"/>
    </w:rPr>
  </w:style>
  <w:style w:type="paragraph" w:styleId="Heading2">
    <w:name w:val="heading 2"/>
    <w:basedOn w:val="Normal"/>
    <w:next w:val="Normal"/>
    <w:link w:val="Heading2Char"/>
    <w:qFormat/>
    <w:pPr>
      <w:keepNext/>
      <w:tabs>
        <w:tab w:val="num" w:pos="1200"/>
      </w:tabs>
      <w:spacing w:after="240"/>
      <w:ind w:left="1200" w:hanging="720"/>
      <w:jc w:val="both"/>
      <w:outlineLvl w:val="1"/>
    </w:pPr>
    <w:rPr>
      <w:b/>
      <w:szCs w:val="20"/>
      <w:lang w:eastAsia="en-US"/>
    </w:rPr>
  </w:style>
  <w:style w:type="paragraph" w:styleId="Heading3">
    <w:name w:val="heading 3"/>
    <w:basedOn w:val="Normal"/>
    <w:next w:val="Normal"/>
    <w:qFormat/>
    <w:pPr>
      <w:keepNext/>
      <w:spacing w:before="240" w:after="60"/>
      <w:outlineLvl w:val="2"/>
    </w:pPr>
    <w:rPr>
      <w:rFonts w:ascii="Arial" w:hAnsi="Arial"/>
      <w:szCs w:val="20"/>
    </w:rPr>
  </w:style>
  <w:style w:type="paragraph" w:styleId="Heading4">
    <w:name w:val="heading 4"/>
    <w:basedOn w:val="Normal"/>
    <w:next w:val="Normal"/>
    <w:qFormat/>
    <w:pPr>
      <w:keepNext/>
      <w:tabs>
        <w:tab w:val="num" w:pos="1920"/>
      </w:tabs>
      <w:spacing w:after="240"/>
      <w:ind w:left="1920" w:hanging="720"/>
      <w:jc w:val="both"/>
      <w:outlineLvl w:val="3"/>
    </w:pPr>
    <w:rPr>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36"/>
        <w:tab w:val="right" w:pos="9072"/>
      </w:tabs>
    </w:pPr>
    <w:rPr>
      <w:szCs w:val="20"/>
    </w:rPr>
  </w:style>
  <w:style w:type="paragraph" w:styleId="Header">
    <w:name w:val="header"/>
    <w:basedOn w:val="Normal"/>
    <w:pPr>
      <w:tabs>
        <w:tab w:val="center" w:pos="4536"/>
        <w:tab w:val="right" w:pos="9072"/>
      </w:tabs>
    </w:pPr>
  </w:style>
  <w:style w:type="paragraph" w:styleId="BalloonText">
    <w:name w:val="Balloon Text"/>
    <w:basedOn w:val="Normal"/>
    <w:semiHidden/>
    <w:rPr>
      <w:rFonts w:ascii="Tahoma" w:hAnsi="Tahoma" w:cs="Tahoma"/>
      <w:sz w:val="16"/>
      <w:szCs w:val="16"/>
    </w:rPr>
  </w:style>
  <w:style w:type="paragraph" w:styleId="FootnoteText">
    <w:name w:val="footnote text"/>
    <w:aliases w:val="fn,footnote text,footnote text Char Char,Car,Footnote Text Char2 Char,Footnote Text Char Char Char1,Footnote Text Char1 Char Char Char,Footnote Text Char2 Char Char Char Char,Footnote Text Char1 Char1 Char Char Char Char,Car Car Ca"/>
    <w:basedOn w:val="Normal"/>
    <w:link w:val="FootnoteTextChar"/>
    <w:uiPriority w:val="99"/>
    <w:qFormat/>
    <w:rPr>
      <w:sz w:val="20"/>
      <w:szCs w:val="20"/>
    </w:rPr>
  </w:style>
  <w:style w:type="character" w:styleId="FootnoteReference">
    <w:name w:val="footnote reference"/>
    <w:aliases w:val="Footnote,Footnote number,Footnote symbol,Footnote Reference Number,Footnote reference number,Times 10 Point,Exposant 3 Point,Voetnootverwijzing,fr,o,Footnotemark,FR,Footnotemark1,Footnotemark2,FR1,Footnotemark3,FR2,Footnotemark4,FR3"/>
    <w:basedOn w:val="DefaultParagraphFont"/>
    <w:uiPriority w:val="99"/>
    <w:qFormat/>
    <w:rPr>
      <w:vertAlign w:val="superscript"/>
    </w:rPr>
  </w:style>
  <w:style w:type="paragraph" w:customStyle="1" w:styleId="ZCom">
    <w:name w:val="Z_Com"/>
    <w:basedOn w:val="Normal"/>
    <w:next w:val="ZDGName"/>
    <w:pPr>
      <w:widowControl w:val="0"/>
      <w:autoSpaceDE w:val="0"/>
      <w:autoSpaceDN w:val="0"/>
      <w:ind w:right="85"/>
      <w:jc w:val="both"/>
    </w:pPr>
    <w:rPr>
      <w:rFonts w:ascii="Arial" w:hAnsi="Arial" w:cs="Arial"/>
      <w:lang w:eastAsia="ko-KR"/>
    </w:rPr>
  </w:style>
  <w:style w:type="paragraph" w:customStyle="1" w:styleId="ZDGName">
    <w:name w:val="Z_DGName"/>
    <w:basedOn w:val="Normal"/>
    <w:pPr>
      <w:widowControl w:val="0"/>
      <w:autoSpaceDE w:val="0"/>
      <w:autoSpaceDN w:val="0"/>
      <w:ind w:right="85"/>
    </w:pPr>
    <w:rPr>
      <w:rFonts w:ascii="Arial" w:hAnsi="Arial" w:cs="Arial"/>
      <w:sz w:val="16"/>
      <w:szCs w:val="16"/>
      <w:lang w:eastAsia="ko-KR"/>
    </w:rPr>
  </w:style>
  <w:style w:type="paragraph" w:customStyle="1" w:styleId="NoteHead">
    <w:name w:val="NoteHead"/>
    <w:basedOn w:val="Normal"/>
    <w:next w:val="Normal"/>
    <w:pPr>
      <w:spacing w:before="720" w:after="720"/>
      <w:jc w:val="center"/>
    </w:pPr>
    <w:rPr>
      <w:b/>
      <w:smallCaps/>
      <w:szCs w:val="20"/>
      <w:lang w:eastAsia="en-US"/>
    </w:rPr>
  </w:style>
  <w:style w:type="paragraph" w:customStyle="1" w:styleId="Text3">
    <w:name w:val="Text 3"/>
    <w:basedOn w:val="Normal"/>
    <w:pPr>
      <w:spacing w:before="120" w:after="120"/>
      <w:ind w:left="851"/>
      <w:jc w:val="both"/>
    </w:pPr>
    <w:rPr>
      <w:szCs w:val="20"/>
      <w:lang w:eastAsia="fr-BE"/>
    </w:rPr>
  </w:style>
  <w:style w:type="paragraph" w:customStyle="1" w:styleId="Tiret0">
    <w:name w:val="Tiret 0"/>
    <w:basedOn w:val="Normal"/>
    <w:link w:val="Tiret0Char"/>
    <w:uiPriority w:val="99"/>
    <w:pPr>
      <w:numPr>
        <w:numId w:val="1"/>
      </w:numPr>
      <w:spacing w:before="120" w:after="120"/>
      <w:jc w:val="both"/>
    </w:pPr>
  </w:style>
  <w:style w:type="character" w:customStyle="1" w:styleId="Tiret0Char">
    <w:name w:val="Tiret 0 Char"/>
    <w:basedOn w:val="DefaultParagraphFont"/>
    <w:link w:val="Tiret0"/>
    <w:rPr>
      <w:sz w:val="24"/>
      <w:szCs w:val="24"/>
    </w:rPr>
  </w:style>
  <w:style w:type="character" w:styleId="PageNumber">
    <w:name w:val="page number"/>
    <w:basedOn w:val="DefaultParagraphFont"/>
  </w:style>
  <w:style w:type="paragraph" w:customStyle="1" w:styleId="Text1">
    <w:name w:val="Text 1"/>
    <w:basedOn w:val="Normal"/>
    <w:link w:val="Text1Char"/>
    <w:pPr>
      <w:spacing w:after="240"/>
      <w:ind w:left="482"/>
      <w:jc w:val="both"/>
    </w:pPr>
    <w:rPr>
      <w:szCs w:val="20"/>
      <w:lang w:eastAsia="en-US"/>
    </w:rPr>
  </w:style>
  <w:style w:type="paragraph" w:customStyle="1" w:styleId="Text2">
    <w:name w:val="Text 2"/>
    <w:basedOn w:val="Normal"/>
    <w:pPr>
      <w:tabs>
        <w:tab w:val="left" w:pos="2160"/>
      </w:tabs>
      <w:spacing w:after="240"/>
      <w:ind w:left="1077"/>
      <w:jc w:val="both"/>
    </w:pPr>
    <w:rPr>
      <w:szCs w:val="20"/>
      <w:lang w:eastAsia="en-US"/>
    </w:rPr>
  </w:style>
  <w:style w:type="paragraph" w:styleId="ListBullet2">
    <w:name w:val="List Bullet 2"/>
    <w:basedOn w:val="Text2"/>
    <w:pPr>
      <w:numPr>
        <w:numId w:val="3"/>
      </w:numPr>
      <w:tabs>
        <w:tab w:val="clear" w:pos="2160"/>
      </w:tabs>
    </w:pPr>
  </w:style>
  <w:style w:type="table" w:styleId="TableGrid">
    <w:name w:val="Table Grid"/>
    <w:basedOn w:val="TableNormal"/>
    <w:uiPriority w:val="59"/>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ject">
    <w:name w:val="Subject"/>
    <w:basedOn w:val="Normal"/>
    <w:next w:val="Normal"/>
    <w:pPr>
      <w:spacing w:after="480"/>
      <w:ind w:left="1191" w:hanging="1191"/>
    </w:pPr>
    <w:rPr>
      <w:b/>
      <w:szCs w:val="20"/>
      <w:lang w:eastAsia="en-US"/>
    </w:rPr>
  </w:style>
  <w:style w:type="character" w:customStyle="1" w:styleId="Text1Char">
    <w:name w:val="Text 1 Char"/>
    <w:basedOn w:val="DefaultParagraphFont"/>
    <w:link w:val="Text1"/>
    <w:rPr>
      <w:sz w:val="24"/>
      <w:lang w:val="pl-PL" w:eastAsia="en-US" w:bidi="ar-SA"/>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Heading1Char">
    <w:name w:val="Heading 1 Char"/>
    <w:basedOn w:val="DefaultParagraphFont"/>
    <w:link w:val="Heading1"/>
    <w:rPr>
      <w:b/>
      <w:smallCaps/>
      <w:sz w:val="24"/>
      <w:lang w:eastAsia="en-US"/>
    </w:rPr>
  </w:style>
  <w:style w:type="character" w:customStyle="1" w:styleId="Heading2Char">
    <w:name w:val="Heading 2 Char"/>
    <w:basedOn w:val="DefaultParagraphFont"/>
    <w:link w:val="Heading2"/>
    <w:rPr>
      <w:b/>
      <w:sz w:val="24"/>
      <w:lang w:eastAsia="en-US"/>
    </w:rPr>
  </w:style>
  <w:style w:type="character" w:customStyle="1" w:styleId="FootnoteTextChar">
    <w:name w:val="Footnote Text Char"/>
    <w:aliases w:val="fn Char,footnote text Char,footnote text Char Char Char,Car Char,Footnote Text Char2 Char Char,Footnote Text Char Char Char1 Char,Footnote Text Char1 Char Char Char Char,Footnote Text Char2 Char Char Char Char Char,Car Car Ca Char"/>
    <w:basedOn w:val="DefaultParagraphFont"/>
    <w:link w:val="FootnoteText"/>
    <w:uiPriority w:val="99"/>
  </w:style>
  <w:style w:type="paragraph" w:styleId="Revision">
    <w:name w:val="Revision"/>
    <w:hidden/>
    <w:uiPriority w:val="99"/>
    <w:semiHidden/>
    <w:rPr>
      <w:sz w:val="24"/>
      <w:szCs w:val="24"/>
    </w:rPr>
  </w:style>
  <w:style w:type="paragraph" w:styleId="ListParagraph">
    <w:name w:val="List Paragraph"/>
    <w:basedOn w:val="Normal"/>
    <w:uiPriority w:val="34"/>
    <w:qFormat/>
    <w:pPr>
      <w:ind w:left="720"/>
    </w:pPr>
    <w:rPr>
      <w:rFonts w:ascii="Calibri" w:hAnsi="Calibri"/>
      <w:sz w:val="22"/>
      <w:szCs w:val="22"/>
      <w:lang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FooterChar">
    <w:name w:val="Footer Char"/>
    <w:basedOn w:val="DefaultParagraphFont"/>
    <w:link w:val="Footer"/>
    <w:uiPriority w:val="99"/>
    <w:rPr>
      <w:sz w:val="24"/>
      <w:lang w:val="pl-PL"/>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styleId="Caption">
    <w:name w:val="caption"/>
    <w:basedOn w:val="Normal"/>
    <w:next w:val="Normal"/>
    <w:link w:val="CaptionChar"/>
    <w:unhideWhenUsed/>
    <w:qFormat/>
    <w:pPr>
      <w:spacing w:after="200"/>
    </w:pPr>
    <w:rPr>
      <w:b/>
      <w:bCs/>
      <w:color w:val="4F81BD" w:themeColor="accent1"/>
      <w:sz w:val="18"/>
      <w:szCs w:val="18"/>
    </w:rPr>
  </w:style>
  <w:style w:type="character" w:styleId="Strong">
    <w:name w:val="Strong"/>
    <w:basedOn w:val="DefaultParagraphFont"/>
    <w:uiPriority w:val="22"/>
    <w:qFormat/>
    <w:rPr>
      <w:b/>
      <w:bCs/>
    </w:rPr>
  </w:style>
  <w:style w:type="paragraph" w:styleId="TOCHeading">
    <w:name w:val="TOC Heading"/>
    <w:basedOn w:val="Heading1"/>
    <w:next w:val="Normal"/>
    <w:uiPriority w:val="39"/>
    <w:unhideWhenUsed/>
    <w:qFormat/>
    <w:pPr>
      <w:keepLines/>
      <w:tabs>
        <w:tab w:val="clear" w:pos="480"/>
      </w:tabs>
      <w:spacing w:before="480" w:after="0" w:line="276" w:lineRule="auto"/>
      <w:ind w:left="0" w:firstLine="0"/>
      <w:jc w:val="left"/>
      <w:outlineLvl w:val="9"/>
    </w:pPr>
    <w:rPr>
      <w:rFonts w:asciiTheme="majorHAnsi" w:eastAsiaTheme="majorEastAsia" w:hAnsiTheme="majorHAnsi" w:cstheme="majorBidi"/>
      <w:bCs/>
      <w:smallCaps w:val="0"/>
      <w:color w:val="365F91" w:themeColor="accent1" w:themeShade="BF"/>
      <w:sz w:val="28"/>
      <w:szCs w:val="28"/>
      <w:lang w:eastAsia="ja-JP"/>
    </w:rPr>
  </w:style>
  <w:style w:type="paragraph" w:styleId="TOC1">
    <w:name w:val="toc 1"/>
    <w:basedOn w:val="Normal"/>
    <w:next w:val="Normal"/>
    <w:autoRedefine/>
    <w:uiPriority w:val="39"/>
    <w:qFormat/>
    <w:pPr>
      <w:spacing w:after="100"/>
    </w:pPr>
  </w:style>
  <w:style w:type="paragraph" w:styleId="TOC2">
    <w:name w:val="toc 2"/>
    <w:basedOn w:val="Normal"/>
    <w:next w:val="Normal"/>
    <w:autoRedefine/>
    <w:uiPriority w:val="39"/>
    <w:qFormat/>
    <w:pPr>
      <w:spacing w:after="100"/>
      <w:ind w:left="240"/>
    </w:pPr>
  </w:style>
  <w:style w:type="character" w:styleId="Hyperlink">
    <w:name w:val="Hyperlink"/>
    <w:basedOn w:val="DefaultParagraphFont"/>
    <w:uiPriority w:val="99"/>
    <w:unhideWhenUsed/>
    <w:rPr>
      <w:color w:val="0000FF" w:themeColor="hyperlink"/>
      <w:u w:val="single"/>
    </w:rPr>
  </w:style>
  <w:style w:type="paragraph" w:styleId="TOC3">
    <w:name w:val="toc 3"/>
    <w:basedOn w:val="Normal"/>
    <w:next w:val="Normal"/>
    <w:autoRedefine/>
    <w:uiPriority w:val="39"/>
    <w:unhideWhenUsed/>
    <w:qFormat/>
    <w:pPr>
      <w:spacing w:after="100" w:line="276" w:lineRule="auto"/>
      <w:ind w:left="440"/>
    </w:pPr>
    <w:rPr>
      <w:rFonts w:asciiTheme="minorHAnsi" w:eastAsiaTheme="minorEastAsia" w:hAnsiTheme="minorHAnsi" w:cstheme="minorBidi"/>
      <w:sz w:val="22"/>
      <w:szCs w:val="22"/>
      <w:lang w:eastAsia="ja-JP"/>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CaptionChar">
    <w:name w:val="Caption Char"/>
    <w:basedOn w:val="DefaultParagraphFont"/>
    <w:link w:val="Caption"/>
    <w:rPr>
      <w:b/>
      <w:bCs/>
      <w:color w:val="4F81BD" w:themeColor="accent1"/>
      <w:sz w:val="18"/>
      <w:szCs w:val="18"/>
    </w:rPr>
  </w:style>
  <w:style w:type="character" w:customStyle="1" w:styleId="FooterCoverPageChar">
    <w:name w:val="Footer Cover Page Char"/>
    <w:basedOn w:val="CaptionChar"/>
    <w:link w:val="FooterCoverPage"/>
    <w:rPr>
      <w:b w:val="0"/>
      <w:bCs w:val="0"/>
      <w:color w:val="4F81BD" w:themeColor="accent1"/>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CaptionChar"/>
    <w:link w:val="FooterSensitivity"/>
    <w:rPr>
      <w:b/>
      <w:bCs w:val="0"/>
      <w:color w:val="4F81BD" w:themeColor="accent1"/>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CaptionChar"/>
    <w:link w:val="HeaderCoverPage"/>
    <w:rPr>
      <w:b w:val="0"/>
      <w:bCs w:val="0"/>
      <w:color w:val="4F81BD" w:themeColor="accent1"/>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CaptionChar"/>
    <w:link w:val="HeaderSensitivity"/>
    <w:rPr>
      <w:b/>
      <w:bCs w:val="0"/>
      <w:color w:val="4F81BD" w:themeColor="accent1"/>
      <w:sz w:val="32"/>
      <w:szCs w:val="24"/>
    </w:rPr>
  </w:style>
  <w:style w:type="character" w:customStyle="1" w:styleId="WW8Num4z1">
    <w:name w:val="WW8Num4z1"/>
    <w:rPr>
      <w:rFonts w:ascii="Wingdings" w:hAnsi="Wingdings" w:cs="Symbol" w:hint="default"/>
    </w:rPr>
  </w:style>
  <w:style w:type="character" w:customStyle="1" w:styleId="footnotereference0">
    <w:name w:val="footnotereference"/>
    <w:basedOn w:val="DefaultParagraphFont"/>
    <w:rPr>
      <w:rFonts w:ascii="Times New Roman" w:hAnsi="Times New Roman" w:cs="Times New Roman" w:hint="default"/>
    </w:rPr>
  </w:style>
  <w:style w:type="paragraph" w:customStyle="1" w:styleId="SecurityMarking">
    <w:name w:val="SecurityMarking"/>
    <w:basedOn w:val="Normal"/>
    <w:pPr>
      <w:spacing w:line="276" w:lineRule="auto"/>
      <w:ind w:left="5103"/>
    </w:pPr>
    <w:rPr>
      <w:rFonts w:eastAsiaTheme="minorHAnsi"/>
      <w:sz w:val="28"/>
      <w:szCs w:val="22"/>
      <w:lang w:eastAsia="en-US"/>
    </w:rPr>
  </w:style>
  <w:style w:type="paragraph" w:customStyle="1" w:styleId="DateMarking">
    <w:name w:val="DateMarking"/>
    <w:basedOn w:val="Normal"/>
    <w:pPr>
      <w:spacing w:line="276" w:lineRule="auto"/>
      <w:ind w:left="5103"/>
    </w:pPr>
    <w:rPr>
      <w:rFonts w:eastAsiaTheme="minorHAnsi"/>
      <w:i/>
      <w:sz w:val="28"/>
      <w:szCs w:val="22"/>
      <w:lang w:eastAsia="en-US"/>
    </w:rPr>
  </w:style>
  <w:style w:type="paragraph" w:customStyle="1" w:styleId="ReleasableTo">
    <w:name w:val="ReleasableTo"/>
    <w:basedOn w:val="Normal"/>
    <w:pPr>
      <w:spacing w:line="276" w:lineRule="auto"/>
      <w:ind w:left="5103"/>
    </w:pPr>
    <w:rPr>
      <w:rFonts w:eastAsiaTheme="minorHAnsi"/>
      <w:i/>
      <w:sz w:val="28"/>
      <w:szCs w:val="22"/>
      <w:lang w:eastAsia="en-US"/>
    </w:rPr>
  </w:style>
  <w:style w:type="paragraph" w:customStyle="1" w:styleId="HeaderSensitivityRight">
    <w:name w:val="Header Sensitivity Right"/>
    <w:basedOn w:val="Normal"/>
    <w:pPr>
      <w:spacing w:after="120"/>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6312">
      <w:bodyDiv w:val="1"/>
      <w:marLeft w:val="0"/>
      <w:marRight w:val="0"/>
      <w:marTop w:val="0"/>
      <w:marBottom w:val="0"/>
      <w:divBdr>
        <w:top w:val="none" w:sz="0" w:space="0" w:color="auto"/>
        <w:left w:val="none" w:sz="0" w:space="0" w:color="auto"/>
        <w:bottom w:val="none" w:sz="0" w:space="0" w:color="auto"/>
        <w:right w:val="none" w:sz="0" w:space="0" w:color="auto"/>
      </w:divBdr>
    </w:div>
    <w:div w:id="50464669">
      <w:bodyDiv w:val="1"/>
      <w:marLeft w:val="0"/>
      <w:marRight w:val="0"/>
      <w:marTop w:val="0"/>
      <w:marBottom w:val="0"/>
      <w:divBdr>
        <w:top w:val="none" w:sz="0" w:space="0" w:color="auto"/>
        <w:left w:val="none" w:sz="0" w:space="0" w:color="auto"/>
        <w:bottom w:val="none" w:sz="0" w:space="0" w:color="auto"/>
        <w:right w:val="none" w:sz="0" w:space="0" w:color="auto"/>
      </w:divBdr>
    </w:div>
    <w:div w:id="69893873">
      <w:bodyDiv w:val="1"/>
      <w:marLeft w:val="0"/>
      <w:marRight w:val="0"/>
      <w:marTop w:val="0"/>
      <w:marBottom w:val="0"/>
      <w:divBdr>
        <w:top w:val="none" w:sz="0" w:space="0" w:color="auto"/>
        <w:left w:val="none" w:sz="0" w:space="0" w:color="auto"/>
        <w:bottom w:val="none" w:sz="0" w:space="0" w:color="auto"/>
        <w:right w:val="none" w:sz="0" w:space="0" w:color="auto"/>
      </w:divBdr>
    </w:div>
    <w:div w:id="124977635">
      <w:bodyDiv w:val="1"/>
      <w:marLeft w:val="0"/>
      <w:marRight w:val="0"/>
      <w:marTop w:val="0"/>
      <w:marBottom w:val="0"/>
      <w:divBdr>
        <w:top w:val="none" w:sz="0" w:space="0" w:color="auto"/>
        <w:left w:val="none" w:sz="0" w:space="0" w:color="auto"/>
        <w:bottom w:val="none" w:sz="0" w:space="0" w:color="auto"/>
        <w:right w:val="none" w:sz="0" w:space="0" w:color="auto"/>
      </w:divBdr>
    </w:div>
    <w:div w:id="168714907">
      <w:bodyDiv w:val="1"/>
      <w:marLeft w:val="0"/>
      <w:marRight w:val="0"/>
      <w:marTop w:val="0"/>
      <w:marBottom w:val="0"/>
      <w:divBdr>
        <w:top w:val="none" w:sz="0" w:space="0" w:color="auto"/>
        <w:left w:val="none" w:sz="0" w:space="0" w:color="auto"/>
        <w:bottom w:val="none" w:sz="0" w:space="0" w:color="auto"/>
        <w:right w:val="none" w:sz="0" w:space="0" w:color="auto"/>
      </w:divBdr>
    </w:div>
    <w:div w:id="236675874">
      <w:bodyDiv w:val="1"/>
      <w:marLeft w:val="0"/>
      <w:marRight w:val="0"/>
      <w:marTop w:val="0"/>
      <w:marBottom w:val="0"/>
      <w:divBdr>
        <w:top w:val="none" w:sz="0" w:space="0" w:color="auto"/>
        <w:left w:val="none" w:sz="0" w:space="0" w:color="auto"/>
        <w:bottom w:val="none" w:sz="0" w:space="0" w:color="auto"/>
        <w:right w:val="none" w:sz="0" w:space="0" w:color="auto"/>
      </w:divBdr>
    </w:div>
    <w:div w:id="353387099">
      <w:bodyDiv w:val="1"/>
      <w:marLeft w:val="0"/>
      <w:marRight w:val="0"/>
      <w:marTop w:val="0"/>
      <w:marBottom w:val="0"/>
      <w:divBdr>
        <w:top w:val="none" w:sz="0" w:space="0" w:color="auto"/>
        <w:left w:val="none" w:sz="0" w:space="0" w:color="auto"/>
        <w:bottom w:val="none" w:sz="0" w:space="0" w:color="auto"/>
        <w:right w:val="none" w:sz="0" w:space="0" w:color="auto"/>
      </w:divBdr>
    </w:div>
    <w:div w:id="406146174">
      <w:bodyDiv w:val="1"/>
      <w:marLeft w:val="0"/>
      <w:marRight w:val="0"/>
      <w:marTop w:val="0"/>
      <w:marBottom w:val="0"/>
      <w:divBdr>
        <w:top w:val="none" w:sz="0" w:space="0" w:color="auto"/>
        <w:left w:val="none" w:sz="0" w:space="0" w:color="auto"/>
        <w:bottom w:val="none" w:sz="0" w:space="0" w:color="auto"/>
        <w:right w:val="none" w:sz="0" w:space="0" w:color="auto"/>
      </w:divBdr>
    </w:div>
    <w:div w:id="430708809">
      <w:bodyDiv w:val="1"/>
      <w:marLeft w:val="0"/>
      <w:marRight w:val="0"/>
      <w:marTop w:val="0"/>
      <w:marBottom w:val="0"/>
      <w:divBdr>
        <w:top w:val="none" w:sz="0" w:space="0" w:color="auto"/>
        <w:left w:val="none" w:sz="0" w:space="0" w:color="auto"/>
        <w:bottom w:val="none" w:sz="0" w:space="0" w:color="auto"/>
        <w:right w:val="none" w:sz="0" w:space="0" w:color="auto"/>
      </w:divBdr>
    </w:div>
    <w:div w:id="472019001">
      <w:bodyDiv w:val="1"/>
      <w:marLeft w:val="0"/>
      <w:marRight w:val="0"/>
      <w:marTop w:val="0"/>
      <w:marBottom w:val="0"/>
      <w:divBdr>
        <w:top w:val="none" w:sz="0" w:space="0" w:color="auto"/>
        <w:left w:val="none" w:sz="0" w:space="0" w:color="auto"/>
        <w:bottom w:val="none" w:sz="0" w:space="0" w:color="auto"/>
        <w:right w:val="none" w:sz="0" w:space="0" w:color="auto"/>
      </w:divBdr>
    </w:div>
    <w:div w:id="585460266">
      <w:bodyDiv w:val="1"/>
      <w:marLeft w:val="0"/>
      <w:marRight w:val="0"/>
      <w:marTop w:val="0"/>
      <w:marBottom w:val="0"/>
      <w:divBdr>
        <w:top w:val="none" w:sz="0" w:space="0" w:color="auto"/>
        <w:left w:val="none" w:sz="0" w:space="0" w:color="auto"/>
        <w:bottom w:val="none" w:sz="0" w:space="0" w:color="auto"/>
        <w:right w:val="none" w:sz="0" w:space="0" w:color="auto"/>
      </w:divBdr>
    </w:div>
    <w:div w:id="622687901">
      <w:bodyDiv w:val="1"/>
      <w:marLeft w:val="0"/>
      <w:marRight w:val="0"/>
      <w:marTop w:val="0"/>
      <w:marBottom w:val="0"/>
      <w:divBdr>
        <w:top w:val="none" w:sz="0" w:space="0" w:color="auto"/>
        <w:left w:val="none" w:sz="0" w:space="0" w:color="auto"/>
        <w:bottom w:val="none" w:sz="0" w:space="0" w:color="auto"/>
        <w:right w:val="none" w:sz="0" w:space="0" w:color="auto"/>
      </w:divBdr>
    </w:div>
    <w:div w:id="624040646">
      <w:bodyDiv w:val="1"/>
      <w:marLeft w:val="0"/>
      <w:marRight w:val="0"/>
      <w:marTop w:val="0"/>
      <w:marBottom w:val="0"/>
      <w:divBdr>
        <w:top w:val="none" w:sz="0" w:space="0" w:color="auto"/>
        <w:left w:val="none" w:sz="0" w:space="0" w:color="auto"/>
        <w:bottom w:val="none" w:sz="0" w:space="0" w:color="auto"/>
        <w:right w:val="none" w:sz="0" w:space="0" w:color="auto"/>
      </w:divBdr>
    </w:div>
    <w:div w:id="630672173">
      <w:bodyDiv w:val="1"/>
      <w:marLeft w:val="0"/>
      <w:marRight w:val="0"/>
      <w:marTop w:val="0"/>
      <w:marBottom w:val="0"/>
      <w:divBdr>
        <w:top w:val="none" w:sz="0" w:space="0" w:color="auto"/>
        <w:left w:val="none" w:sz="0" w:space="0" w:color="auto"/>
        <w:bottom w:val="none" w:sz="0" w:space="0" w:color="auto"/>
        <w:right w:val="none" w:sz="0" w:space="0" w:color="auto"/>
      </w:divBdr>
    </w:div>
    <w:div w:id="667103096">
      <w:bodyDiv w:val="1"/>
      <w:marLeft w:val="0"/>
      <w:marRight w:val="0"/>
      <w:marTop w:val="0"/>
      <w:marBottom w:val="0"/>
      <w:divBdr>
        <w:top w:val="none" w:sz="0" w:space="0" w:color="auto"/>
        <w:left w:val="none" w:sz="0" w:space="0" w:color="auto"/>
        <w:bottom w:val="none" w:sz="0" w:space="0" w:color="auto"/>
        <w:right w:val="none" w:sz="0" w:space="0" w:color="auto"/>
      </w:divBdr>
    </w:div>
    <w:div w:id="715662890">
      <w:bodyDiv w:val="1"/>
      <w:marLeft w:val="0"/>
      <w:marRight w:val="0"/>
      <w:marTop w:val="0"/>
      <w:marBottom w:val="0"/>
      <w:divBdr>
        <w:top w:val="none" w:sz="0" w:space="0" w:color="auto"/>
        <w:left w:val="none" w:sz="0" w:space="0" w:color="auto"/>
        <w:bottom w:val="none" w:sz="0" w:space="0" w:color="auto"/>
        <w:right w:val="none" w:sz="0" w:space="0" w:color="auto"/>
      </w:divBdr>
    </w:div>
    <w:div w:id="725570813">
      <w:bodyDiv w:val="1"/>
      <w:marLeft w:val="0"/>
      <w:marRight w:val="0"/>
      <w:marTop w:val="0"/>
      <w:marBottom w:val="0"/>
      <w:divBdr>
        <w:top w:val="none" w:sz="0" w:space="0" w:color="auto"/>
        <w:left w:val="none" w:sz="0" w:space="0" w:color="auto"/>
        <w:bottom w:val="none" w:sz="0" w:space="0" w:color="auto"/>
        <w:right w:val="none" w:sz="0" w:space="0" w:color="auto"/>
      </w:divBdr>
    </w:div>
    <w:div w:id="792291661">
      <w:bodyDiv w:val="1"/>
      <w:marLeft w:val="0"/>
      <w:marRight w:val="0"/>
      <w:marTop w:val="0"/>
      <w:marBottom w:val="0"/>
      <w:divBdr>
        <w:top w:val="none" w:sz="0" w:space="0" w:color="auto"/>
        <w:left w:val="none" w:sz="0" w:space="0" w:color="auto"/>
        <w:bottom w:val="none" w:sz="0" w:space="0" w:color="auto"/>
        <w:right w:val="none" w:sz="0" w:space="0" w:color="auto"/>
      </w:divBdr>
    </w:div>
    <w:div w:id="819732435">
      <w:bodyDiv w:val="1"/>
      <w:marLeft w:val="0"/>
      <w:marRight w:val="0"/>
      <w:marTop w:val="0"/>
      <w:marBottom w:val="0"/>
      <w:divBdr>
        <w:top w:val="none" w:sz="0" w:space="0" w:color="auto"/>
        <w:left w:val="none" w:sz="0" w:space="0" w:color="auto"/>
        <w:bottom w:val="none" w:sz="0" w:space="0" w:color="auto"/>
        <w:right w:val="none" w:sz="0" w:space="0" w:color="auto"/>
      </w:divBdr>
    </w:div>
    <w:div w:id="820000942">
      <w:bodyDiv w:val="1"/>
      <w:marLeft w:val="0"/>
      <w:marRight w:val="0"/>
      <w:marTop w:val="0"/>
      <w:marBottom w:val="0"/>
      <w:divBdr>
        <w:top w:val="none" w:sz="0" w:space="0" w:color="auto"/>
        <w:left w:val="none" w:sz="0" w:space="0" w:color="auto"/>
        <w:bottom w:val="none" w:sz="0" w:space="0" w:color="auto"/>
        <w:right w:val="none" w:sz="0" w:space="0" w:color="auto"/>
      </w:divBdr>
    </w:div>
    <w:div w:id="830294736">
      <w:bodyDiv w:val="1"/>
      <w:marLeft w:val="0"/>
      <w:marRight w:val="0"/>
      <w:marTop w:val="0"/>
      <w:marBottom w:val="0"/>
      <w:divBdr>
        <w:top w:val="none" w:sz="0" w:space="0" w:color="auto"/>
        <w:left w:val="none" w:sz="0" w:space="0" w:color="auto"/>
        <w:bottom w:val="none" w:sz="0" w:space="0" w:color="auto"/>
        <w:right w:val="none" w:sz="0" w:space="0" w:color="auto"/>
      </w:divBdr>
    </w:div>
    <w:div w:id="854731241">
      <w:bodyDiv w:val="1"/>
      <w:marLeft w:val="0"/>
      <w:marRight w:val="0"/>
      <w:marTop w:val="0"/>
      <w:marBottom w:val="0"/>
      <w:divBdr>
        <w:top w:val="none" w:sz="0" w:space="0" w:color="auto"/>
        <w:left w:val="none" w:sz="0" w:space="0" w:color="auto"/>
        <w:bottom w:val="none" w:sz="0" w:space="0" w:color="auto"/>
        <w:right w:val="none" w:sz="0" w:space="0" w:color="auto"/>
      </w:divBdr>
    </w:div>
    <w:div w:id="867137089">
      <w:bodyDiv w:val="1"/>
      <w:marLeft w:val="0"/>
      <w:marRight w:val="0"/>
      <w:marTop w:val="0"/>
      <w:marBottom w:val="0"/>
      <w:divBdr>
        <w:top w:val="none" w:sz="0" w:space="0" w:color="auto"/>
        <w:left w:val="none" w:sz="0" w:space="0" w:color="auto"/>
        <w:bottom w:val="none" w:sz="0" w:space="0" w:color="auto"/>
        <w:right w:val="none" w:sz="0" w:space="0" w:color="auto"/>
      </w:divBdr>
    </w:div>
    <w:div w:id="884566238">
      <w:bodyDiv w:val="1"/>
      <w:marLeft w:val="0"/>
      <w:marRight w:val="0"/>
      <w:marTop w:val="0"/>
      <w:marBottom w:val="0"/>
      <w:divBdr>
        <w:top w:val="none" w:sz="0" w:space="0" w:color="auto"/>
        <w:left w:val="none" w:sz="0" w:space="0" w:color="auto"/>
        <w:bottom w:val="none" w:sz="0" w:space="0" w:color="auto"/>
        <w:right w:val="none" w:sz="0" w:space="0" w:color="auto"/>
      </w:divBdr>
    </w:div>
    <w:div w:id="1009984523">
      <w:bodyDiv w:val="1"/>
      <w:marLeft w:val="0"/>
      <w:marRight w:val="0"/>
      <w:marTop w:val="0"/>
      <w:marBottom w:val="0"/>
      <w:divBdr>
        <w:top w:val="none" w:sz="0" w:space="0" w:color="auto"/>
        <w:left w:val="none" w:sz="0" w:space="0" w:color="auto"/>
        <w:bottom w:val="none" w:sz="0" w:space="0" w:color="auto"/>
        <w:right w:val="none" w:sz="0" w:space="0" w:color="auto"/>
      </w:divBdr>
    </w:div>
    <w:div w:id="1012879705">
      <w:bodyDiv w:val="1"/>
      <w:marLeft w:val="0"/>
      <w:marRight w:val="0"/>
      <w:marTop w:val="0"/>
      <w:marBottom w:val="0"/>
      <w:divBdr>
        <w:top w:val="none" w:sz="0" w:space="0" w:color="auto"/>
        <w:left w:val="none" w:sz="0" w:space="0" w:color="auto"/>
        <w:bottom w:val="none" w:sz="0" w:space="0" w:color="auto"/>
        <w:right w:val="none" w:sz="0" w:space="0" w:color="auto"/>
      </w:divBdr>
    </w:div>
    <w:div w:id="1047219610">
      <w:bodyDiv w:val="1"/>
      <w:marLeft w:val="0"/>
      <w:marRight w:val="0"/>
      <w:marTop w:val="0"/>
      <w:marBottom w:val="0"/>
      <w:divBdr>
        <w:top w:val="none" w:sz="0" w:space="0" w:color="auto"/>
        <w:left w:val="none" w:sz="0" w:space="0" w:color="auto"/>
        <w:bottom w:val="none" w:sz="0" w:space="0" w:color="auto"/>
        <w:right w:val="none" w:sz="0" w:space="0" w:color="auto"/>
      </w:divBdr>
    </w:div>
    <w:div w:id="1082143029">
      <w:bodyDiv w:val="1"/>
      <w:marLeft w:val="0"/>
      <w:marRight w:val="0"/>
      <w:marTop w:val="0"/>
      <w:marBottom w:val="0"/>
      <w:divBdr>
        <w:top w:val="none" w:sz="0" w:space="0" w:color="auto"/>
        <w:left w:val="none" w:sz="0" w:space="0" w:color="auto"/>
        <w:bottom w:val="none" w:sz="0" w:space="0" w:color="auto"/>
        <w:right w:val="none" w:sz="0" w:space="0" w:color="auto"/>
      </w:divBdr>
    </w:div>
    <w:div w:id="1172601851">
      <w:bodyDiv w:val="1"/>
      <w:marLeft w:val="0"/>
      <w:marRight w:val="0"/>
      <w:marTop w:val="0"/>
      <w:marBottom w:val="0"/>
      <w:divBdr>
        <w:top w:val="none" w:sz="0" w:space="0" w:color="auto"/>
        <w:left w:val="none" w:sz="0" w:space="0" w:color="auto"/>
        <w:bottom w:val="none" w:sz="0" w:space="0" w:color="auto"/>
        <w:right w:val="none" w:sz="0" w:space="0" w:color="auto"/>
      </w:divBdr>
    </w:div>
    <w:div w:id="1180923783">
      <w:bodyDiv w:val="1"/>
      <w:marLeft w:val="0"/>
      <w:marRight w:val="0"/>
      <w:marTop w:val="0"/>
      <w:marBottom w:val="0"/>
      <w:divBdr>
        <w:top w:val="none" w:sz="0" w:space="0" w:color="auto"/>
        <w:left w:val="none" w:sz="0" w:space="0" w:color="auto"/>
        <w:bottom w:val="none" w:sz="0" w:space="0" w:color="auto"/>
        <w:right w:val="none" w:sz="0" w:space="0" w:color="auto"/>
      </w:divBdr>
    </w:div>
    <w:div w:id="1216624823">
      <w:bodyDiv w:val="1"/>
      <w:marLeft w:val="0"/>
      <w:marRight w:val="0"/>
      <w:marTop w:val="0"/>
      <w:marBottom w:val="0"/>
      <w:divBdr>
        <w:top w:val="none" w:sz="0" w:space="0" w:color="auto"/>
        <w:left w:val="none" w:sz="0" w:space="0" w:color="auto"/>
        <w:bottom w:val="none" w:sz="0" w:space="0" w:color="auto"/>
        <w:right w:val="none" w:sz="0" w:space="0" w:color="auto"/>
      </w:divBdr>
    </w:div>
    <w:div w:id="1249847079">
      <w:bodyDiv w:val="1"/>
      <w:marLeft w:val="0"/>
      <w:marRight w:val="0"/>
      <w:marTop w:val="0"/>
      <w:marBottom w:val="0"/>
      <w:divBdr>
        <w:top w:val="none" w:sz="0" w:space="0" w:color="auto"/>
        <w:left w:val="none" w:sz="0" w:space="0" w:color="auto"/>
        <w:bottom w:val="none" w:sz="0" w:space="0" w:color="auto"/>
        <w:right w:val="none" w:sz="0" w:space="0" w:color="auto"/>
      </w:divBdr>
    </w:div>
    <w:div w:id="1279408014">
      <w:bodyDiv w:val="1"/>
      <w:marLeft w:val="0"/>
      <w:marRight w:val="0"/>
      <w:marTop w:val="0"/>
      <w:marBottom w:val="0"/>
      <w:divBdr>
        <w:top w:val="none" w:sz="0" w:space="0" w:color="auto"/>
        <w:left w:val="none" w:sz="0" w:space="0" w:color="auto"/>
        <w:bottom w:val="none" w:sz="0" w:space="0" w:color="auto"/>
        <w:right w:val="none" w:sz="0" w:space="0" w:color="auto"/>
      </w:divBdr>
    </w:div>
    <w:div w:id="1281035987">
      <w:bodyDiv w:val="1"/>
      <w:marLeft w:val="0"/>
      <w:marRight w:val="0"/>
      <w:marTop w:val="0"/>
      <w:marBottom w:val="0"/>
      <w:divBdr>
        <w:top w:val="none" w:sz="0" w:space="0" w:color="auto"/>
        <w:left w:val="none" w:sz="0" w:space="0" w:color="auto"/>
        <w:bottom w:val="none" w:sz="0" w:space="0" w:color="auto"/>
        <w:right w:val="none" w:sz="0" w:space="0" w:color="auto"/>
      </w:divBdr>
    </w:div>
    <w:div w:id="1303345598">
      <w:bodyDiv w:val="1"/>
      <w:marLeft w:val="0"/>
      <w:marRight w:val="0"/>
      <w:marTop w:val="0"/>
      <w:marBottom w:val="0"/>
      <w:divBdr>
        <w:top w:val="none" w:sz="0" w:space="0" w:color="auto"/>
        <w:left w:val="none" w:sz="0" w:space="0" w:color="auto"/>
        <w:bottom w:val="none" w:sz="0" w:space="0" w:color="auto"/>
        <w:right w:val="none" w:sz="0" w:space="0" w:color="auto"/>
      </w:divBdr>
    </w:div>
    <w:div w:id="1382484313">
      <w:bodyDiv w:val="1"/>
      <w:marLeft w:val="0"/>
      <w:marRight w:val="0"/>
      <w:marTop w:val="0"/>
      <w:marBottom w:val="0"/>
      <w:divBdr>
        <w:top w:val="none" w:sz="0" w:space="0" w:color="auto"/>
        <w:left w:val="none" w:sz="0" w:space="0" w:color="auto"/>
        <w:bottom w:val="none" w:sz="0" w:space="0" w:color="auto"/>
        <w:right w:val="none" w:sz="0" w:space="0" w:color="auto"/>
      </w:divBdr>
    </w:div>
    <w:div w:id="1390685599">
      <w:bodyDiv w:val="1"/>
      <w:marLeft w:val="0"/>
      <w:marRight w:val="0"/>
      <w:marTop w:val="0"/>
      <w:marBottom w:val="0"/>
      <w:divBdr>
        <w:top w:val="none" w:sz="0" w:space="0" w:color="auto"/>
        <w:left w:val="none" w:sz="0" w:space="0" w:color="auto"/>
        <w:bottom w:val="none" w:sz="0" w:space="0" w:color="auto"/>
        <w:right w:val="none" w:sz="0" w:space="0" w:color="auto"/>
      </w:divBdr>
    </w:div>
    <w:div w:id="1494880304">
      <w:bodyDiv w:val="1"/>
      <w:marLeft w:val="0"/>
      <w:marRight w:val="0"/>
      <w:marTop w:val="0"/>
      <w:marBottom w:val="0"/>
      <w:divBdr>
        <w:top w:val="none" w:sz="0" w:space="0" w:color="auto"/>
        <w:left w:val="none" w:sz="0" w:space="0" w:color="auto"/>
        <w:bottom w:val="none" w:sz="0" w:space="0" w:color="auto"/>
        <w:right w:val="none" w:sz="0" w:space="0" w:color="auto"/>
      </w:divBdr>
    </w:div>
    <w:div w:id="1546135416">
      <w:bodyDiv w:val="1"/>
      <w:marLeft w:val="0"/>
      <w:marRight w:val="0"/>
      <w:marTop w:val="0"/>
      <w:marBottom w:val="0"/>
      <w:divBdr>
        <w:top w:val="none" w:sz="0" w:space="0" w:color="auto"/>
        <w:left w:val="none" w:sz="0" w:space="0" w:color="auto"/>
        <w:bottom w:val="none" w:sz="0" w:space="0" w:color="auto"/>
        <w:right w:val="none" w:sz="0" w:space="0" w:color="auto"/>
      </w:divBdr>
    </w:div>
    <w:div w:id="1575428796">
      <w:bodyDiv w:val="1"/>
      <w:marLeft w:val="0"/>
      <w:marRight w:val="0"/>
      <w:marTop w:val="0"/>
      <w:marBottom w:val="0"/>
      <w:divBdr>
        <w:top w:val="none" w:sz="0" w:space="0" w:color="auto"/>
        <w:left w:val="none" w:sz="0" w:space="0" w:color="auto"/>
        <w:bottom w:val="none" w:sz="0" w:space="0" w:color="auto"/>
        <w:right w:val="none" w:sz="0" w:space="0" w:color="auto"/>
      </w:divBdr>
    </w:div>
    <w:div w:id="1581716515">
      <w:bodyDiv w:val="1"/>
      <w:marLeft w:val="0"/>
      <w:marRight w:val="0"/>
      <w:marTop w:val="0"/>
      <w:marBottom w:val="0"/>
      <w:divBdr>
        <w:top w:val="none" w:sz="0" w:space="0" w:color="auto"/>
        <w:left w:val="none" w:sz="0" w:space="0" w:color="auto"/>
        <w:bottom w:val="none" w:sz="0" w:space="0" w:color="auto"/>
        <w:right w:val="none" w:sz="0" w:space="0" w:color="auto"/>
      </w:divBdr>
    </w:div>
    <w:div w:id="1694306379">
      <w:bodyDiv w:val="1"/>
      <w:marLeft w:val="0"/>
      <w:marRight w:val="0"/>
      <w:marTop w:val="0"/>
      <w:marBottom w:val="0"/>
      <w:divBdr>
        <w:top w:val="none" w:sz="0" w:space="0" w:color="auto"/>
        <w:left w:val="none" w:sz="0" w:space="0" w:color="auto"/>
        <w:bottom w:val="none" w:sz="0" w:space="0" w:color="auto"/>
        <w:right w:val="none" w:sz="0" w:space="0" w:color="auto"/>
      </w:divBdr>
    </w:div>
    <w:div w:id="1709836315">
      <w:bodyDiv w:val="1"/>
      <w:marLeft w:val="0"/>
      <w:marRight w:val="0"/>
      <w:marTop w:val="0"/>
      <w:marBottom w:val="0"/>
      <w:divBdr>
        <w:top w:val="none" w:sz="0" w:space="0" w:color="auto"/>
        <w:left w:val="none" w:sz="0" w:space="0" w:color="auto"/>
        <w:bottom w:val="none" w:sz="0" w:space="0" w:color="auto"/>
        <w:right w:val="none" w:sz="0" w:space="0" w:color="auto"/>
      </w:divBdr>
    </w:div>
    <w:div w:id="1736581803">
      <w:bodyDiv w:val="1"/>
      <w:marLeft w:val="0"/>
      <w:marRight w:val="0"/>
      <w:marTop w:val="0"/>
      <w:marBottom w:val="0"/>
      <w:divBdr>
        <w:top w:val="none" w:sz="0" w:space="0" w:color="auto"/>
        <w:left w:val="none" w:sz="0" w:space="0" w:color="auto"/>
        <w:bottom w:val="none" w:sz="0" w:space="0" w:color="auto"/>
        <w:right w:val="none" w:sz="0" w:space="0" w:color="auto"/>
      </w:divBdr>
    </w:div>
    <w:div w:id="1739743782">
      <w:bodyDiv w:val="1"/>
      <w:marLeft w:val="0"/>
      <w:marRight w:val="0"/>
      <w:marTop w:val="0"/>
      <w:marBottom w:val="0"/>
      <w:divBdr>
        <w:top w:val="none" w:sz="0" w:space="0" w:color="auto"/>
        <w:left w:val="none" w:sz="0" w:space="0" w:color="auto"/>
        <w:bottom w:val="none" w:sz="0" w:space="0" w:color="auto"/>
        <w:right w:val="none" w:sz="0" w:space="0" w:color="auto"/>
      </w:divBdr>
    </w:div>
    <w:div w:id="1750498497">
      <w:bodyDiv w:val="1"/>
      <w:marLeft w:val="0"/>
      <w:marRight w:val="0"/>
      <w:marTop w:val="0"/>
      <w:marBottom w:val="0"/>
      <w:divBdr>
        <w:top w:val="none" w:sz="0" w:space="0" w:color="auto"/>
        <w:left w:val="none" w:sz="0" w:space="0" w:color="auto"/>
        <w:bottom w:val="none" w:sz="0" w:space="0" w:color="auto"/>
        <w:right w:val="none" w:sz="0" w:space="0" w:color="auto"/>
      </w:divBdr>
    </w:div>
    <w:div w:id="1857382742">
      <w:bodyDiv w:val="1"/>
      <w:marLeft w:val="0"/>
      <w:marRight w:val="0"/>
      <w:marTop w:val="0"/>
      <w:marBottom w:val="0"/>
      <w:divBdr>
        <w:top w:val="none" w:sz="0" w:space="0" w:color="auto"/>
        <w:left w:val="none" w:sz="0" w:space="0" w:color="auto"/>
        <w:bottom w:val="none" w:sz="0" w:space="0" w:color="auto"/>
        <w:right w:val="none" w:sz="0" w:space="0" w:color="auto"/>
      </w:divBdr>
    </w:div>
    <w:div w:id="1870340211">
      <w:bodyDiv w:val="1"/>
      <w:marLeft w:val="0"/>
      <w:marRight w:val="0"/>
      <w:marTop w:val="0"/>
      <w:marBottom w:val="0"/>
      <w:divBdr>
        <w:top w:val="none" w:sz="0" w:space="0" w:color="auto"/>
        <w:left w:val="none" w:sz="0" w:space="0" w:color="auto"/>
        <w:bottom w:val="none" w:sz="0" w:space="0" w:color="auto"/>
        <w:right w:val="none" w:sz="0" w:space="0" w:color="auto"/>
      </w:divBdr>
    </w:div>
    <w:div w:id="1874733109">
      <w:bodyDiv w:val="1"/>
      <w:marLeft w:val="0"/>
      <w:marRight w:val="0"/>
      <w:marTop w:val="0"/>
      <w:marBottom w:val="0"/>
      <w:divBdr>
        <w:top w:val="none" w:sz="0" w:space="0" w:color="auto"/>
        <w:left w:val="none" w:sz="0" w:space="0" w:color="auto"/>
        <w:bottom w:val="none" w:sz="0" w:space="0" w:color="auto"/>
        <w:right w:val="none" w:sz="0" w:space="0" w:color="auto"/>
      </w:divBdr>
    </w:div>
    <w:div w:id="1879659289">
      <w:bodyDiv w:val="1"/>
      <w:marLeft w:val="0"/>
      <w:marRight w:val="0"/>
      <w:marTop w:val="0"/>
      <w:marBottom w:val="0"/>
      <w:divBdr>
        <w:top w:val="none" w:sz="0" w:space="0" w:color="auto"/>
        <w:left w:val="none" w:sz="0" w:space="0" w:color="auto"/>
        <w:bottom w:val="none" w:sz="0" w:space="0" w:color="auto"/>
        <w:right w:val="none" w:sz="0" w:space="0" w:color="auto"/>
      </w:divBdr>
    </w:div>
    <w:div w:id="1920096061">
      <w:bodyDiv w:val="1"/>
      <w:marLeft w:val="0"/>
      <w:marRight w:val="0"/>
      <w:marTop w:val="0"/>
      <w:marBottom w:val="0"/>
      <w:divBdr>
        <w:top w:val="none" w:sz="0" w:space="0" w:color="auto"/>
        <w:left w:val="none" w:sz="0" w:space="0" w:color="auto"/>
        <w:bottom w:val="none" w:sz="0" w:space="0" w:color="auto"/>
        <w:right w:val="none" w:sz="0" w:space="0" w:color="auto"/>
      </w:divBdr>
    </w:div>
    <w:div w:id="1991591538">
      <w:bodyDiv w:val="1"/>
      <w:marLeft w:val="0"/>
      <w:marRight w:val="0"/>
      <w:marTop w:val="0"/>
      <w:marBottom w:val="0"/>
      <w:divBdr>
        <w:top w:val="none" w:sz="0" w:space="0" w:color="auto"/>
        <w:left w:val="none" w:sz="0" w:space="0" w:color="auto"/>
        <w:bottom w:val="none" w:sz="0" w:space="0" w:color="auto"/>
        <w:right w:val="none" w:sz="0" w:space="0" w:color="auto"/>
      </w:divBdr>
    </w:div>
    <w:div w:id="201086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9E377D5BE2854C93CC381DB84F9DF0" ma:contentTypeVersion="0" ma:contentTypeDescription="Create a new document." ma:contentTypeScope="" ma:versionID="4e5ee0dda7aee4e869795e9e71fbdf04">
  <xsd:schema xmlns:xsd="http://www.w3.org/2001/XMLSchema" xmlns:xs="http://www.w3.org/2001/XMLSchema" xmlns:p="http://schemas.microsoft.com/office/2006/metadata/properties" targetNamespace="http://schemas.microsoft.com/office/2006/metadata/properties" ma:root="true" ma:fieldsID="929a7624b9dffaa02f4ebdecb79f49b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16932-97BF-4380-AA52-EC87C9B9D092}">
  <ds:schemaRefs>
    <ds:schemaRef ds:uri="http://schemas.microsoft.com/sharepoint/v3/contenttype/forms"/>
  </ds:schemaRefs>
</ds:datastoreItem>
</file>

<file path=customXml/itemProps2.xml><?xml version="1.0" encoding="utf-8"?>
<ds:datastoreItem xmlns:ds="http://schemas.openxmlformats.org/officeDocument/2006/customXml" ds:itemID="{C76F7396-A041-4930-86F0-D4D37D19E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5F87588-63F7-4CCB-9A5E-721A7E7433A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866E5C8-030D-4DC0-B131-24CCE4651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4351</Words>
  <Characters>26721</Characters>
  <Application>Microsoft Office Word</Application>
  <DocSecurity>0</DocSecurity>
  <Lines>685</Lines>
  <Paragraphs>388</Paragraphs>
  <ScaleCrop>false</ScaleCrop>
  <HeadingPairs>
    <vt:vector size="2" baseType="variant">
      <vt:variant>
        <vt:lpstr>Title</vt:lpstr>
      </vt:variant>
      <vt:variant>
        <vt:i4>1</vt:i4>
      </vt:variant>
    </vt:vector>
  </HeadingPairs>
  <TitlesOfParts>
    <vt:vector size="1" baseType="lpstr">
      <vt:lpstr>Oral question O-0008/05</vt:lpstr>
    </vt:vector>
  </TitlesOfParts>
  <Manager/>
  <Company/>
  <LinksUpToDate>false</LinksUpToDate>
  <CharactersWithSpaces>30684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question O-0008/05</dc:title>
  <dc:creator/>
  <cp:lastModifiedBy>DIGIT/C6</cp:lastModifiedBy>
  <cp:revision>20</cp:revision>
  <cp:lastPrinted>2019-06-04T11:54:00Z</cp:lastPrinted>
  <dcterms:created xsi:type="dcterms:W3CDTF">2020-06-26T09:10:00Z</dcterms:created>
  <dcterms:modified xsi:type="dcterms:W3CDTF">2020-06-30T09:49:00Z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y fmtid="{D5CDD505-2E9C-101B-9397-08002B2CF9AE}" pid="8" name="Last edited using">
    <vt:lpwstr>LW 7.0.1, Build 20190916</vt:lpwstr>
  </property>
  <property fmtid="{D5CDD505-2E9C-101B-9397-08002B2CF9AE}" pid="9" name="IsMyDocuments">
    <vt:bool>true</vt:bool>
  </property>
  <property fmtid="{D5CDD505-2E9C-101B-9397-08002B2CF9AE}" pid="10" name="CPTemplateID">
    <vt:lpwstr>CP-006</vt:lpwstr>
  </property>
  <property fmtid="{D5CDD505-2E9C-101B-9397-08002B2CF9AE}" pid="11" name="_LW_INVALIDATED__LW_INVALIDATED__LW_INVALIDATED__LW_INVALIDATED__LW_INVALIDATED_ContentTypeId">
    <vt:lpwstr>0x0101005C9E377D5BE2854C93CC381DB84F9DF0</vt:lpwstr>
  </property>
  <property fmtid="{D5CDD505-2E9C-101B-9397-08002B2CF9AE}" pid="12" name="_LW_INVALIDATED__LW_INVALIDATED__LW_INVALIDATED__LW_INVALIDATED_ContentTypeId">
    <vt:lpwstr>0x0101005C9E377D5BE2854C93CC381DB84F9DF0</vt:lpwstr>
  </property>
</Properties>
</file>