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B8C4BD3-94E4-4FA0-9DBD-33AF85EC204E" style="width:450.4pt;height:320.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rPr>
          <w:rFonts w:ascii="Times New Roman" w:hAnsi="Times New Roman"/>
          <w:b/>
          <w:bCs/>
          <w:noProof/>
          <w:color w:val="auto"/>
          <w:u w:val="single"/>
        </w:rPr>
      </w:pPr>
      <w:bookmarkStart w:id="1" w:name="_GoBack"/>
      <w:bookmarkEnd w:id="1"/>
      <w:r>
        <w:rPr>
          <w:rFonts w:ascii="Times New Roman" w:hAnsi="Times New Roman"/>
          <w:b/>
          <w:bCs/>
          <w:noProof/>
          <w:color w:val="auto"/>
          <w:u w:val="single"/>
        </w:rPr>
        <w:lastRenderedPageBreak/>
        <w:t>Úvod</w:t>
      </w:r>
    </w:p>
    <w:p>
      <w:pPr>
        <w:pStyle w:val="Default"/>
        <w:rPr>
          <w:rFonts w:ascii="Times New Roman" w:hAnsi="Times New Roman" w:cs="Times New Roman"/>
          <w:noProof/>
          <w:color w:val="auto"/>
          <w:u w:val="single"/>
        </w:rPr>
      </w:pPr>
    </w:p>
    <w:p>
      <w:pPr>
        <w:pStyle w:val="Default"/>
        <w:jc w:val="both"/>
        <w:rPr>
          <w:rFonts w:ascii="Times New Roman" w:hAnsi="Times New Roman"/>
          <w:noProof/>
          <w:color w:val="auto"/>
        </w:rPr>
      </w:pPr>
      <w:r>
        <w:rPr>
          <w:rFonts w:ascii="Times New Roman" w:hAnsi="Times New Roman"/>
          <w:noProof/>
          <w:color w:val="auto"/>
        </w:rPr>
        <w:t>V rozhodnutí o pridružení zámoria</w:t>
      </w:r>
      <w:r>
        <w:rPr>
          <w:rStyle w:val="FootnoteReference"/>
          <w:rFonts w:ascii="Times New Roman" w:hAnsi="Times New Roman" w:cs="Times New Roman"/>
          <w:noProof/>
          <w:color w:val="auto"/>
        </w:rPr>
        <w:footnoteReference w:id="1"/>
      </w:r>
      <w:r>
        <w:rPr>
          <w:rFonts w:ascii="Times New Roman" w:hAnsi="Times New Roman"/>
          <w:noProof/>
          <w:color w:val="auto"/>
        </w:rPr>
        <w:t xml:space="preserve"> sa stanovuje právny rámec pre vzťahy medzi zámorskými krajinami a územiami</w:t>
      </w:r>
      <w:r>
        <w:rPr>
          <w:rStyle w:val="FootnoteReference"/>
          <w:rFonts w:ascii="Times New Roman" w:hAnsi="Times New Roman" w:cs="Times New Roman"/>
          <w:noProof/>
          <w:color w:val="auto"/>
        </w:rPr>
        <w:footnoteReference w:id="2"/>
      </w:r>
      <w:r>
        <w:rPr>
          <w:rFonts w:ascii="Times New Roman" w:hAnsi="Times New Roman"/>
          <w:noProof/>
          <w:color w:val="auto"/>
        </w:rPr>
        <w:t xml:space="preserve"> (ZKÚ), členskými štátmi, s ktorými sú ZKÚ spojené, a Európskou úniou. Podľa Zmluvy o fungovaní Európskej únie (ZFEÚ)</w:t>
      </w:r>
      <w:r>
        <w:rPr>
          <w:rStyle w:val="FootnoteReference"/>
          <w:rFonts w:ascii="Times New Roman" w:hAnsi="Times New Roman" w:cs="Times New Roman"/>
          <w:noProof/>
          <w:color w:val="auto"/>
        </w:rPr>
        <w:footnoteReference w:id="3"/>
      </w:r>
      <w:r>
        <w:rPr>
          <w:rFonts w:ascii="Times New Roman" w:hAnsi="Times New Roman"/>
          <w:noProof/>
          <w:color w:val="auto"/>
        </w:rPr>
        <w:t xml:space="preserve"> je cieľom rozhodnutia o pridružení zámoria podporovať trvalo udržateľný rozvoj ZKÚ a presadzovať hodnoty Únie v širšom svete.</w:t>
      </w:r>
    </w:p>
    <w:p>
      <w:pPr>
        <w:pStyle w:val="Default"/>
        <w:jc w:val="both"/>
        <w:rPr>
          <w:rFonts w:ascii="Times New Roman" w:hAnsi="Times New Roman" w:cs="Times New Roman"/>
          <w:noProof/>
          <w:color w:val="auto"/>
        </w:rPr>
      </w:pPr>
    </w:p>
    <w:p>
      <w:pPr>
        <w:pStyle w:val="Default"/>
        <w:jc w:val="both"/>
        <w:rPr>
          <w:rFonts w:ascii="Times New Roman" w:hAnsi="Times New Roman"/>
          <w:noProof/>
          <w:color w:val="auto"/>
        </w:rPr>
      </w:pPr>
      <w:r>
        <w:rPr>
          <w:rFonts w:ascii="Times New Roman" w:hAnsi="Times New Roman"/>
          <w:noProof/>
          <w:color w:val="auto"/>
        </w:rPr>
        <w:t>Finančná pomoc pre ZKÚ sa poskytuje najmä prostredníctvom Európskeho rozvojového fondu (ERF), pričom v rámci 11. ERF sa na programové obdobie 2014 – 2020 vyčlenilo 364,5 milióna EUR</w:t>
      </w:r>
      <w:r>
        <w:rPr>
          <w:rStyle w:val="FootnoteReference"/>
          <w:rFonts w:ascii="Times New Roman" w:hAnsi="Times New Roman" w:cs="Times New Roman"/>
          <w:noProof/>
          <w:color w:val="auto"/>
        </w:rPr>
        <w:footnoteReference w:id="4"/>
      </w:r>
      <w:r>
        <w:rPr>
          <w:rFonts w:ascii="Times New Roman" w:hAnsi="Times New Roman"/>
          <w:noProof/>
          <w:color w:val="auto"/>
        </w:rPr>
        <w:t>.</w:t>
      </w:r>
    </w:p>
    <w:p>
      <w:pPr>
        <w:pStyle w:val="Default"/>
        <w:jc w:val="both"/>
        <w:rPr>
          <w:rFonts w:ascii="Times New Roman" w:hAnsi="Times New Roman" w:cs="Times New Roman"/>
          <w:noProof/>
          <w:color w:val="auto"/>
        </w:rPr>
      </w:pPr>
    </w:p>
    <w:p>
      <w:pPr>
        <w:pStyle w:val="Default"/>
        <w:jc w:val="both"/>
        <w:rPr>
          <w:rFonts w:ascii="Times New Roman" w:hAnsi="Times New Roman"/>
          <w:noProof/>
          <w:color w:val="auto"/>
        </w:rPr>
      </w:pPr>
      <w:r>
        <w:rPr>
          <w:rFonts w:ascii="Times New Roman" w:hAnsi="Times New Roman"/>
          <w:noProof/>
          <w:color w:val="auto"/>
        </w:rPr>
        <w:t>V súlade s článkom 91 rozhodnutia o pridružení zámoria sa v tejto správe vyzdvihuje pokrok dosiahnutý za rok 2019 pri využívaní finančných zdrojov z 11. ERF poskytnutých zámorským krajinám a územiam.</w:t>
      </w:r>
    </w:p>
    <w:p>
      <w:pPr>
        <w:pStyle w:val="Default"/>
        <w:jc w:val="both"/>
        <w:rPr>
          <w:rFonts w:ascii="Times New Roman" w:hAnsi="Times New Roman" w:cs="Times New Roman"/>
          <w:noProof/>
          <w:color w:val="auto"/>
        </w:rPr>
      </w:pPr>
    </w:p>
    <w:p>
      <w:pPr>
        <w:pStyle w:val="Default"/>
        <w:jc w:val="both"/>
        <w:rPr>
          <w:rFonts w:ascii="Times New Roman" w:hAnsi="Times New Roman"/>
          <w:b/>
          <w:bCs/>
          <w:noProof/>
          <w:color w:val="auto"/>
          <w:u w:val="single"/>
        </w:rPr>
      </w:pPr>
      <w:r>
        <w:rPr>
          <w:rFonts w:ascii="Times New Roman" w:hAnsi="Times New Roman"/>
          <w:b/>
          <w:bCs/>
          <w:noProof/>
          <w:color w:val="auto"/>
          <w:u w:val="single"/>
        </w:rPr>
        <w:t>Finančné zdroje v rámci 11. ERF – ZKÚ</w:t>
      </w:r>
    </w:p>
    <w:p>
      <w:pPr>
        <w:pStyle w:val="Default"/>
        <w:jc w:val="both"/>
        <w:rPr>
          <w:rFonts w:ascii="Times New Roman" w:hAnsi="Times New Roman" w:cs="Times New Roman"/>
          <w:noProof/>
          <w:color w:val="auto"/>
        </w:rPr>
      </w:pPr>
    </w:p>
    <w:p>
      <w:pPr>
        <w:pStyle w:val="Default"/>
        <w:jc w:val="both"/>
        <w:rPr>
          <w:rFonts w:ascii="Times New Roman" w:hAnsi="Times New Roman"/>
          <w:noProof/>
          <w:color w:val="auto"/>
        </w:rPr>
      </w:pPr>
      <w:r>
        <w:rPr>
          <w:rFonts w:ascii="Times New Roman" w:hAnsi="Times New Roman"/>
          <w:noProof/>
          <w:color w:val="auto"/>
        </w:rPr>
        <w:t>Finančné zdroje 11. ERF dostupné pre ZKÚ sú na základe prílohy 2 k rozhodnutiu o pridružení zámoria rozdelené na obdobie 2014 – 2020 takto:</w:t>
      </w:r>
    </w:p>
    <w:p>
      <w:pPr>
        <w:pStyle w:val="Default"/>
        <w:spacing w:after="164"/>
        <w:jc w:val="both"/>
        <w:rPr>
          <w:rFonts w:ascii="Times New Roman" w:hAnsi="Times New Roman" w:cs="Times New Roman"/>
          <w:noProof/>
          <w:color w:val="auto"/>
        </w:rPr>
      </w:pPr>
    </w:p>
    <w:p>
      <w:pPr>
        <w:pStyle w:val="Default"/>
        <w:numPr>
          <w:ilvl w:val="0"/>
          <w:numId w:val="1"/>
        </w:numPr>
        <w:spacing w:after="164"/>
        <w:jc w:val="both"/>
        <w:rPr>
          <w:rFonts w:ascii="Times New Roman" w:hAnsi="Times New Roman"/>
          <w:noProof/>
          <w:color w:val="auto"/>
        </w:rPr>
      </w:pPr>
      <w:r>
        <w:rPr>
          <w:rFonts w:ascii="Times New Roman" w:hAnsi="Times New Roman"/>
          <w:noProof/>
          <w:color w:val="auto"/>
        </w:rPr>
        <w:t>suma 229,5 milióna EUR na prostriedky pridelené na územnom (bilaterálnom) základe,</w:t>
      </w:r>
    </w:p>
    <w:p>
      <w:pPr>
        <w:pStyle w:val="Default"/>
        <w:numPr>
          <w:ilvl w:val="0"/>
          <w:numId w:val="1"/>
        </w:numPr>
        <w:spacing w:after="164"/>
        <w:jc w:val="both"/>
        <w:rPr>
          <w:rFonts w:ascii="Times New Roman" w:hAnsi="Times New Roman"/>
          <w:noProof/>
          <w:color w:val="auto"/>
        </w:rPr>
      </w:pPr>
      <w:r>
        <w:rPr>
          <w:rFonts w:ascii="Times New Roman" w:hAnsi="Times New Roman"/>
          <w:noProof/>
          <w:color w:val="auto"/>
        </w:rPr>
        <w:t>suma 100 miliónov EUR na regionálnu spoluprácu a spoluprácu medzi všetkými ZKÚ,</w:t>
      </w:r>
    </w:p>
    <w:p>
      <w:pPr>
        <w:pStyle w:val="Default"/>
        <w:numPr>
          <w:ilvl w:val="0"/>
          <w:numId w:val="1"/>
        </w:numPr>
        <w:spacing w:after="164"/>
        <w:jc w:val="both"/>
        <w:rPr>
          <w:rFonts w:ascii="Times New Roman" w:hAnsi="Times New Roman"/>
          <w:noProof/>
          <w:color w:val="auto"/>
        </w:rPr>
      </w:pPr>
      <w:r>
        <w:rPr>
          <w:rFonts w:ascii="Times New Roman" w:hAnsi="Times New Roman"/>
          <w:noProof/>
          <w:color w:val="auto"/>
        </w:rPr>
        <w:t>suma 21,5 milióna EUR na financovanie humanitárnej a núdzovej pomoci,</w:t>
      </w:r>
    </w:p>
    <w:p>
      <w:pPr>
        <w:pStyle w:val="Default"/>
        <w:numPr>
          <w:ilvl w:val="0"/>
          <w:numId w:val="1"/>
        </w:numPr>
        <w:spacing w:after="164"/>
        <w:jc w:val="both"/>
        <w:rPr>
          <w:rFonts w:ascii="Times New Roman" w:hAnsi="Times New Roman"/>
          <w:noProof/>
          <w:color w:val="auto"/>
        </w:rPr>
      </w:pPr>
      <w:r>
        <w:rPr>
          <w:rFonts w:ascii="Times New Roman" w:hAnsi="Times New Roman"/>
          <w:noProof/>
          <w:color w:val="auto"/>
        </w:rPr>
        <w:t>suma 5 miliónov EUR na financovanie bonifikácie úrokov a technickej pomoci v súvislosti s investičným nástrojom pre ZKÚ,</w:t>
      </w:r>
    </w:p>
    <w:p>
      <w:pPr>
        <w:pStyle w:val="Default"/>
        <w:numPr>
          <w:ilvl w:val="0"/>
          <w:numId w:val="1"/>
        </w:numPr>
        <w:spacing w:after="164"/>
        <w:jc w:val="both"/>
        <w:rPr>
          <w:rFonts w:ascii="Times New Roman" w:hAnsi="Times New Roman"/>
          <w:noProof/>
          <w:color w:val="auto"/>
        </w:rPr>
      </w:pPr>
      <w:r>
        <w:rPr>
          <w:rFonts w:ascii="Times New Roman" w:hAnsi="Times New Roman"/>
          <w:noProof/>
          <w:color w:val="auto"/>
        </w:rPr>
        <w:t>suma 8,5 milióna EUR na štúdie a technickú pomoc.</w:t>
      </w:r>
    </w:p>
    <w:p>
      <w:pPr>
        <w:pStyle w:val="Default"/>
        <w:jc w:val="both"/>
        <w:rPr>
          <w:rFonts w:ascii="Times New Roman" w:hAnsi="Times New Roman" w:cs="Times New Roman"/>
          <w:noProof/>
          <w:color w:val="auto"/>
        </w:rPr>
      </w:pPr>
    </w:p>
    <w:p>
      <w:pPr>
        <w:jc w:val="both"/>
        <w:rPr>
          <w:rFonts w:ascii="Times New Roman" w:hAnsi="Times New Roman" w:cs="Times New Roman"/>
          <w:noProof/>
          <w:sz w:val="24"/>
          <w:szCs w:val="24"/>
        </w:rPr>
      </w:pPr>
      <w:r>
        <w:rPr>
          <w:rFonts w:ascii="Times New Roman" w:hAnsi="Times New Roman"/>
          <w:bCs/>
          <w:noProof/>
          <w:sz w:val="24"/>
          <w:szCs w:val="24"/>
        </w:rPr>
        <w:t xml:space="preserve">Podľa kritérií stanovených v rozhodnutí sa </w:t>
      </w:r>
      <w:r>
        <w:rPr>
          <w:rFonts w:ascii="Times New Roman" w:hAnsi="Times New Roman"/>
          <w:b/>
          <w:bCs/>
          <w:noProof/>
          <w:sz w:val="24"/>
          <w:szCs w:val="24"/>
        </w:rPr>
        <w:t>16 ZKÚ považuje za oprávnené získať prostriedky pridelené na územnom základe v rámci 11. ERF</w:t>
      </w:r>
      <w:r>
        <w:rPr>
          <w:rFonts w:ascii="Times New Roman" w:hAnsi="Times New Roman"/>
          <w:bCs/>
          <w:noProof/>
          <w:sz w:val="24"/>
          <w:szCs w:val="24"/>
        </w:rPr>
        <w:t xml:space="preserve">. </w:t>
      </w:r>
      <w:r>
        <w:rPr>
          <w:rFonts w:ascii="Times New Roman" w:hAnsi="Times New Roman"/>
          <w:noProof/>
          <w:sz w:val="24"/>
          <w:szCs w:val="24"/>
        </w:rPr>
        <w:t>Treba poznamenať, že Grónsku sa poskytujú finančné prostriedky priamo zo všeobecného rozpočtu Únie na základe „rozhodnutia o Grónsku“</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b/>
          <w:bCs/>
          <w:noProof/>
          <w:color w:val="000000"/>
          <w:sz w:val="24"/>
          <w:szCs w:val="24"/>
        </w:rPr>
        <w:t>Tri regionálne programy</w:t>
      </w:r>
      <w:r>
        <w:rPr>
          <w:rFonts w:ascii="Times New Roman" w:hAnsi="Times New Roman"/>
          <w:noProof/>
          <w:color w:val="000000"/>
          <w:sz w:val="24"/>
          <w:szCs w:val="24"/>
        </w:rPr>
        <w:t xml:space="preserve"> sú zamerané na podporu spolupráce medzi ZKÚ z rovnakého regiónu, ktoré čelia podobným výzvam a majú podobné priority. Akciami financovanými v rámci regionálne pridelených prostriedkov sa podporuje vypracovanie a realizácia komplexných regionálnych programov a projektov na riešenie týchto výziev. Aktívne sa podporujú partnerstvá s inými zdrojmi financovania vrátane ostatných finančných nástrojov Európskej únie prostredníctvom spolupráce so susediacimi africkými, karibskými a tichomorskými krajinami (AKT) a/alebo tretími krajinami a s najvzdialenejšími regiónmi EÚ.</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noProof/>
        </w:rPr>
        <w:t xml:space="preserve">Okrem územných a regionálnych programov sa v rámci </w:t>
      </w:r>
      <w:r>
        <w:rPr>
          <w:rFonts w:ascii="Times New Roman" w:hAnsi="Times New Roman"/>
          <w:b/>
          <w:bCs/>
          <w:noProof/>
        </w:rPr>
        <w:t>tematického programu</w:t>
      </w:r>
      <w:r>
        <w:rPr>
          <w:rFonts w:ascii="Times New Roman" w:hAnsi="Times New Roman"/>
          <w:noProof/>
        </w:rPr>
        <w:t>, jediného programu „všetkých ZKÚ“ v rámci 11. ERF, posilňuje spolupráca zámorských krajín a území.</w:t>
      </w:r>
    </w:p>
    <w:p>
      <w:pPr>
        <w:pStyle w:val="Default"/>
        <w:rPr>
          <w:rFonts w:ascii="Times New Roman" w:hAnsi="Times New Roman" w:cs="Times New Roman"/>
          <w:noProof/>
        </w:rPr>
      </w:pPr>
    </w:p>
    <w:p>
      <w:pPr>
        <w:autoSpaceDE w:val="0"/>
        <w:autoSpaceDN w:val="0"/>
        <w:adjustRightInd w:val="0"/>
        <w:spacing w:after="0" w:line="240" w:lineRule="auto"/>
        <w:jc w:val="both"/>
        <w:rPr>
          <w:rFonts w:ascii="Times New Roman" w:hAnsi="Times New Roman"/>
          <w:b/>
          <w:bCs/>
          <w:noProof/>
          <w:color w:val="000000"/>
          <w:sz w:val="24"/>
          <w:szCs w:val="24"/>
          <w:u w:val="single"/>
        </w:rPr>
      </w:pPr>
      <w:r>
        <w:rPr>
          <w:rFonts w:ascii="Times New Roman" w:hAnsi="Times New Roman"/>
          <w:b/>
          <w:bCs/>
          <w:noProof/>
          <w:color w:val="000000"/>
          <w:sz w:val="24"/>
          <w:szCs w:val="24"/>
          <w:u w:val="single"/>
        </w:rPr>
        <w:t>Proces tvorby programov 11. ERF – ZKÚ</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V štvrtej časti rozhodnutia o pridružení zámoria sa stanovuje </w:t>
      </w:r>
      <w:r>
        <w:rPr>
          <w:rFonts w:ascii="Times New Roman" w:hAnsi="Times New Roman"/>
          <w:b/>
          <w:bCs/>
          <w:noProof/>
          <w:color w:val="000000"/>
          <w:sz w:val="24"/>
          <w:szCs w:val="24"/>
        </w:rPr>
        <w:t>proces tvorby programov, ktorý je špecifický pre ZKÚ</w:t>
      </w:r>
      <w:r>
        <w:rPr>
          <w:rFonts w:ascii="Times New Roman" w:hAnsi="Times New Roman"/>
          <w:noProof/>
          <w:color w:val="000000"/>
          <w:sz w:val="24"/>
          <w:szCs w:val="24"/>
        </w:rPr>
        <w:t xml:space="preserve">. Na rozdiel od štátov AKT proces tvorby programov nie je založený na národných indikatívnych programoch, ale na </w:t>
      </w:r>
      <w:r>
        <w:rPr>
          <w:rFonts w:ascii="Times New Roman" w:hAnsi="Times New Roman"/>
          <w:bCs/>
          <w:noProof/>
          <w:color w:val="000000"/>
          <w:sz w:val="24"/>
          <w:szCs w:val="24"/>
        </w:rPr>
        <w:t xml:space="preserve">jednorazovom procese – vypracovaní programového dokumentu, ktorý má dve zložky: a) stratégiu reakcie EÚ (časť A) a b) akčný dokument (časť B). </w:t>
      </w:r>
      <w:r>
        <w:rPr>
          <w:rFonts w:ascii="Times New Roman" w:hAnsi="Times New Roman"/>
          <w:noProof/>
          <w:color w:val="000000"/>
          <w:sz w:val="24"/>
          <w:szCs w:val="24"/>
        </w:rPr>
        <w:t xml:space="preserve">Programové dokumenty ZKÚ obsahujú strategické zameranie aj podrobný návrh programu a schvaľujú sa len </w:t>
      </w:r>
      <w:r>
        <w:rPr>
          <w:rFonts w:ascii="Times New Roman" w:hAnsi="Times New Roman"/>
          <w:bCs/>
          <w:noProof/>
          <w:color w:val="000000"/>
          <w:sz w:val="24"/>
          <w:szCs w:val="24"/>
        </w:rPr>
        <w:t>jedným formálnym rozhodnutím Komisie</w:t>
      </w:r>
      <w:r>
        <w:rPr>
          <w:rFonts w:ascii="Times New Roman" w:hAnsi="Times New Roman"/>
          <w:noProof/>
          <w:color w:val="000000"/>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b/>
          <w:bCs/>
          <w:noProof/>
          <w:color w:val="000000"/>
          <w:sz w:val="24"/>
          <w:szCs w:val="24"/>
        </w:rPr>
        <w:t>Rozpočtová podpora</w:t>
      </w:r>
      <w:r>
        <w:rPr>
          <w:rFonts w:ascii="Times New Roman" w:hAnsi="Times New Roman"/>
          <w:noProof/>
          <w:color w:val="000000"/>
          <w:sz w:val="24"/>
          <w:szCs w:val="24"/>
        </w:rPr>
        <w:t xml:space="preserve"> je uprednostňovaným spôsobom využívania prostriedkov pridelených na územnom základe v ZKÚ (k dnešnému dňu ERF využíva 13 zo 16 ZKÚ). Toto predstavuje pozitívny posun od spôsobu realizácie projektu, ktorý sa využíval v niekoľkých ZKÚ predtým. Rozpočtová podpora ponúka efektívny spôsob riešenia prierezových, dlhodobých a štrukturálnych problémov a hrozieb a zachovanie konštruktívneho politického dialógu.</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cs="Times New Roman"/>
          <w:noProof/>
        </w:rPr>
      </w:pPr>
      <w:r>
        <w:rPr>
          <w:rFonts w:ascii="Times New Roman" w:hAnsi="Times New Roman"/>
          <w:b/>
          <w:bCs/>
          <w:noProof/>
        </w:rPr>
        <w:t>Krajiny ZKÚ majú naďalej primárnu zodpovednosť za vypracovanie programových dokumentov</w:t>
      </w:r>
      <w:r>
        <w:rPr>
          <w:rFonts w:ascii="Times New Roman" w:hAnsi="Times New Roman"/>
          <w:noProof/>
        </w:rPr>
        <w:t xml:space="preserve"> vrátane priorít, na ktorých sú založené ich stratégie, a za zabezpečenie potrebných konzultácií na miestnej úrovni. V súlade s článkom 81 rozhodnutia o pridružení zámoria majú ZKÚ na požiadanie k dispozícii technickú pomoc na podporu počas procesu tvorby programov.</w:t>
      </w:r>
    </w:p>
    <w:p>
      <w:pPr>
        <w:pStyle w:val="Default"/>
        <w:rPr>
          <w:rFonts w:ascii="Times New Roman" w:hAnsi="Times New Roman" w:cs="Times New Roman"/>
          <w:noProof/>
        </w:rPr>
      </w:pPr>
    </w:p>
    <w:p>
      <w:pPr>
        <w:autoSpaceDE w:val="0"/>
        <w:autoSpaceDN w:val="0"/>
        <w:adjustRightInd w:val="0"/>
        <w:spacing w:after="0" w:line="240" w:lineRule="auto"/>
        <w:rPr>
          <w:rFonts w:ascii="Times New Roman" w:hAnsi="Times New Roman" w:cs="Times New Roman"/>
          <w:b/>
          <w:bCs/>
          <w:noProof/>
          <w:color w:val="000000"/>
          <w:sz w:val="24"/>
          <w:szCs w:val="24"/>
          <w:u w:val="single"/>
        </w:rPr>
      </w:pPr>
      <w:r>
        <w:rPr>
          <w:rFonts w:ascii="Times New Roman" w:hAnsi="Times New Roman"/>
          <w:b/>
          <w:bCs/>
          <w:noProof/>
          <w:color w:val="000000"/>
          <w:sz w:val="24"/>
          <w:szCs w:val="24"/>
          <w:u w:val="single"/>
        </w:rPr>
        <w:t>Situácia v roku 2019</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pStyle w:val="ListParagraph"/>
        <w:numPr>
          <w:ilvl w:val="0"/>
          <w:numId w:val="2"/>
        </w:numPr>
        <w:autoSpaceDE w:val="0"/>
        <w:autoSpaceDN w:val="0"/>
        <w:adjustRightInd w:val="0"/>
        <w:spacing w:after="0" w:line="240" w:lineRule="auto"/>
        <w:rPr>
          <w:rFonts w:ascii="Times New Roman" w:hAnsi="Times New Roman"/>
          <w:b/>
          <w:bCs/>
          <w:noProof/>
          <w:color w:val="000000"/>
          <w:sz w:val="24"/>
          <w:szCs w:val="24"/>
        </w:rPr>
      </w:pPr>
      <w:r>
        <w:rPr>
          <w:rFonts w:ascii="Times New Roman" w:hAnsi="Times New Roman"/>
          <w:b/>
          <w:bCs/>
          <w:noProof/>
          <w:color w:val="000000"/>
          <w:sz w:val="24"/>
          <w:szCs w:val="24"/>
        </w:rPr>
        <w:t>Realizácia 11. ERF podľa jednotlivých území</w:t>
      </w:r>
    </w:p>
    <w:p>
      <w:pPr>
        <w:autoSpaceDE w:val="0"/>
        <w:autoSpaceDN w:val="0"/>
        <w:adjustRightInd w:val="0"/>
        <w:spacing w:after="0" w:line="240" w:lineRule="auto"/>
        <w:rPr>
          <w:rFonts w:ascii="Times New Roman" w:hAnsi="Times New Roman" w:cs="Times New Roman"/>
          <w:noProof/>
          <w:color w:val="000000"/>
          <w:sz w:val="24"/>
          <w:szCs w:val="24"/>
        </w:rPr>
      </w:pP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Vďaka spoločnej angažovanosti všetkých zainteresovaných strán sa v roku 2019 dosiahol pokrok v procese tvorby programov 11. ERF prostredníctvom posilnenej koordinácie a dialógu. Prijatím programových dokumentov pre ostrovy Aruba a Bonaire v roku 2019 </w:t>
      </w:r>
      <w:r>
        <w:rPr>
          <w:rFonts w:ascii="Times New Roman" w:hAnsi="Times New Roman"/>
          <w:b/>
          <w:noProof/>
          <w:color w:val="000000"/>
          <w:sz w:val="24"/>
          <w:szCs w:val="24"/>
        </w:rPr>
        <w:t>sa proces tvorby programov zavŕšil už v 14 zo 16 ZKÚ, ktoré majú pridelené prostriedky z ERF</w:t>
      </w:r>
      <w:r>
        <w:rPr>
          <w:rFonts w:ascii="Times New Roman" w:hAnsi="Times New Roman" w:cs="Times New Roman"/>
          <w:b/>
          <w:noProof/>
          <w:vertAlign w:val="superscript"/>
        </w:rPr>
        <w:footnoteReference w:id="6"/>
      </w:r>
      <w:r>
        <w:rPr>
          <w:rFonts w:ascii="Times New Roman" w:hAnsi="Times New Roman"/>
          <w:noProof/>
          <w:color w:val="000000"/>
          <w:sz w:val="24"/>
          <w:szCs w:val="24"/>
        </w:rPr>
        <w:t>. Pokiaľ ide o účinnú finančnú podporu, v roku 2019 bolo v rámci 11. ERF vyplatených 40,7 milióna EUR pre ZKÚ (</w:t>
      </w:r>
      <w:r>
        <w:rPr>
          <w:rFonts w:ascii="Times New Roman" w:hAnsi="Times New Roman"/>
          <w:noProof/>
          <w:sz w:val="24"/>
          <w:szCs w:val="24"/>
        </w:rPr>
        <w:t>pozri prílohu I</w:t>
      </w:r>
      <w:r>
        <w:rPr>
          <w:rFonts w:ascii="Times New Roman" w:hAnsi="Times New Roman"/>
          <w:noProof/>
          <w:color w:val="000000"/>
          <w:sz w:val="24"/>
          <w:szCs w:val="24"/>
        </w:rPr>
        <w:t>). V roku 2019 prebiehal proces tvorby programov pre ostrovy Curaçao (16,95 milióna EUR) a Svätý Martin (7 miliónov EUR), pričom plánovaný dátum prijatia je v roku 2020.</w:t>
      </w:r>
    </w:p>
    <w:p>
      <w:pPr>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Realizácia programov v roku 2019:</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noProof/>
          <w:color w:val="000000"/>
          <w:sz w:val="24"/>
          <w:szCs w:val="24"/>
          <w:u w:val="single"/>
        </w:rPr>
      </w:pPr>
      <w:r>
        <w:rPr>
          <w:rFonts w:ascii="Times New Roman" w:hAnsi="Times New Roman"/>
          <w:noProof/>
          <w:color w:val="000000"/>
          <w:sz w:val="24"/>
          <w:szCs w:val="24"/>
          <w:u w:val="single"/>
        </w:rPr>
        <w:t>Oblasť Karibiku:</w:t>
      </w:r>
    </w:p>
    <w:p>
      <w:pPr>
        <w:pStyle w:val="Default"/>
        <w:jc w:val="both"/>
        <w:rPr>
          <w:rFonts w:ascii="Times New Roman" w:hAnsi="Times New Roman" w:cs="Times New Roman"/>
          <w:noProof/>
        </w:rPr>
      </w:pPr>
    </w:p>
    <w:p>
      <w:pPr>
        <w:pStyle w:val="ListParagraph"/>
        <w:numPr>
          <w:ilvl w:val="0"/>
          <w:numId w:val="3"/>
        </w:numPr>
        <w:autoSpaceDE w:val="0"/>
        <w:autoSpaceDN w:val="0"/>
        <w:adjustRightInd w:val="0"/>
        <w:spacing w:after="167"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V sektore </w:t>
      </w:r>
      <w:r>
        <w:rPr>
          <w:rFonts w:ascii="Times New Roman" w:hAnsi="Times New Roman"/>
          <w:b/>
          <w:bCs/>
          <w:noProof/>
          <w:color w:val="000000"/>
          <w:sz w:val="24"/>
          <w:szCs w:val="24"/>
        </w:rPr>
        <w:t>vzdelávania</w:t>
      </w:r>
      <w:r>
        <w:rPr>
          <w:rFonts w:ascii="Times New Roman" w:hAnsi="Times New Roman"/>
          <w:noProof/>
          <w:color w:val="000000"/>
          <w:sz w:val="24"/>
          <w:szCs w:val="24"/>
        </w:rPr>
        <w:t xml:space="preserve"> sa z programu rozpočtovej podpory pre ostrov </w:t>
      </w:r>
      <w:r>
        <w:rPr>
          <w:rFonts w:ascii="Times New Roman" w:hAnsi="Times New Roman"/>
          <w:b/>
          <w:bCs/>
          <w:noProof/>
          <w:color w:val="000000"/>
          <w:sz w:val="24"/>
          <w:szCs w:val="24"/>
        </w:rPr>
        <w:t>Anguilla</w:t>
      </w:r>
      <w:r>
        <w:rPr>
          <w:rFonts w:ascii="Times New Roman" w:hAnsi="Times New Roman"/>
          <w:noProof/>
          <w:color w:val="000000"/>
          <w:sz w:val="24"/>
          <w:szCs w:val="24"/>
        </w:rPr>
        <w:t xml:space="preserve"> podporilo schválenie udržateľného finančného plánu pre tento sektor, dokončenie národného kvalifikačného rámca a vypracovanie šiestich individuálnych plánov rozvoja škôl [vyplatenie tretej fixnej tranže (2,45 milióna EUR), ako aj prvej a druhej variabilnej tranže (0,75 + 1,05 milióna EUR)]. Ostrov </w:t>
      </w:r>
      <w:r>
        <w:rPr>
          <w:rFonts w:ascii="Times New Roman" w:hAnsi="Times New Roman"/>
          <w:b/>
          <w:noProof/>
          <w:color w:val="000000"/>
          <w:sz w:val="24"/>
          <w:szCs w:val="24"/>
        </w:rPr>
        <w:t>Aruba</w:t>
      </w:r>
      <w:r>
        <w:rPr>
          <w:rFonts w:ascii="Times New Roman" w:hAnsi="Times New Roman"/>
          <w:noProof/>
          <w:color w:val="000000"/>
          <w:sz w:val="24"/>
          <w:szCs w:val="24"/>
        </w:rPr>
        <w:t xml:space="preserve"> vo februári 2019 prijal programový dokument (13,05 milióna EUR) pre program vzdelávania zameraný na zlepšovanie technických zručností v oblasti inovatívneho trvalo udržateľného rozvoja. </w:t>
      </w:r>
      <w:r>
        <w:rPr>
          <w:rFonts w:ascii="Times New Roman" w:hAnsi="Times New Roman"/>
          <w:b/>
          <w:noProof/>
          <w:sz w:val="24"/>
          <w:szCs w:val="24"/>
        </w:rPr>
        <w:t>Ostrovy Turks a </w:t>
      </w:r>
      <w:r>
        <w:rPr>
          <w:rFonts w:ascii="Times New Roman" w:hAnsi="Times New Roman"/>
          <w:b/>
          <w:noProof/>
          <w:color w:val="000000"/>
          <w:sz w:val="24"/>
          <w:szCs w:val="24"/>
        </w:rPr>
        <w:t>Caicos</w:t>
      </w:r>
      <w:r>
        <w:rPr>
          <w:rFonts w:ascii="Times New Roman" w:hAnsi="Times New Roman"/>
          <w:noProof/>
          <w:color w:val="000000"/>
          <w:sz w:val="24"/>
          <w:szCs w:val="24"/>
        </w:rPr>
        <w:t xml:space="preserve"> pokračovali v zavádzaní programu, ktorého cieľom je lepšie prispôsobiť technické a odborné vzdelávanie, ako aj odbornú prípravu potrebám trhu práce.</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Viditeľný pokrok nastal aj v oblasti </w:t>
      </w:r>
      <w:r>
        <w:rPr>
          <w:rFonts w:ascii="Times New Roman" w:hAnsi="Times New Roman"/>
          <w:b/>
          <w:noProof/>
          <w:sz w:val="24"/>
          <w:szCs w:val="24"/>
        </w:rPr>
        <w:t>udržateľného rastu</w:t>
      </w:r>
      <w:r>
        <w:rPr>
          <w:rFonts w:ascii="Times New Roman" w:hAnsi="Times New Roman"/>
          <w:noProof/>
          <w:color w:val="000000"/>
          <w:sz w:val="24"/>
          <w:szCs w:val="24"/>
        </w:rPr>
        <w:t xml:space="preserve">, a to vďaka prebiehajúcemu programu rozpočtovej podpory pre ostrov </w:t>
      </w:r>
      <w:r>
        <w:rPr>
          <w:rFonts w:ascii="Times New Roman" w:hAnsi="Times New Roman"/>
          <w:b/>
          <w:noProof/>
          <w:color w:val="000000"/>
          <w:sz w:val="24"/>
          <w:szCs w:val="24"/>
        </w:rPr>
        <w:t>Montserrat</w:t>
      </w:r>
      <w:r>
        <w:rPr>
          <w:rFonts w:ascii="Times New Roman" w:hAnsi="Times New Roman"/>
          <w:noProof/>
          <w:color w:val="000000"/>
          <w:sz w:val="24"/>
          <w:szCs w:val="24"/>
        </w:rPr>
        <w:t>, v rámci ktorého bola vyplatená druhá fixná tranža (2 milióny EUR) a prvá variabilná tranža (2 milióny EUR). Týmto programom rozpočtovej podpory sa podnecuje rozvoj v oblastiach, akými sú energia z obnoviteľných zdrojov a cestovný ruch.</w:t>
      </w:r>
    </w:p>
    <w:p>
      <w:pPr>
        <w:pStyle w:val="ListParagraph"/>
        <w:autoSpaceDE w:val="0"/>
        <w:autoSpaceDN w:val="0"/>
        <w:adjustRightInd w:val="0"/>
        <w:spacing w:after="167" w:line="240" w:lineRule="auto"/>
        <w:ind w:left="778"/>
        <w:jc w:val="both"/>
        <w:rPr>
          <w:rFonts w:ascii="Times New Roman" w:hAnsi="Times New Roman" w:cs="Times New Roman"/>
          <w:noProof/>
          <w:color w:val="000000"/>
          <w:sz w:val="24"/>
          <w:szCs w:val="24"/>
        </w:rPr>
      </w:pPr>
    </w:p>
    <w:p>
      <w:pPr>
        <w:pStyle w:val="ListParagraph"/>
        <w:numPr>
          <w:ilvl w:val="0"/>
          <w:numId w:val="3"/>
        </w:numPr>
        <w:jc w:val="both"/>
        <w:rPr>
          <w:rFonts w:ascii="Times New Roman" w:hAnsi="Times New Roman" w:cs="Times New Roman"/>
          <w:noProof/>
        </w:rPr>
      </w:pPr>
      <w:r>
        <w:rPr>
          <w:rFonts w:ascii="Times New Roman" w:hAnsi="Times New Roman"/>
          <w:noProof/>
          <w:sz w:val="24"/>
          <w:szCs w:val="24"/>
        </w:rPr>
        <w:t xml:space="preserve">V nadväznosti na prijatie programového dokumentu 11. ERF sa na ostrove </w:t>
      </w:r>
      <w:r>
        <w:rPr>
          <w:rFonts w:ascii="Times New Roman" w:hAnsi="Times New Roman"/>
          <w:b/>
          <w:noProof/>
          <w:sz w:val="24"/>
          <w:szCs w:val="24"/>
        </w:rPr>
        <w:t>Bonaire začala</w:t>
      </w:r>
      <w:r>
        <w:rPr>
          <w:rFonts w:ascii="Times New Roman" w:hAnsi="Times New Roman"/>
          <w:noProof/>
          <w:sz w:val="24"/>
          <w:szCs w:val="24"/>
        </w:rPr>
        <w:t xml:space="preserve"> vykonávať nová </w:t>
      </w:r>
      <w:r>
        <w:rPr>
          <w:rFonts w:ascii="Times New Roman" w:hAnsi="Times New Roman"/>
          <w:b/>
          <w:noProof/>
          <w:sz w:val="24"/>
          <w:szCs w:val="24"/>
        </w:rPr>
        <w:t>rozpočtová podpora pre mladých ľudí</w:t>
      </w:r>
      <w:r>
        <w:rPr>
          <w:rFonts w:ascii="Times New Roman" w:hAnsi="Times New Roman"/>
          <w:noProof/>
          <w:sz w:val="24"/>
          <w:szCs w:val="24"/>
        </w:rPr>
        <w:t xml:space="preserve"> (3,95 milióna EUR). Prispeje k lepšiemu zdraviu, zamestnateľnosti a vyššej životnej úrovni mladých ľudí</w:t>
      </w:r>
      <w:r>
        <w:rPr>
          <w:rFonts w:ascii="Times New Roman" w:hAnsi="Times New Roman"/>
          <w:noProof/>
        </w:rPr>
        <w:t>.</w:t>
      </w:r>
      <w:r>
        <w:rPr>
          <w:noProof/>
        </w:rPr>
        <w:t xml:space="preserve"> </w:t>
      </w:r>
      <w:r>
        <w:rPr>
          <w:noProof/>
        </w:rPr>
        <w:br/>
      </w:r>
    </w:p>
    <w:p>
      <w:pPr>
        <w:pStyle w:val="ListParagraph"/>
        <w:numPr>
          <w:ilvl w:val="0"/>
          <w:numId w:val="3"/>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Pre </w:t>
      </w:r>
      <w:r>
        <w:rPr>
          <w:rFonts w:ascii="Times New Roman" w:hAnsi="Times New Roman"/>
          <w:b/>
          <w:noProof/>
          <w:color w:val="000000"/>
          <w:sz w:val="24"/>
          <w:szCs w:val="24"/>
        </w:rPr>
        <w:t>Britské Panenské ostrovy</w:t>
      </w:r>
      <w:r>
        <w:rPr>
          <w:rFonts w:ascii="Times New Roman" w:hAnsi="Times New Roman"/>
          <w:noProof/>
          <w:color w:val="000000"/>
          <w:sz w:val="24"/>
          <w:szCs w:val="24"/>
        </w:rPr>
        <w:t xml:space="preserve"> boli v reakcii na hurikány, ktoré v roku 2017 zasiahli karibské ZKÚ, vyčlenené 2 milióny EUR z balíka B</w:t>
      </w:r>
      <w:r>
        <w:rPr>
          <w:rStyle w:val="FootnoteReference"/>
          <w:rFonts w:ascii="Times New Roman" w:hAnsi="Times New Roman" w:cs="Times New Roman"/>
          <w:noProof/>
          <w:color w:val="000000"/>
          <w:sz w:val="24"/>
          <w:szCs w:val="24"/>
        </w:rPr>
        <w:footnoteReference w:id="7"/>
      </w:r>
      <w:r>
        <w:rPr>
          <w:rFonts w:ascii="Times New Roman" w:hAnsi="Times New Roman"/>
          <w:noProof/>
          <w:color w:val="000000"/>
          <w:sz w:val="24"/>
          <w:szCs w:val="24"/>
        </w:rPr>
        <w:t xml:space="preserve"> na pomoc po núdzových situáciách s cieľom zvýšiť </w:t>
      </w:r>
      <w:r>
        <w:rPr>
          <w:rFonts w:ascii="Times New Roman" w:hAnsi="Times New Roman"/>
          <w:b/>
          <w:noProof/>
          <w:color w:val="000000"/>
          <w:sz w:val="24"/>
          <w:szCs w:val="24"/>
        </w:rPr>
        <w:t>odolnosť</w:t>
      </w:r>
      <w:r>
        <w:rPr>
          <w:rFonts w:ascii="Times New Roman" w:hAnsi="Times New Roman"/>
          <w:noProof/>
          <w:color w:val="000000"/>
          <w:sz w:val="24"/>
          <w:szCs w:val="24"/>
        </w:rPr>
        <w:t>.</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noProof/>
          <w:color w:val="000000"/>
          <w:sz w:val="24"/>
          <w:szCs w:val="24"/>
          <w:u w:val="single"/>
        </w:rPr>
      </w:pPr>
      <w:r>
        <w:rPr>
          <w:rFonts w:ascii="Times New Roman" w:hAnsi="Times New Roman"/>
          <w:noProof/>
          <w:color w:val="000000"/>
          <w:sz w:val="24"/>
          <w:szCs w:val="24"/>
          <w:u w:val="single"/>
        </w:rPr>
        <w:t>Oblasť Tichomoria:</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pStyle w:val="Default"/>
        <w:numPr>
          <w:ilvl w:val="0"/>
          <w:numId w:val="7"/>
        </w:numPr>
        <w:jc w:val="both"/>
        <w:rPr>
          <w:rFonts w:ascii="Times New Roman" w:hAnsi="Times New Roman"/>
          <w:noProof/>
          <w:color w:val="auto"/>
        </w:rPr>
      </w:pPr>
      <w:r>
        <w:rPr>
          <w:rFonts w:ascii="Times New Roman" w:hAnsi="Times New Roman"/>
          <w:noProof/>
          <w:color w:val="auto"/>
        </w:rPr>
        <w:t xml:space="preserve">Pokiaľ ide o udržateľný </w:t>
      </w:r>
      <w:r>
        <w:rPr>
          <w:rFonts w:ascii="Times New Roman" w:hAnsi="Times New Roman"/>
          <w:b/>
          <w:noProof/>
          <w:color w:val="auto"/>
        </w:rPr>
        <w:t>cestovný ruch</w:t>
      </w:r>
      <w:r>
        <w:rPr>
          <w:rFonts w:ascii="Times New Roman" w:hAnsi="Times New Roman"/>
          <w:noProof/>
          <w:color w:val="auto"/>
        </w:rPr>
        <w:t xml:space="preserve">, </w:t>
      </w:r>
      <w:r>
        <w:rPr>
          <w:rFonts w:ascii="Times New Roman" w:hAnsi="Times New Roman"/>
          <w:b/>
          <w:noProof/>
          <w:color w:val="auto"/>
        </w:rPr>
        <w:t>Francúzska Polynézia</w:t>
      </w:r>
      <w:r>
        <w:rPr>
          <w:rFonts w:ascii="Times New Roman" w:hAnsi="Times New Roman"/>
          <w:noProof/>
          <w:color w:val="auto"/>
        </w:rPr>
        <w:t xml:space="preserve"> dosiahla pokrok v oblasti sektorovej politiky presadzovaním realizácie stratégie udržateľného cestovného ruchu, čím sa umožnilo vyplatenie druhej fixnej tranže (7,4 milióna EUR). Aj na </w:t>
      </w:r>
      <w:r>
        <w:rPr>
          <w:rFonts w:ascii="Times New Roman" w:hAnsi="Times New Roman"/>
          <w:b/>
          <w:noProof/>
          <w:color w:val="auto"/>
        </w:rPr>
        <w:t xml:space="preserve">Pitcairnových ostrovoch </w:t>
      </w:r>
      <w:r>
        <w:rPr>
          <w:rFonts w:ascii="Times New Roman" w:hAnsi="Times New Roman"/>
          <w:noProof/>
          <w:color w:val="auto"/>
        </w:rPr>
        <w:t>sa pokračovalo v zavádzaní strategického plánu rozvoja, a to podporou cestovného ruchu, pričom sa využila prvá fixná tranža vo výške 1 milión EUR. Bola zavedená nová námorná dopravná služba a výrazne sa zvýšil počet cestujúcich.</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autoSpaceDE w:val="0"/>
        <w:autoSpaceDN w:val="0"/>
        <w:adjustRightInd w:val="0"/>
        <w:spacing w:after="167" w:line="240" w:lineRule="auto"/>
        <w:jc w:val="both"/>
        <w:rPr>
          <w:rFonts w:ascii="Times New Roman" w:hAnsi="Times New Roman"/>
          <w:noProof/>
          <w:color w:val="000000"/>
          <w:sz w:val="24"/>
          <w:szCs w:val="24"/>
        </w:rPr>
      </w:pPr>
      <w:r>
        <w:rPr>
          <w:rFonts w:ascii="Times New Roman" w:hAnsi="Times New Roman"/>
          <w:noProof/>
          <w:color w:val="000000"/>
          <w:sz w:val="24"/>
          <w:szCs w:val="24"/>
        </w:rPr>
        <w:t>V </w:t>
      </w:r>
      <w:r>
        <w:rPr>
          <w:rFonts w:ascii="Times New Roman" w:hAnsi="Times New Roman"/>
          <w:b/>
          <w:bCs/>
          <w:noProof/>
          <w:color w:val="000000"/>
          <w:sz w:val="24"/>
          <w:szCs w:val="24"/>
        </w:rPr>
        <w:t>sektore zamestnanosti</w:t>
      </w:r>
      <w:r>
        <w:rPr>
          <w:rFonts w:ascii="Times New Roman" w:hAnsi="Times New Roman"/>
          <w:noProof/>
          <w:color w:val="000000"/>
          <w:sz w:val="24"/>
          <w:szCs w:val="24"/>
        </w:rPr>
        <w:t xml:space="preserve"> pokračovala </w:t>
      </w:r>
      <w:r>
        <w:rPr>
          <w:rFonts w:ascii="Times New Roman" w:hAnsi="Times New Roman"/>
          <w:b/>
          <w:bCs/>
          <w:noProof/>
          <w:color w:val="000000"/>
          <w:sz w:val="24"/>
          <w:szCs w:val="24"/>
        </w:rPr>
        <w:t>Nová Kaledónia</w:t>
      </w:r>
      <w:r>
        <w:rPr>
          <w:rFonts w:ascii="Times New Roman" w:hAnsi="Times New Roman"/>
          <w:noProof/>
          <w:sz w:val="24"/>
          <w:szCs w:val="24"/>
        </w:rPr>
        <w:t xml:space="preserve"> v úsilí rozširovať prístup k programom odbornej prípravy a zvyšovať mieru zamestnanosti a absolvovanosti odbornej prípravy</w:t>
      </w:r>
      <w:r>
        <w:rPr>
          <w:rFonts w:ascii="Times New Roman" w:hAnsi="Times New Roman"/>
          <w:noProof/>
          <w:color w:val="000000"/>
          <w:sz w:val="24"/>
          <w:szCs w:val="24"/>
        </w:rPr>
        <w:t>. Tranže stanovené na rok 2018 (druhá fixná tranža vo výške 4 milióny EUR + prvá variabilná tranža vo výške 2 milióny EUR) boli vyplatené začiatkom roka 2019. Okrem toho bola koncom roka 2019 vyplatená tretia fixná tranža (5 miliónov EUR) a druhá variabilná tranža (3 milióny EUR).</w:t>
      </w:r>
    </w:p>
    <w:p>
      <w:pPr>
        <w:pStyle w:val="ListParagraph"/>
        <w:autoSpaceDE w:val="0"/>
        <w:autoSpaceDN w:val="0"/>
        <w:adjustRightInd w:val="0"/>
        <w:spacing w:after="167" w:line="240" w:lineRule="auto"/>
        <w:jc w:val="both"/>
        <w:rPr>
          <w:rFonts w:ascii="Times New Roman" w:hAnsi="Times New Roman" w:cs="Times New Roman"/>
          <w:noProof/>
          <w:color w:val="000000"/>
          <w:sz w:val="24"/>
          <w:szCs w:val="24"/>
        </w:rPr>
      </w:pPr>
    </w:p>
    <w:p>
      <w:pPr>
        <w:pStyle w:val="ListParagraph"/>
        <w:numPr>
          <w:ilvl w:val="0"/>
          <w:numId w:val="4"/>
        </w:numPr>
        <w:jc w:val="both"/>
        <w:rPr>
          <w:rFonts w:ascii="Times New Roman" w:hAnsi="Times New Roman" w:cs="Times New Roman"/>
          <w:noProof/>
          <w:color w:val="000000"/>
          <w:sz w:val="24"/>
          <w:szCs w:val="24"/>
        </w:rPr>
      </w:pPr>
      <w:r>
        <w:rPr>
          <w:rFonts w:ascii="Times New Roman" w:hAnsi="Times New Roman"/>
          <w:noProof/>
          <w:color w:val="000000"/>
          <w:sz w:val="24"/>
          <w:szCs w:val="24"/>
        </w:rPr>
        <w:t>Pokiaľ ide o </w:t>
      </w:r>
      <w:r>
        <w:rPr>
          <w:rFonts w:ascii="Times New Roman" w:hAnsi="Times New Roman"/>
          <w:b/>
          <w:noProof/>
          <w:color w:val="000000"/>
          <w:sz w:val="24"/>
          <w:szCs w:val="24"/>
        </w:rPr>
        <w:t>digitálny rozvoj</w:t>
      </w:r>
      <w:r>
        <w:rPr>
          <w:rFonts w:ascii="Times New Roman" w:hAnsi="Times New Roman"/>
          <w:noProof/>
          <w:color w:val="000000"/>
          <w:sz w:val="24"/>
          <w:szCs w:val="24"/>
        </w:rPr>
        <w:t xml:space="preserve">, ostrovy </w:t>
      </w:r>
      <w:r>
        <w:rPr>
          <w:rFonts w:ascii="Times New Roman" w:hAnsi="Times New Roman"/>
          <w:b/>
          <w:noProof/>
          <w:color w:val="000000"/>
          <w:sz w:val="24"/>
          <w:szCs w:val="24"/>
        </w:rPr>
        <w:t>Wallis a Futuna</w:t>
      </w:r>
      <w:r>
        <w:rPr>
          <w:rFonts w:ascii="Times New Roman" w:hAnsi="Times New Roman"/>
          <w:noProof/>
          <w:color w:val="000000"/>
          <w:sz w:val="24"/>
          <w:szCs w:val="24"/>
        </w:rPr>
        <w:t xml:space="preserve"> pokračovali v realizácii digitálnej stratégie a zavádzaní služieb spojených so širokopásmovým prepojením Tui-Samoy</w:t>
      </w:r>
      <w:r>
        <w:rPr>
          <w:rFonts w:ascii="Times New Roman" w:hAnsi="Times New Roman" w:cs="Times New Roman"/>
          <w:noProof/>
          <w:color w:val="000000"/>
          <w:sz w:val="24"/>
          <w:szCs w:val="24"/>
          <w:vertAlign w:val="superscript"/>
        </w:rPr>
        <w:footnoteReference w:id="8"/>
      </w:r>
      <w:r>
        <w:rPr>
          <w:rFonts w:ascii="Times New Roman" w:hAnsi="Times New Roman"/>
          <w:noProof/>
          <w:color w:val="000000"/>
          <w:sz w:val="24"/>
          <w:szCs w:val="24"/>
        </w:rPr>
        <w:t>, ktorým sa zabezpečuje vysokorýchlostné širokopásmové pripojenie.</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noProof/>
          <w:color w:val="000000"/>
          <w:sz w:val="24"/>
          <w:szCs w:val="24"/>
          <w:u w:val="single"/>
        </w:rPr>
      </w:pPr>
      <w:r>
        <w:rPr>
          <w:rFonts w:ascii="Times New Roman" w:hAnsi="Times New Roman"/>
          <w:noProof/>
          <w:color w:val="000000"/>
          <w:sz w:val="24"/>
          <w:szCs w:val="24"/>
          <w:u w:val="single"/>
        </w:rPr>
        <w:t>Ostatné ZKÚ:</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pStyle w:val="ListParagraph"/>
        <w:numPr>
          <w:ilvl w:val="0"/>
          <w:numId w:val="5"/>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Pre </w:t>
      </w:r>
      <w:r>
        <w:rPr>
          <w:rFonts w:ascii="Times New Roman" w:hAnsi="Times New Roman"/>
          <w:b/>
          <w:noProof/>
          <w:color w:val="000000"/>
          <w:sz w:val="24"/>
          <w:szCs w:val="24"/>
        </w:rPr>
        <w:t>Falklandské ostrovy</w:t>
      </w:r>
      <w:r>
        <w:rPr>
          <w:rFonts w:ascii="Times New Roman" w:hAnsi="Times New Roman"/>
          <w:noProof/>
          <w:color w:val="000000"/>
          <w:sz w:val="24"/>
          <w:szCs w:val="24"/>
        </w:rPr>
        <w:t xml:space="preserve"> je prínosný program </w:t>
      </w:r>
      <w:r>
        <w:rPr>
          <w:rFonts w:ascii="Times New Roman" w:hAnsi="Times New Roman"/>
          <w:b/>
          <w:noProof/>
          <w:color w:val="000000"/>
          <w:sz w:val="24"/>
          <w:szCs w:val="24"/>
        </w:rPr>
        <w:t>prepojenia</w:t>
      </w:r>
      <w:r>
        <w:rPr>
          <w:rFonts w:ascii="Times New Roman" w:hAnsi="Times New Roman"/>
          <w:noProof/>
          <w:color w:val="000000"/>
          <w:sz w:val="24"/>
          <w:szCs w:val="24"/>
        </w:rPr>
        <w:t xml:space="preserve"> v rámci 11. ERF. V roku 2019</w:t>
      </w:r>
      <w:r>
        <w:rPr>
          <w:rFonts w:ascii="Times New Roman" w:hAnsi="Times New Roman"/>
          <w:noProof/>
          <w:sz w:val="24"/>
          <w:szCs w:val="24"/>
        </w:rPr>
        <w:t xml:space="preserve"> dosiahli uspokojivý pokrok pri realizácii svojho národného plánu pre infraštruktúru a v oblasti obnovy leteckej flotily.</w:t>
      </w:r>
      <w:r>
        <w:rPr>
          <w:rFonts w:ascii="Times New Roman" w:hAnsi="Times New Roman"/>
          <w:noProof/>
          <w:color w:val="000000"/>
          <w:sz w:val="24"/>
          <w:szCs w:val="24"/>
        </w:rPr>
        <w:t xml:space="preserve"> Vyplatila sa druhá fixná tranža (1 milión EUR), ako aj prvá variabilná tranža (0,75 milióna EUR). Ostrov </w:t>
      </w:r>
      <w:r>
        <w:rPr>
          <w:rFonts w:ascii="Times New Roman" w:hAnsi="Times New Roman"/>
          <w:b/>
          <w:noProof/>
          <w:color w:val="000000"/>
          <w:sz w:val="24"/>
          <w:szCs w:val="24"/>
        </w:rPr>
        <w:t>Svätá Helena</w:t>
      </w:r>
      <w:r>
        <w:rPr>
          <w:rFonts w:ascii="Times New Roman" w:hAnsi="Times New Roman"/>
          <w:noProof/>
          <w:color w:val="000000"/>
          <w:sz w:val="24"/>
          <w:szCs w:val="24"/>
        </w:rPr>
        <w:t>, pre ktorý bol program prepojenia v rámci 11. ERF takisto prospešný, dosiahol v roku 2019 výrazný pokrok pri realizácii svojej digitálnej stratégie.</w:t>
      </w:r>
      <w:r>
        <w:rPr>
          <w:noProof/>
        </w:rPr>
        <w:t xml:space="preserve"> </w:t>
      </w:r>
      <w:r>
        <w:rPr>
          <w:noProof/>
        </w:rPr>
        <w:br/>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szCs w:val="24"/>
        </w:rPr>
        <w:t>Pokiaľ ide o </w:t>
      </w:r>
      <w:r>
        <w:rPr>
          <w:rFonts w:ascii="Times New Roman" w:hAnsi="Times New Roman"/>
          <w:b/>
          <w:bCs/>
          <w:noProof/>
          <w:sz w:val="24"/>
          <w:szCs w:val="24"/>
        </w:rPr>
        <w:t>cestovný ruch</w:t>
      </w:r>
      <w:r>
        <w:rPr>
          <w:rFonts w:ascii="Times New Roman" w:hAnsi="Times New Roman"/>
          <w:noProof/>
          <w:sz w:val="24"/>
          <w:szCs w:val="24"/>
        </w:rPr>
        <w:t xml:space="preserve">, program rozpočtovej podpory na ostrovoch </w:t>
      </w:r>
      <w:r>
        <w:rPr>
          <w:rFonts w:ascii="Times New Roman" w:hAnsi="Times New Roman"/>
          <w:b/>
          <w:bCs/>
          <w:noProof/>
          <w:sz w:val="24"/>
          <w:szCs w:val="24"/>
        </w:rPr>
        <w:t>Saint Pierre a Miquelon</w:t>
      </w:r>
      <w:r>
        <w:rPr>
          <w:rFonts w:ascii="Times New Roman" w:hAnsi="Times New Roman"/>
          <w:noProof/>
          <w:sz w:val="24"/>
          <w:szCs w:val="24"/>
        </w:rPr>
        <w:t xml:space="preserve"> sa v roku 2019 dokončil vyplatením štvrtej fixnej tranže (3,25 milióna EUR) a druhej variabilnej tranže (3,25 milióna EUR) v plnej výške. Viditeľný bol aj pokrok v sektore cestovného ruchu a námornej dopravy, čo dokazuje výrazný nárast ubytovacích kapacít a posilnenie služieb námornej dopravy medzi ostrovmi Saint Pierre a Miquelon a ostrovom Newfoundland v Kanade.</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Programy rozpočtovej podpory viedli vo všeobecnosti po celý rok k pravidelným dialógom o politike s partnerskými ZKÚ na témy makroekonomickej situácie, riadenia verejných financií a sektorových politík.</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spacing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V roku 2019 došlo k mobilizácii </w:t>
      </w:r>
      <w:r>
        <w:rPr>
          <w:rFonts w:ascii="Times New Roman" w:hAnsi="Times New Roman"/>
          <w:b/>
          <w:bCs/>
          <w:iCs/>
          <w:noProof/>
          <w:color w:val="000000"/>
          <w:sz w:val="24"/>
          <w:szCs w:val="24"/>
        </w:rPr>
        <w:t>technickej pomoci</w:t>
      </w:r>
      <w:r>
        <w:rPr>
          <w:rFonts w:ascii="Times New Roman" w:hAnsi="Times New Roman"/>
          <w:iCs/>
          <w:noProof/>
          <w:color w:val="000000"/>
          <w:sz w:val="24"/>
          <w:szCs w:val="24"/>
        </w:rPr>
        <w:t xml:space="preserve"> na podporu územných a regionálnych povoľujúcich úradníkov v rámci procesu tvorby programov. Koncom roka 2019 boli v rámci nástrojov technickej spolupráce II a III 11. ERF uzavreté zmluvy o technickej pomoci alebo zadané štúdie na podporu vymedzenia tvorby programov a odvetvových stratégií ZKÚ alebo stanovenie oprávnenosti ZKÚ na rozpočtovú podporu v celkovej hodnote 1 592 672,72 EUR.</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b/>
          <w:bCs/>
          <w:noProof/>
          <w:color w:val="000000"/>
          <w:sz w:val="24"/>
          <w:szCs w:val="24"/>
        </w:rPr>
      </w:pPr>
      <w:r>
        <w:rPr>
          <w:rFonts w:ascii="Times New Roman" w:hAnsi="Times New Roman"/>
          <w:b/>
          <w:bCs/>
          <w:noProof/>
          <w:color w:val="000000"/>
          <w:sz w:val="24"/>
          <w:szCs w:val="24"/>
        </w:rPr>
        <w:t>Regionálna spolupráca v rámci 11. ERF</w:t>
      </w:r>
    </w:p>
    <w:p>
      <w:pPr>
        <w:pStyle w:val="ListParagraph"/>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noProof/>
          <w:color w:val="000000"/>
          <w:sz w:val="24"/>
          <w:szCs w:val="24"/>
        </w:rPr>
      </w:pPr>
      <w:r>
        <w:rPr>
          <w:rFonts w:ascii="Times New Roman" w:hAnsi="Times New Roman"/>
          <w:noProof/>
          <w:color w:val="000000"/>
          <w:sz w:val="24"/>
          <w:szCs w:val="24"/>
        </w:rPr>
        <w:t>V roku 2019 sa dosiahol významný pokrok v súvislosti s regionálnymi programami pre ZKÚ v rámci 11. ERF:</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V </w:t>
      </w:r>
      <w:r>
        <w:rPr>
          <w:rFonts w:ascii="Times New Roman" w:hAnsi="Times New Roman"/>
          <w:b/>
          <w:bCs/>
          <w:noProof/>
          <w:sz w:val="24"/>
          <w:szCs w:val="24"/>
        </w:rPr>
        <w:t>Tichomorí</w:t>
      </w:r>
      <w:r>
        <w:rPr>
          <w:rFonts w:ascii="Times New Roman" w:hAnsi="Times New Roman"/>
          <w:noProof/>
          <w:sz w:val="24"/>
          <w:szCs w:val="24"/>
        </w:rPr>
        <w:t xml:space="preserve"> sa v rámci regionálneho programu PROTEGE (</w:t>
      </w:r>
      <w:r>
        <w:rPr>
          <w:rFonts w:ascii="Times New Roman" w:hAnsi="Times New Roman"/>
          <w:i/>
          <w:noProof/>
          <w:sz w:val="24"/>
          <w:szCs w:val="24"/>
        </w:rPr>
        <w:t>Projet régional océanien des territoires pour la gestion durable des écosystèmes</w:t>
      </w:r>
      <w:r>
        <w:rPr>
          <w:rFonts w:ascii="Times New Roman" w:hAnsi="Times New Roman"/>
          <w:noProof/>
          <w:sz w:val="24"/>
          <w:szCs w:val="24"/>
        </w:rPr>
        <w:t> – 36 miliónov EUR) podporuje trvalo udržateľný a odolný rozvoj regiónu prostredníctvom ochrany biodiverzity a obnoviteľných prírodných zdrojov. Vychádza z regionálneho programu 10. ERF INTEGRE (</w:t>
      </w:r>
      <w:r>
        <w:rPr>
          <w:rFonts w:ascii="Times New Roman" w:hAnsi="Times New Roman"/>
          <w:i/>
          <w:iCs/>
          <w:noProof/>
          <w:sz w:val="24"/>
          <w:szCs w:val="24"/>
        </w:rPr>
        <w:t>Initiative des territoires pour la gestion régionale de l’environnement</w:t>
      </w:r>
      <w:r>
        <w:rPr>
          <w:rFonts w:ascii="Times New Roman" w:hAnsi="Times New Roman"/>
          <w:noProof/>
          <w:sz w:val="24"/>
          <w:szCs w:val="24"/>
        </w:rPr>
        <w:t> – 12 miliónov EUR), ktorým sa podporoval integrovaný manažment pobrežnej zóny a posilňovala sa regionálna spolupráca v oblasti trvalo udržateľného rozvoja. Vyplatenie prvej sumy (6,8 milióna EUR) sa uskutočnilo v decembri 2018. V roku 2019 sa zostavil tím a určili sa štyri pracovné priority (poľnohospodárstvo, rybárstvo, voda a invázne druhy), pričom prvé zasadnutie riadiaceho výboru sa konalo v júli 2019.</w:t>
      </w:r>
      <w:r>
        <w:rPr>
          <w:noProof/>
        </w:rPr>
        <w:tab/>
        <w:t xml:space="preserve"> </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color w:val="000000"/>
          <w:sz w:val="24"/>
          <w:szCs w:val="24"/>
        </w:rPr>
      </w:pPr>
      <w:r>
        <w:rPr>
          <w:rFonts w:ascii="Times New Roman" w:hAnsi="Times New Roman"/>
          <w:noProof/>
          <w:sz w:val="24"/>
          <w:szCs w:val="24"/>
        </w:rPr>
        <w:t>V </w:t>
      </w:r>
      <w:r>
        <w:rPr>
          <w:rFonts w:ascii="Times New Roman" w:hAnsi="Times New Roman"/>
          <w:b/>
          <w:bCs/>
          <w:noProof/>
          <w:sz w:val="24"/>
          <w:szCs w:val="24"/>
        </w:rPr>
        <w:t>Karibiku</w:t>
      </w:r>
      <w:r>
        <w:rPr>
          <w:rFonts w:ascii="Times New Roman" w:hAnsi="Times New Roman"/>
          <w:noProof/>
          <w:sz w:val="24"/>
          <w:szCs w:val="24"/>
        </w:rPr>
        <w:t xml:space="preserve"> sa uskutočňuje regionálny program Resembid (</w:t>
      </w:r>
      <w:r>
        <w:rPr>
          <w:rFonts w:ascii="Times New Roman" w:hAnsi="Times New Roman"/>
          <w:i/>
          <w:noProof/>
          <w:sz w:val="24"/>
          <w:szCs w:val="24"/>
        </w:rPr>
        <w:t>Resilience, Sustainable Energy and Marine Biodiversity Regional Programme</w:t>
      </w:r>
      <w:r>
        <w:rPr>
          <w:rFonts w:ascii="Times New Roman" w:hAnsi="Times New Roman"/>
          <w:noProof/>
          <w:sz w:val="24"/>
          <w:szCs w:val="24"/>
        </w:rPr>
        <w:t> – 40 miliónov EUR), ktorý je vďaka svojmu zameraniu na odolnosť, energiu z udržateľných zdrojov a morskú biodiverzitu zacielený na posilnenie environmentálne udržateľného hospodárskeho rozvoja. Cieľom je modernizovať zastaranú infraštruktúru a zvýšiť jej energetickú efektívnosť, zlepšiť ochranu a udržateľné riadenie morskej biodiverzity, ako aj zlepšiť odolnosť voči extrémnym a opakujúcim sa prírodným udalostiam. V roku 2019 sa vyplatilo 3,62 milióna EUR.</w:t>
      </w:r>
    </w:p>
    <w:p>
      <w:pPr>
        <w:pStyle w:val="ListParagraph"/>
        <w:spacing w:line="240" w:lineRule="auto"/>
        <w:jc w:val="both"/>
        <w:rPr>
          <w:rFonts w:ascii="Times New Roman" w:hAnsi="Times New Roman" w:cs="Times New Roman"/>
          <w:noProof/>
          <w:sz w:val="24"/>
          <w:szCs w:val="24"/>
        </w:rPr>
      </w:pP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szCs w:val="24"/>
        </w:rPr>
        <w:t xml:space="preserve">Cieľom regionálneho programu pre oblasť </w:t>
      </w:r>
      <w:r>
        <w:rPr>
          <w:rFonts w:ascii="Times New Roman" w:hAnsi="Times New Roman"/>
          <w:b/>
          <w:bCs/>
          <w:noProof/>
          <w:sz w:val="24"/>
          <w:szCs w:val="24"/>
        </w:rPr>
        <w:t>Indického oceánu</w:t>
      </w:r>
      <w:r>
        <w:rPr>
          <w:rFonts w:ascii="Times New Roman" w:hAnsi="Times New Roman"/>
          <w:noProof/>
          <w:sz w:val="24"/>
          <w:szCs w:val="24"/>
        </w:rPr>
        <w:t xml:space="preserve"> (</w:t>
      </w:r>
      <w:r>
        <w:rPr>
          <w:rFonts w:ascii="Times New Roman" w:hAnsi="Times New Roman"/>
          <w:i/>
          <w:iCs/>
          <w:noProof/>
          <w:sz w:val="24"/>
          <w:szCs w:val="24"/>
        </w:rPr>
        <w:t>Programme Régional d’appui dans le secteur de l’observation, de la gestion et de la préservation des écosystèmes terrestres et marins</w:t>
      </w:r>
      <w:r>
        <w:rPr>
          <w:rFonts w:ascii="Times New Roman" w:hAnsi="Times New Roman"/>
          <w:noProof/>
          <w:sz w:val="24"/>
          <w:szCs w:val="24"/>
        </w:rPr>
        <w:t> – 4 milióny EUR) je zlepšiť sledovanie a pozorovanie suchozemských a morských ekosystémov vo Francúzskych južných a antarktických územiach, obnoviť ekosystémy a posilniť mechanizmy prevencie vplyvu. Dohoda o príspevku bola podpísaná s Francúzskou agentúrou pre rozvoj v júli 2019 a vyplatilo sa 1,4 milióna EUR.</w:t>
      </w:r>
      <w:r>
        <w:rPr>
          <w:noProof/>
        </w:rPr>
        <w:br/>
      </w:r>
    </w:p>
    <w:p>
      <w:pPr>
        <w:pStyle w:val="ListParagraph"/>
        <w:numPr>
          <w:ilvl w:val="0"/>
          <w:numId w:val="6"/>
        </w:numPr>
        <w:autoSpaceDE w:val="0"/>
        <w:autoSpaceDN w:val="0"/>
        <w:adjustRightInd w:val="0"/>
        <w:spacing w:after="167" w:line="240" w:lineRule="auto"/>
        <w:jc w:val="both"/>
        <w:rPr>
          <w:rFonts w:ascii="Times New Roman" w:hAnsi="Times New Roman" w:cs="Times New Roman"/>
          <w:noProof/>
          <w:sz w:val="24"/>
          <w:szCs w:val="24"/>
        </w:rPr>
      </w:pPr>
      <w:r>
        <w:rPr>
          <w:rFonts w:ascii="Times New Roman" w:hAnsi="Times New Roman"/>
          <w:noProof/>
          <w:sz w:val="24"/>
          <w:szCs w:val="24"/>
        </w:rPr>
        <w:t xml:space="preserve">V marci 2019 bol prijatý programový dokument týkajúci sa </w:t>
      </w:r>
      <w:r>
        <w:rPr>
          <w:rFonts w:ascii="Times New Roman" w:hAnsi="Times New Roman"/>
          <w:b/>
          <w:noProof/>
          <w:sz w:val="24"/>
          <w:szCs w:val="24"/>
        </w:rPr>
        <w:t>tematického programu všetkých ZKÚ v rámci 11. ERF</w:t>
      </w:r>
      <w:r>
        <w:rPr>
          <w:rFonts w:ascii="Times New Roman" w:hAnsi="Times New Roman"/>
          <w:noProof/>
          <w:sz w:val="24"/>
          <w:szCs w:val="24"/>
        </w:rPr>
        <w:t xml:space="preserve"> (17,8 milióna EUR). Tento program je zameraný na udržateľné využívanie prírodných zdrojov, pričom energia z udržateľných zdrojov a zmena klímy – vrátane znižovania rizika katastrof – sú v ňom vymedzené ako podprvky. Podpísanie zmluvy s vybranou vykonávacou agentúrou je naplánované na rok 2020.</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EÚ v roku 2019 podporila aj </w:t>
      </w:r>
      <w:r>
        <w:rPr>
          <w:rFonts w:ascii="Times New Roman" w:hAnsi="Times New Roman"/>
          <w:b/>
          <w:bCs/>
          <w:noProof/>
          <w:color w:val="000000"/>
          <w:sz w:val="24"/>
          <w:szCs w:val="24"/>
        </w:rPr>
        <w:t>Združenie zámorských krajín a území (OCTA) prostredníctvom grantu na prevádzku</w:t>
      </w:r>
      <w:r>
        <w:rPr>
          <w:rFonts w:ascii="Times New Roman" w:hAnsi="Times New Roman"/>
          <w:noProof/>
          <w:color w:val="000000"/>
          <w:sz w:val="24"/>
          <w:szCs w:val="24"/>
        </w:rPr>
        <w:t xml:space="preserve"> (550 000 EUR). Združeniu zámorských krajín a území to umožnilo zlepšiť svoje schopnosti napĺňať svoj mandát, a najmä koordinovať partnerov ZKÚ s cieľom uľahčiť dialóg s EÚ a podporiť partnerstvo a kolektívnu prácu svojich členov v niekoľkých oblastiach spoločného záujmu v rámci pridruženia ZKÚ k EÚ.</w:t>
      </w:r>
    </w:p>
    <w:p>
      <w:pPr>
        <w:autoSpaceDE w:val="0"/>
        <w:autoSpaceDN w:val="0"/>
        <w:adjustRightInd w:val="0"/>
        <w:spacing w:after="0" w:line="240" w:lineRule="auto"/>
        <w:rPr>
          <w:rFonts w:ascii="Times New Roman" w:hAnsi="Times New Roman" w:cs="Times New Roman"/>
          <w:noProof/>
          <w:color w:val="000000"/>
          <w:sz w:val="24"/>
          <w:szCs w:val="24"/>
        </w:rPr>
      </w:pPr>
    </w:p>
    <w:p>
      <w:pPr>
        <w:pStyle w:val="ListParagraph"/>
        <w:numPr>
          <w:ilvl w:val="0"/>
          <w:numId w:val="2"/>
        </w:numPr>
        <w:autoSpaceDE w:val="0"/>
        <w:autoSpaceDN w:val="0"/>
        <w:adjustRightInd w:val="0"/>
        <w:spacing w:after="0" w:line="240" w:lineRule="auto"/>
        <w:rPr>
          <w:rFonts w:ascii="Times New Roman" w:hAnsi="Times New Roman"/>
          <w:b/>
          <w:bCs/>
          <w:noProof/>
          <w:color w:val="000000"/>
          <w:sz w:val="24"/>
          <w:szCs w:val="24"/>
        </w:rPr>
      </w:pPr>
      <w:r>
        <w:rPr>
          <w:rFonts w:ascii="Times New Roman" w:hAnsi="Times New Roman"/>
          <w:b/>
          <w:bCs/>
          <w:noProof/>
          <w:color w:val="000000"/>
          <w:sz w:val="24"/>
          <w:szCs w:val="24"/>
        </w:rPr>
        <w:t>Inštitucionálny dialóg</w:t>
      </w:r>
    </w:p>
    <w:p>
      <w:pPr>
        <w:pStyle w:val="ListParagraph"/>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V pridružení sú vymedzené tri nástroje dialógu:</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noProof/>
          <w:color w:val="000000"/>
          <w:sz w:val="24"/>
          <w:szCs w:val="24"/>
          <w:u w:val="single"/>
        </w:rPr>
      </w:pPr>
      <w:r>
        <w:rPr>
          <w:rFonts w:ascii="Times New Roman" w:hAnsi="Times New Roman"/>
          <w:noProof/>
          <w:color w:val="000000"/>
          <w:sz w:val="24"/>
          <w:szCs w:val="24"/>
          <w:u w:val="single"/>
        </w:rPr>
        <w:t>Fórum ZKÚ – EÚ</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spacing w:line="240" w:lineRule="auto"/>
        <w:jc w:val="both"/>
        <w:rPr>
          <w:rFonts w:ascii="Times New Roman" w:hAnsi="Times New Roman" w:cs="Times New Roman"/>
          <w:noProof/>
          <w:sz w:val="24"/>
          <w:szCs w:val="24"/>
        </w:rPr>
      </w:pPr>
      <w:r>
        <w:rPr>
          <w:rFonts w:ascii="Times New Roman" w:hAnsi="Times New Roman"/>
          <w:b/>
          <w:noProof/>
          <w:sz w:val="24"/>
          <w:szCs w:val="24"/>
        </w:rPr>
        <w:t>Vo Francúzskej Polynézii sa v marci 2019 uskutočnilo 17. fórum ZKÚ – EÚ</w:t>
      </w:r>
      <w:r>
        <w:rPr>
          <w:rFonts w:ascii="Times New Roman" w:hAnsi="Times New Roman"/>
          <w:noProof/>
          <w:sz w:val="24"/>
          <w:szCs w:val="24"/>
        </w:rPr>
        <w:t xml:space="preserve">, ktorého sa zúčastnili zástupcovia ZKÚ a členských štátov na vysokej úrovni, ako aj </w:t>
      </w:r>
      <w:r>
        <w:rPr>
          <w:rFonts w:ascii="Times New Roman" w:hAnsi="Times New Roman"/>
          <w:noProof/>
          <w:color w:val="000000"/>
          <w:sz w:val="24"/>
          <w:szCs w:val="24"/>
        </w:rPr>
        <w:t>európsky komisár pre medzinárodnú spoluprácu a rozvoj Neven Mimica,</w:t>
      </w:r>
      <w:r>
        <w:rPr>
          <w:rFonts w:ascii="Times New Roman" w:hAnsi="Times New Roman"/>
          <w:noProof/>
          <w:sz w:val="24"/>
          <w:szCs w:val="24"/>
        </w:rPr>
        <w:t xml:space="preserve"> ktorý fóru predsedal.</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V </w:t>
      </w:r>
      <w:r>
        <w:rPr>
          <w:rFonts w:ascii="Times New Roman" w:hAnsi="Times New Roman"/>
          <w:b/>
          <w:bCs/>
          <w:noProof/>
          <w:color w:val="000000"/>
          <w:sz w:val="24"/>
          <w:szCs w:val="24"/>
        </w:rPr>
        <w:t>záveroch zo 17. fóra ZKÚ – EÚ</w:t>
      </w:r>
      <w:r>
        <w:rPr>
          <w:rFonts w:ascii="Times New Roman" w:hAnsi="Times New Roman"/>
          <w:noProof/>
          <w:color w:val="000000"/>
          <w:sz w:val="24"/>
          <w:szCs w:val="24"/>
        </w:rPr>
        <w:t xml:space="preserve"> uznali EÚ, ZKÚ a členské štáty, s ktorými sú ZKÚ spojené,</w:t>
      </w:r>
      <w:r>
        <w:rPr>
          <w:rFonts w:ascii="Times New Roman" w:hAnsi="Times New Roman"/>
          <w:noProof/>
          <w:sz w:val="24"/>
          <w:szCs w:val="24"/>
        </w:rPr>
        <w:t xml:space="preserve"> že rok 2019 bol pre budúcnosť vzťahov medzi EÚ a ZKÚ rozhodujúcim, a to z dôvodu rokovaní o novom rozhodnutí o pridružení zámoria, viacročnom finančnom rámci EÚ na obdobie 2021 – 2027, procese brexitu a rámci po skončení platnosti Dohody z Cotonou.</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color w:val="000000"/>
          <w:sz w:val="24"/>
          <w:szCs w:val="24"/>
        </w:rPr>
        <w:t xml:space="preserve">V rámci tohto fóra sa konali </w:t>
      </w:r>
      <w:r>
        <w:rPr>
          <w:rFonts w:ascii="Times New Roman" w:hAnsi="Times New Roman"/>
          <w:b/>
          <w:bCs/>
          <w:noProof/>
          <w:color w:val="000000"/>
          <w:sz w:val="24"/>
          <w:szCs w:val="24"/>
        </w:rPr>
        <w:t>trojstranné stretnutia na politickej úrovni</w:t>
      </w:r>
      <w:r>
        <w:rPr>
          <w:rFonts w:ascii="Times New Roman" w:hAnsi="Times New Roman"/>
          <w:noProof/>
          <w:color w:val="000000"/>
          <w:sz w:val="24"/>
          <w:szCs w:val="24"/>
        </w:rPr>
        <w:t xml:space="preserve"> (1. marca 2019) medzi zástupcami členských štátov, s ktorými sú ZKÚ spojené (preto sa rátalo s účasťou francúzskeho ministra pre zámorie), vedúcimi delegácií ZKÚ a komisárom, pričom išlo o vhodnú príležitosť diskutovať o partnerstve medzi EÚ – ZKÚ po roku 2020. Konal sa aj pracovný </w:t>
      </w:r>
      <w:r>
        <w:rPr>
          <w:rFonts w:ascii="Times New Roman" w:hAnsi="Times New Roman"/>
          <w:b/>
          <w:noProof/>
          <w:color w:val="000000"/>
          <w:sz w:val="24"/>
          <w:szCs w:val="24"/>
        </w:rPr>
        <w:t>seminár</w:t>
      </w:r>
      <w:r>
        <w:rPr>
          <w:rFonts w:ascii="Times New Roman" w:hAnsi="Times New Roman"/>
          <w:noProof/>
          <w:color w:val="000000"/>
          <w:sz w:val="24"/>
          <w:szCs w:val="24"/>
        </w:rPr>
        <w:t xml:space="preserve"> na tému </w:t>
      </w:r>
      <w:r>
        <w:rPr>
          <w:rFonts w:ascii="Times New Roman" w:hAnsi="Times New Roman"/>
          <w:b/>
          <w:noProof/>
          <w:color w:val="000000"/>
          <w:sz w:val="24"/>
          <w:szCs w:val="24"/>
        </w:rPr>
        <w:t>Trvalo udržateľný rozvoj prostredníctvom regionálnej spolupráce</w:t>
      </w:r>
      <w:r>
        <w:rPr>
          <w:rFonts w:ascii="Times New Roman" w:hAnsi="Times New Roman"/>
          <w:noProof/>
          <w:color w:val="000000"/>
          <w:sz w:val="24"/>
          <w:szCs w:val="24"/>
        </w:rPr>
        <w:t>. Išlo o dobrú príležitosť diskutovať o úlohe, ktorú by ZKÚ mohli zohrávať pri posilňovaní regionálnej</w:t>
      </w:r>
      <w:r>
        <w:rPr>
          <w:rFonts w:ascii="Times New Roman" w:hAnsi="Times New Roman"/>
          <w:noProof/>
          <w:sz w:val="24"/>
          <w:szCs w:val="24"/>
        </w:rPr>
        <w:t xml:space="preserve"> spolupráce vo svojom susedstve.</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rPr>
          <w:rFonts w:ascii="Times New Roman" w:hAnsi="Times New Roman" w:cs="Times New Roman"/>
          <w:noProof/>
          <w:color w:val="000000"/>
          <w:sz w:val="24"/>
          <w:szCs w:val="24"/>
          <w:u w:val="single"/>
        </w:rPr>
      </w:pPr>
      <w:r>
        <w:rPr>
          <w:rFonts w:ascii="Times New Roman" w:hAnsi="Times New Roman"/>
          <w:noProof/>
          <w:color w:val="000000"/>
          <w:sz w:val="24"/>
          <w:szCs w:val="24"/>
          <w:u w:val="single"/>
        </w:rPr>
        <w:t>Trojstranné konzultácie (tripartitné stretnutia)</w:t>
      </w:r>
    </w:p>
    <w:p>
      <w:pPr>
        <w:autoSpaceDE w:val="0"/>
        <w:autoSpaceDN w:val="0"/>
        <w:adjustRightInd w:val="0"/>
        <w:spacing w:after="0" w:line="240" w:lineRule="auto"/>
        <w:rPr>
          <w:rFonts w:ascii="Times New Roman" w:hAnsi="Times New Roman" w:cs="Times New Roman"/>
          <w:noProof/>
          <w:color w:val="000000"/>
          <w:sz w:val="24"/>
          <w:szCs w:val="24"/>
        </w:rPr>
      </w:pPr>
    </w:p>
    <w:p>
      <w:pPr>
        <w:pStyle w:val="Default"/>
        <w:jc w:val="both"/>
        <w:rPr>
          <w:rFonts w:ascii="Times New Roman" w:hAnsi="Times New Roman" w:cs="Times New Roman"/>
          <w:noProof/>
          <w:color w:val="auto"/>
        </w:rPr>
      </w:pPr>
      <w:r>
        <w:rPr>
          <w:rFonts w:ascii="Times New Roman" w:hAnsi="Times New Roman"/>
          <w:b/>
          <w:bCs/>
          <w:noProof/>
        </w:rPr>
        <w:t>V roku 2019</w:t>
      </w:r>
      <w:r>
        <w:rPr>
          <w:rFonts w:ascii="Times New Roman" w:hAnsi="Times New Roman"/>
          <w:bCs/>
          <w:noProof/>
        </w:rPr>
        <w:t xml:space="preserve"> (v apríli, júli a októbri) sa v Bruseli </w:t>
      </w:r>
      <w:r>
        <w:rPr>
          <w:rFonts w:ascii="Times New Roman" w:hAnsi="Times New Roman"/>
          <w:b/>
          <w:bCs/>
          <w:noProof/>
        </w:rPr>
        <w:t>konali tri trojstranné stretnutia medzi Komisiou (predseda), zástupcami ZKÚ a členskými štátmi, s ktorými sú ZKÚ spojené,</w:t>
      </w:r>
      <w:r>
        <w:rPr>
          <w:rFonts w:ascii="Times New Roman" w:hAnsi="Times New Roman"/>
          <w:noProof/>
        </w:rPr>
        <w:t xml:space="preserve"> ktoré predstavovali platformu na dialóg a výmenu relevantných informácií, úvahy o prioritných témach spoločného záujmu a monitorovanie pokroku pri realizácii rozhodnutia o pridružení zámoria.</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noProof/>
          <w:color w:val="000000"/>
          <w:sz w:val="24"/>
          <w:szCs w:val="24"/>
          <w:u w:val="single"/>
        </w:rPr>
      </w:pPr>
      <w:r>
        <w:rPr>
          <w:rFonts w:ascii="Times New Roman" w:hAnsi="Times New Roman"/>
          <w:noProof/>
          <w:color w:val="000000"/>
          <w:sz w:val="24"/>
          <w:szCs w:val="24"/>
          <w:u w:val="single"/>
        </w:rPr>
        <w:t>Partnerské pracovné skupiny</w:t>
      </w:r>
    </w:p>
    <w:p>
      <w:pPr>
        <w:autoSpaceDE w:val="0"/>
        <w:autoSpaceDN w:val="0"/>
        <w:adjustRightInd w:val="0"/>
        <w:spacing w:after="0" w:line="240" w:lineRule="auto"/>
        <w:jc w:val="both"/>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V júli 2019 sa uskutočnilo stretnutie partnerskej pracovnej skupiny pre </w:t>
      </w:r>
      <w:r>
        <w:rPr>
          <w:rFonts w:ascii="Times New Roman" w:hAnsi="Times New Roman"/>
          <w:b/>
          <w:noProof/>
          <w:color w:val="000000"/>
          <w:sz w:val="24"/>
          <w:szCs w:val="24"/>
        </w:rPr>
        <w:t>životné prostredie, zmenu klímy a energiu z udržateľných zdrojov</w:t>
      </w:r>
      <w:r>
        <w:rPr>
          <w:rFonts w:ascii="Times New Roman" w:hAnsi="Times New Roman"/>
          <w:noProof/>
          <w:color w:val="000000"/>
          <w:sz w:val="24"/>
          <w:szCs w:val="24"/>
        </w:rPr>
        <w:t>, ktorého cieľom bola najmä výmena informácií o rozličných aspektoch súvisiacich s politikami EÚ a iniciatívami týkajúcimi sa oceánov, ako aj o aspektoch súvisiacich s iniciatívou BEST a programom LIFE.</w:t>
      </w:r>
    </w:p>
    <w:p>
      <w:pPr>
        <w:pStyle w:val="Default"/>
        <w:jc w:val="both"/>
        <w:rPr>
          <w:rStyle w:val="A0"/>
          <w:rFonts w:ascii="Times New Roman" w:hAnsi="Times New Roman"/>
          <w:noProof/>
          <w:sz w:val="24"/>
          <w:szCs w:val="24"/>
        </w:rPr>
      </w:pPr>
      <w:r>
        <w:rPr>
          <w:rFonts w:ascii="Times New Roman" w:hAnsi="Times New Roman"/>
          <w:noProof/>
        </w:rPr>
        <w:t xml:space="preserve">Okrem inštitucionálneho rámca a dialógov priniesol rok 2019 aj </w:t>
      </w:r>
      <w:r>
        <w:rPr>
          <w:rFonts w:ascii="Times New Roman" w:hAnsi="Times New Roman"/>
          <w:b/>
          <w:noProof/>
        </w:rPr>
        <w:t>tri podujatia</w:t>
      </w:r>
      <w:r>
        <w:rPr>
          <w:rFonts w:ascii="Times New Roman" w:hAnsi="Times New Roman"/>
          <w:noProof/>
        </w:rPr>
        <w:t xml:space="preserve">, ktoré </w:t>
      </w:r>
      <w:r>
        <w:rPr>
          <w:rFonts w:ascii="Times New Roman" w:hAnsi="Times New Roman"/>
          <w:b/>
          <w:noProof/>
        </w:rPr>
        <w:t>zorganizovalo združenie OCTA s podporou Komisie</w:t>
      </w:r>
      <w:r>
        <w:rPr>
          <w:rFonts w:ascii="Times New Roman" w:hAnsi="Times New Roman"/>
          <w:noProof/>
        </w:rPr>
        <w:t xml:space="preserve">. V októbri sa v Bruseli konala </w:t>
      </w:r>
      <w:r>
        <w:rPr>
          <w:rFonts w:ascii="Times New Roman" w:hAnsi="Times New Roman"/>
          <w:b/>
          <w:noProof/>
        </w:rPr>
        <w:t>konferencia</w:t>
      </w:r>
      <w:r>
        <w:rPr>
          <w:rFonts w:ascii="Times New Roman" w:hAnsi="Times New Roman"/>
          <w:noProof/>
        </w:rPr>
        <w:t xml:space="preserve"> s názvom Od pólov po trópy – modrá krajina ZKÚ, ktorá vyústila do podpísania </w:t>
      </w:r>
      <w:r>
        <w:rPr>
          <w:rFonts w:ascii="Times New Roman" w:hAnsi="Times New Roman"/>
          <w:b/>
          <w:noProof/>
        </w:rPr>
        <w:t>vyhlásenia ZKÚ o oceáne</w:t>
      </w:r>
      <w:r>
        <w:rPr>
          <w:rFonts w:ascii="Times New Roman" w:hAnsi="Times New Roman"/>
          <w:noProof/>
        </w:rPr>
        <w:t xml:space="preserve">, v ktorom sa zdôrazňuje záväzok chrániť oceány a podporovať ich spoločenskú a hospodársku hodnotu. V decembri 2019 sa konal </w:t>
      </w:r>
      <w:r>
        <w:rPr>
          <w:rFonts w:ascii="Times New Roman" w:hAnsi="Times New Roman"/>
          <w:b/>
          <w:bCs/>
          <w:noProof/>
        </w:rPr>
        <w:t>seminár o energii z udržateľných zdrojov</w:t>
      </w:r>
      <w:r>
        <w:rPr>
          <w:rFonts w:ascii="Times New Roman" w:hAnsi="Times New Roman"/>
          <w:noProof/>
        </w:rPr>
        <w:t xml:space="preserve">. Vznikol tak priestor na diskusiu medzi expertmi na energetiku zo ZKÚ a Komisiou o tejto téme spoločného záujmu. ZKÚ predstavili pokrok dosiahnutý pri realizácii svojho plánu postupu v energetike podpísaného v roku 2015. V decembri 2019 zorganizovalo združenie OCTA </w:t>
      </w:r>
      <w:r>
        <w:rPr>
          <w:rFonts w:ascii="Times New Roman" w:hAnsi="Times New Roman"/>
          <w:b/>
          <w:noProof/>
        </w:rPr>
        <w:t>seminár o programoch EÚ</w:t>
      </w:r>
      <w:r>
        <w:rPr>
          <w:rFonts w:ascii="Times New Roman" w:hAnsi="Times New Roman"/>
          <w:noProof/>
        </w:rPr>
        <w:t xml:space="preserve"> zameraný na </w:t>
      </w:r>
      <w:r>
        <w:rPr>
          <w:rStyle w:val="A0"/>
          <w:rFonts w:ascii="Times New Roman" w:hAnsi="Times New Roman"/>
          <w:noProof/>
          <w:sz w:val="24"/>
          <w:szCs w:val="24"/>
        </w:rPr>
        <w:t>výmenu informácií o programoch EÚ a možnostiach financovania pre ZKÚ.</w:t>
      </w:r>
    </w:p>
    <w:p>
      <w:pPr>
        <w:pStyle w:val="Default"/>
        <w:jc w:val="both"/>
        <w:rPr>
          <w:rFonts w:ascii="Times New Roman" w:hAnsi="Times New Roman" w:cs="Times New Roman"/>
          <w:noProof/>
        </w:rPr>
      </w:pPr>
    </w:p>
    <w:p>
      <w:pPr>
        <w:pStyle w:val="Default"/>
        <w:rPr>
          <w:rFonts w:ascii="Times New Roman" w:hAnsi="Times New Roman" w:cs="Times New Roman"/>
          <w:noProof/>
        </w:rPr>
      </w:pPr>
    </w:p>
    <w:p>
      <w:pPr>
        <w:pStyle w:val="ListParagraph"/>
        <w:numPr>
          <w:ilvl w:val="0"/>
          <w:numId w:val="2"/>
        </w:numPr>
        <w:autoSpaceDE w:val="0"/>
        <w:autoSpaceDN w:val="0"/>
        <w:adjustRightInd w:val="0"/>
        <w:spacing w:after="0" w:line="240" w:lineRule="auto"/>
        <w:rPr>
          <w:rFonts w:ascii="Times New Roman" w:hAnsi="Times New Roman" w:cs="Times New Roman"/>
          <w:b/>
          <w:bCs/>
          <w:noProof/>
          <w:color w:val="000000"/>
          <w:sz w:val="24"/>
          <w:szCs w:val="24"/>
        </w:rPr>
      </w:pPr>
      <w:r>
        <w:rPr>
          <w:rFonts w:ascii="Times New Roman" w:hAnsi="Times New Roman"/>
          <w:b/>
          <w:bCs/>
          <w:noProof/>
          <w:color w:val="000000"/>
          <w:sz w:val="24"/>
          <w:szCs w:val="24"/>
        </w:rPr>
        <w:t>Európska investičná banka</w:t>
      </w:r>
    </w:p>
    <w:p>
      <w:pPr>
        <w:autoSpaceDE w:val="0"/>
        <w:autoSpaceDN w:val="0"/>
        <w:adjustRightInd w:val="0"/>
        <w:spacing w:after="0" w:line="240" w:lineRule="auto"/>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V rozhodnutí o pridružení zámoria sa stanovuje finančná pomoc pre ZKÚ v období 2014 – 2020 v rámci 3. finančného protokolu prostredníctvom finančných mechanizmov</w:t>
      </w:r>
      <w:r>
        <w:rPr>
          <w:rFonts w:ascii="Times New Roman" w:hAnsi="Times New Roman"/>
          <w:noProof/>
          <w:sz w:val="24"/>
          <w:szCs w:val="24"/>
        </w:rPr>
        <w:t>, ktoré spravuje Európska investičná banka (EIB)</w:t>
      </w:r>
      <w:r>
        <w:rPr>
          <w:rFonts w:ascii="Times New Roman" w:hAnsi="Times New Roman"/>
          <w:noProof/>
          <w:color w:val="000000"/>
          <w:sz w:val="24"/>
          <w:szCs w:val="24"/>
        </w:rPr>
        <w:t>: investičný nástroj pre ZKÚ (súčasná výška finančných prostriedkov: 48,5 milióna EUR), financovanie bonifikácie úrokovej sadzby a technickej pomoci (5 miliónov EUR) a vlastné zdroje EIB (do 100 miliónov EUR).</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V rámci </w:t>
      </w:r>
      <w:r>
        <w:rPr>
          <w:rFonts w:ascii="Times New Roman" w:hAnsi="Times New Roman"/>
          <w:b/>
          <w:noProof/>
          <w:color w:val="000000"/>
          <w:sz w:val="24"/>
          <w:szCs w:val="24"/>
        </w:rPr>
        <w:t>investičného nástroja EIB pre ZKÚ</w:t>
      </w:r>
      <w:r>
        <w:rPr>
          <w:rFonts w:ascii="Times New Roman" w:hAnsi="Times New Roman"/>
          <w:noProof/>
          <w:color w:val="000000"/>
          <w:sz w:val="24"/>
          <w:szCs w:val="24"/>
        </w:rPr>
        <w:t xml:space="preserve"> bola v júli 2019 podpísaná jedna nová operácia pre Novú Kaledóniu (24 miliónov EUR) na financovanie pôžičiek od podnikov, ktoré sa nachádzajú vo vzdialených regiónoch, a od veľmi malých podnikov. Prebiehajú aj ďalšie operácie, ktorých celková výška ku koncu roka 2019 dosahovala 85,39 milióna EUR. Táto suma presahuje počiatočnú výšku finančných prostriedkov, pretože fond je revolvingový a niektoré spätné toky prostriedkov sa opäť požičali.</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Pokiaľ ide o prostriedky na </w:t>
      </w:r>
      <w:r>
        <w:rPr>
          <w:rFonts w:ascii="Times New Roman" w:hAnsi="Times New Roman"/>
          <w:b/>
          <w:noProof/>
          <w:color w:val="000000"/>
          <w:sz w:val="24"/>
          <w:szCs w:val="24"/>
        </w:rPr>
        <w:t>bonifikáciu úrokovej sadzby a technickú pomoc</w:t>
      </w:r>
      <w:r>
        <w:rPr>
          <w:rFonts w:ascii="Times New Roman" w:hAnsi="Times New Roman"/>
          <w:noProof/>
          <w:color w:val="000000"/>
          <w:sz w:val="24"/>
          <w:szCs w:val="24"/>
        </w:rPr>
        <w:t>, EIB</w:t>
      </w:r>
      <w:r>
        <w:rPr>
          <w:rFonts w:ascii="Times New Roman" w:hAnsi="Times New Roman"/>
          <w:b/>
          <w:noProof/>
          <w:color w:val="000000"/>
          <w:sz w:val="24"/>
          <w:szCs w:val="24"/>
        </w:rPr>
        <w:t xml:space="preserve"> v </w:t>
      </w:r>
      <w:r>
        <w:rPr>
          <w:rFonts w:ascii="Times New Roman" w:hAnsi="Times New Roman"/>
          <w:noProof/>
          <w:color w:val="000000"/>
          <w:sz w:val="24"/>
          <w:szCs w:val="24"/>
        </w:rPr>
        <w:t>roku 2019 schválila sumu 4,25 milióna EUR na prevádzku letiska na ostrove Svätý Martin (pozri ďalej).</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V rámci </w:t>
      </w:r>
      <w:r>
        <w:rPr>
          <w:rFonts w:ascii="Times New Roman" w:hAnsi="Times New Roman"/>
          <w:b/>
          <w:noProof/>
          <w:color w:val="000000"/>
          <w:sz w:val="24"/>
          <w:szCs w:val="24"/>
        </w:rPr>
        <w:t>finančného krytia z vlastných zdrojov EIB pre ZKÚ</w:t>
      </w:r>
      <w:r>
        <w:rPr>
          <w:rFonts w:ascii="Times New Roman" w:hAnsi="Times New Roman"/>
          <w:noProof/>
          <w:color w:val="000000"/>
          <w:sz w:val="24"/>
          <w:szCs w:val="24"/>
        </w:rPr>
        <w:t xml:space="preserve"> schválila EIB sumu 44,3 milióna EUR na obnovu letiska na ostrove Svätý Martin po hurikáne z decembra 2019.</w:t>
      </w:r>
    </w:p>
    <w:p>
      <w:pPr>
        <w:autoSpaceDE w:val="0"/>
        <w:autoSpaceDN w:val="0"/>
        <w:adjustRightInd w:val="0"/>
        <w:spacing w:after="0" w:line="240" w:lineRule="auto"/>
        <w:jc w:val="both"/>
        <w:rPr>
          <w:rFonts w:ascii="Times New Roman" w:hAnsi="Times New Roman" w:cs="Times New Roman"/>
          <w:noProof/>
          <w:color w:val="000000"/>
          <w:sz w:val="24"/>
          <w:szCs w:val="24"/>
        </w:rPr>
      </w:pPr>
    </w:p>
    <w:p>
      <w:pPr>
        <w:pStyle w:val="Default"/>
        <w:jc w:val="both"/>
        <w:rPr>
          <w:rFonts w:ascii="Times New Roman" w:hAnsi="Times New Roman"/>
          <w:noProof/>
          <w:color w:val="auto"/>
        </w:rPr>
      </w:pPr>
      <w:r>
        <w:rPr>
          <w:rFonts w:ascii="Times New Roman" w:hAnsi="Times New Roman"/>
          <w:noProof/>
          <w:color w:val="auto"/>
        </w:rPr>
        <w:t>Pokiaľ ide o zvyšné finančné prostriedky, návrhy sa monitorujú s cieľom plne vyčerpať dostupné zdroje do konca roka 2020.</w:t>
      </w:r>
    </w:p>
    <w:p>
      <w:pPr>
        <w:pStyle w:val="Default"/>
        <w:jc w:val="both"/>
        <w:rPr>
          <w:rFonts w:ascii="Times New Roman" w:hAnsi="Times New Roman" w:cs="Times New Roman"/>
          <w:noProof/>
          <w:color w:val="auto"/>
        </w:rPr>
      </w:pPr>
    </w:p>
    <w:p>
      <w:pPr>
        <w:pStyle w:val="Default"/>
        <w:jc w:val="both"/>
        <w:rPr>
          <w:rFonts w:ascii="Times New Roman" w:hAnsi="Times New Roman" w:cs="Times New Roman"/>
          <w:noProof/>
          <w:color w:val="auto"/>
        </w:rPr>
      </w:pPr>
    </w:p>
    <w:p>
      <w:pPr>
        <w:autoSpaceDE w:val="0"/>
        <w:autoSpaceDN w:val="0"/>
        <w:adjustRightInd w:val="0"/>
        <w:spacing w:after="0" w:line="240" w:lineRule="auto"/>
        <w:rPr>
          <w:rFonts w:ascii="Times New Roman" w:hAnsi="Times New Roman"/>
          <w:b/>
          <w:bCs/>
          <w:noProof/>
          <w:color w:val="000000"/>
          <w:sz w:val="24"/>
          <w:szCs w:val="24"/>
          <w:u w:val="single"/>
        </w:rPr>
      </w:pPr>
      <w:r>
        <w:rPr>
          <w:rFonts w:ascii="Times New Roman" w:hAnsi="Times New Roman"/>
          <w:b/>
          <w:bCs/>
          <w:noProof/>
          <w:color w:val="000000"/>
          <w:sz w:val="24"/>
          <w:szCs w:val="24"/>
          <w:u w:val="single"/>
        </w:rPr>
        <w:t>Výhľad do budúcnosti</w:t>
      </w:r>
    </w:p>
    <w:p>
      <w:pPr>
        <w:autoSpaceDE w:val="0"/>
        <w:autoSpaceDN w:val="0"/>
        <w:adjustRightInd w:val="0"/>
        <w:spacing w:after="0" w:line="240" w:lineRule="auto"/>
        <w:rPr>
          <w:rFonts w:ascii="Times New Roman" w:hAnsi="Times New Roman" w:cs="Times New Roman"/>
          <w:noProof/>
          <w:color w:val="000000"/>
          <w:sz w:val="24"/>
          <w:szCs w:val="24"/>
          <w:u w:val="single"/>
        </w:rPr>
      </w:pPr>
    </w:p>
    <w:p>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color w:val="000000"/>
          <w:sz w:val="24"/>
          <w:szCs w:val="24"/>
        </w:rPr>
        <w:t>Rok 2020 bude</w:t>
      </w:r>
      <w:r>
        <w:rPr>
          <w:rFonts w:ascii="Times New Roman" w:hAnsi="Times New Roman"/>
          <w:noProof/>
          <w:sz w:val="24"/>
          <w:szCs w:val="24"/>
        </w:rPr>
        <w:t xml:space="preserve"> pre budúcnosť vzťahov medzi EÚ a ZKÚ rozhodujúci, pretože sa očakáva ukončenie rokovaní o návrhu nového rozhodnutia o pridružení vrátane Grónska, ktorý súvisí s viacročným finančným rámcom EÚ na obdobie 2021 – 2027. Takisto pôjde o kľúčový rok z hľadiska rokovaní o rámci po skončení platnosti Dohody z Cotonou a o Nástroji susedstva a rozvojovej a medzinárodnej spolupráce. Rok 2020 poznačí aj vystúpenie Spojeného kráľovstva z EÚ, čo bude mať vplyv na skupinu ZKÚ.</w:t>
      </w:r>
    </w:p>
    <w:p>
      <w:pPr>
        <w:autoSpaceDE w:val="0"/>
        <w:autoSpaceDN w:val="0"/>
        <w:adjustRightInd w:val="0"/>
        <w:spacing w:after="0" w:line="240" w:lineRule="auto"/>
        <w:jc w:val="both"/>
        <w:rPr>
          <w:rFonts w:ascii="Times New Roman" w:hAnsi="Times New Roman" w:cs="Times New Roman"/>
          <w:noProof/>
          <w:color w:val="000000"/>
          <w:sz w:val="24"/>
          <w:szCs w:val="24"/>
        </w:rPr>
      </w:pP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V tejto súvislosti bude mať posilnený dialóg so ZKÚ osobitný význam. Pretrvávajúcou podporou pridruženia ZKÚ, ako aj podporou ZKÚ prostredníctvom nástroja technickej spolupráce, sa tento proces posilní. </w:t>
      </w:r>
      <w:r>
        <w:rPr>
          <w:noProof/>
        </w:rPr>
        <w:tab/>
      </w:r>
    </w:p>
    <w:p>
      <w:pPr>
        <w:pStyle w:val="Default"/>
        <w:jc w:val="both"/>
        <w:rPr>
          <w:rFonts w:ascii="Times New Roman" w:hAnsi="Times New Roman"/>
          <w:noProof/>
        </w:rPr>
      </w:pPr>
      <w:r>
        <w:rPr>
          <w:rFonts w:ascii="Times New Roman" w:hAnsi="Times New Roman"/>
          <w:noProof/>
        </w:rPr>
        <w:t>Pre zabezpečenie prijatia uvedených dvoch zostávajúcich územných programov do konca roka 2020 a zaistenie záväzku celého finančného krytia, ktoré má ZKÚ k dispozícii v rámci 11. ERF, bude veľmi dôležité dosiahnutie pokroku pri ich tvorbe.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246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Rozhodnutie Rady 2013/755/EÚ o pridružení zámorských krajín a území k Európskej únii.</w:t>
      </w:r>
    </w:p>
  </w:footnote>
  <w:footnote w:id="2">
    <w:p>
      <w:pPr>
        <w:pStyle w:val="FootnoteText"/>
        <w:ind w:left="567" w:hanging="567"/>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ZKÚ EÚ boli do 31. januára 2020 spojené so štyrmi členskými štátmi EÚ: Dánskom, Francúzskom, Spojeným kráľovstvom a Holandskom. ZKÚ EÚ bolo 25: Anguilla, Aruba, Bermudy, Bonaire, Britské antarktické územie, Britské indickooceánske územie, Britské Panenské ostrovy, Curaçao, Falklandské ostrovy, Francúzska Polynézia, Francúzske južné a antarktické územia, Grónsko, Južná Georgia a Južné Sandwichove ostrovy, Kajmanie ostrovy, Montserrat, Nová Kaledónia, Ostrovy Turks a Caicos, Pitcairnove ostrovy, Saba, Saint Pierre a Miquelon, Svätá Helena a závislé územia, Svätý Bartolomej, Svätý Eustach, Svätý Martin a Wallis a Futuna.</w:t>
      </w:r>
    </w:p>
    <w:p>
      <w:pPr>
        <w:pStyle w:val="FootnoteText"/>
        <w:ind w:left="567"/>
        <w:jc w:val="both"/>
        <w:rPr>
          <w:rFonts w:ascii="Times New Roman" w:hAnsi="Times New Roman" w:cs="Times New Roman"/>
          <w:vertAlign w:val="superscript"/>
        </w:rPr>
      </w:pPr>
      <w:r>
        <w:rPr>
          <w:rFonts w:ascii="Times New Roman" w:hAnsi="Times New Roman"/>
        </w:rPr>
        <w:t>Po vystúpení Spojeného kráľovstva z EÚ, ktoré sa uskutočnilo 31. januára 2020, zostalo 13 ZKÚ EÚ: Grónsko (DK), Francúzska Polynézia (FR), Francúzske južné a antarktické územia (FR), Nová Kaledónia a závislé územia (FR), Svätý Bartolomej (FR), Saint Pierre a Miquelon (FR), ostrovy Wallis a Futuna (FR), Aruba (NL), Bonaire (NL), Curaçao (NL), Saba (NL), Svätý Eustach (NL) a Svätý Martin (NL).</w:t>
      </w:r>
      <w:r>
        <w:rPr>
          <w:rFonts w:ascii="Times New Roman" w:hAnsi="Times New Roman"/>
          <w:vertAlign w:val="superscript"/>
        </w:rPr>
        <w:t xml:space="preserve"> </w:t>
      </w:r>
    </w:p>
  </w:footnote>
  <w:footnote w:id="3">
    <w:p>
      <w:pPr>
        <w:pStyle w:val="FootnoteText"/>
        <w:ind w:left="567" w:hanging="567"/>
        <w:jc w:val="both"/>
        <w:rPr>
          <w:rFonts w:ascii="Times New Roman" w:hAnsi="Times New Roman" w:cs="Times New Roman"/>
          <w:vertAlign w:val="superscript"/>
        </w:rPr>
      </w:pPr>
      <w:r>
        <w:rPr>
          <w:rFonts w:ascii="Times New Roman" w:hAnsi="Times New Roman" w:cs="Times New Roman"/>
          <w:vertAlign w:val="superscript"/>
        </w:rPr>
        <w:footnoteRef/>
      </w:r>
      <w:r>
        <w:t xml:space="preserve"> </w:t>
      </w:r>
      <w:r>
        <w:tab/>
      </w:r>
      <w:r>
        <w:rPr>
          <w:rFonts w:ascii="Times New Roman" w:hAnsi="Times New Roman"/>
        </w:rPr>
        <w:t>Štvrtá časť Zmluvy o fungovaní Európskej únie (Ú. v. EÚ C 326, 26.10.2012, s. 47).</w:t>
      </w:r>
      <w:r>
        <w:rPr>
          <w:rFonts w:ascii="Times New Roman" w:hAnsi="Times New Roman"/>
          <w:vertAlign w:val="superscript"/>
        </w:rPr>
        <w:t xml:space="preserve"> </w:t>
      </w:r>
    </w:p>
  </w:footnote>
  <w:footnote w:id="4">
    <w:p>
      <w:pPr>
        <w:pStyle w:val="FootnoteText"/>
        <w:ind w:left="567" w:hanging="567"/>
        <w:jc w:val="both"/>
        <w:rPr>
          <w:rFonts w:ascii="Times New Roman" w:hAnsi="Times New Roman" w:cs="Times New Roman"/>
          <w:vertAlign w:val="superscript"/>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 xml:space="preserve">Ú. v. EÚ L 210, 6.8.2013, s. 1 – Vnútorná dohoda medzi zástupcami vlád členských štátov Európskej únie zasadajúcimi v Rade o financovaní pomoci Európskej únie na základe viacročného finančného rámca na obdobie rokov 2014 – 2020 v súlade s Dohodou o partnerstve AKT – EÚ a o poskytnutí finančnej pomoci zámorským krajinám a územiam, na ktoré sa vzťahuje štvrtá časť Zmluvy o fungovaní Európskej únie. </w:t>
      </w:r>
    </w:p>
  </w:footnote>
  <w:footnote w:id="5">
    <w:p>
      <w:pPr>
        <w:pStyle w:val="FootnoteText"/>
        <w:ind w:left="567" w:hanging="567"/>
        <w:jc w:val="both"/>
        <w:rPr>
          <w:vertAlign w:val="superscript"/>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V rozhodnutí Rady 2014/137/EÚ o vzťahoch medzi Európskou úniou na jednej strane a Grónskom a Dánskym kráľovstvom na strane druhej sa na obdobie 2014 – 2020 vyčleňuje suma 217,8 milióna EUR na spoluprácu medzi Úniou a Grónskom v oblasti spoločného záujmu.</w:t>
      </w:r>
      <w:r>
        <w:rPr>
          <w:vertAlign w:val="superscript"/>
        </w:rPr>
        <w:t xml:space="preserve"> </w:t>
      </w:r>
    </w:p>
  </w:footnote>
  <w:footnote w:id="6">
    <w:p>
      <w:pPr>
        <w:pStyle w:val="FootnoteText"/>
        <w:ind w:left="567" w:hanging="567"/>
        <w:jc w:val="both"/>
        <w:rPr>
          <w:vertAlign w:val="superscript"/>
        </w:rPr>
      </w:pPr>
      <w:r>
        <w:rPr>
          <w:rFonts w:ascii="Times New Roman" w:hAnsi="Times New Roman" w:cs="Times New Roman"/>
          <w:vertAlign w:val="superscript"/>
        </w:rPr>
        <w:footnoteRef/>
      </w:r>
      <w:r>
        <w:t xml:space="preserve"> </w:t>
      </w:r>
      <w:r>
        <w:tab/>
      </w:r>
      <w:r>
        <w:rPr>
          <w:rFonts w:ascii="Times New Roman" w:hAnsi="Times New Roman"/>
        </w:rPr>
        <w:t>Vo februári 2019 boli prijaté programy na územnom základe pre ostrovy Aruba (13,05 milióna EUR) a Bonaire (3,95 milióna EUR).</w:t>
      </w:r>
      <w:r>
        <w:rPr>
          <w:rFonts w:ascii="Times New Roman" w:hAnsi="Times New Roman"/>
          <w:sz w:val="13"/>
          <w:szCs w:val="13"/>
          <w:vertAlign w:val="superscript"/>
        </w:rPr>
        <w:t xml:space="preserve"> </w:t>
      </w:r>
    </w:p>
  </w:footnote>
  <w:footnote w:id="7">
    <w:p>
      <w:pPr>
        <w:pStyle w:val="FootnoteText"/>
        <w:ind w:left="567" w:hanging="567"/>
        <w:rPr>
          <w:vertAlign w:val="superscript"/>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Po zohľadnení tejto alokácie predstavuje zostatok balíka B ku koncu roka 2019 (s počiatočnými finančnými prostriedkami vo výške 21,5 milióna EUR podľa prílohy II k rozhodnutiu o pridružení z roku 2013) sumu 6,45 milióna EUR.</w:t>
      </w:r>
      <w:r>
        <w:rPr>
          <w:rFonts w:ascii="Times New Roman" w:hAnsi="Times New Roman"/>
          <w:sz w:val="13"/>
          <w:szCs w:val="13"/>
          <w:vertAlign w:val="superscript"/>
        </w:rPr>
        <w:t xml:space="preserve"> </w:t>
      </w:r>
    </w:p>
  </w:footnote>
  <w:footnote w:id="8">
    <w:p>
      <w:pPr>
        <w:pStyle w:val="FootnoteText"/>
        <w:ind w:left="567" w:hanging="567"/>
        <w:rPr>
          <w:rFonts w:ascii="Times New Roman" w:hAnsi="Times New Roman" w:cs="Times New Roman"/>
          <w:sz w:val="13"/>
          <w:szCs w:val="13"/>
        </w:rPr>
      </w:pPr>
      <w:r>
        <w:rPr>
          <w:rFonts w:ascii="Times New Roman" w:hAnsi="Times New Roman" w:cs="Times New Roman"/>
          <w:vertAlign w:val="superscript"/>
        </w:rPr>
        <w:footnoteRef/>
      </w:r>
      <w:r>
        <w:rPr>
          <w:rFonts w:ascii="Times New Roman" w:hAnsi="Times New Roman"/>
        </w:rPr>
        <w:t xml:space="preserve"> </w:t>
      </w:r>
      <w:r>
        <w:rPr>
          <w:rFonts w:ascii="Times New Roman" w:hAnsi="Times New Roman"/>
        </w:rPr>
        <w:tab/>
        <w:t>Podmorské káblové vedenie Tui-Samoa je uložené medzi mestom Apia na ostrove Samoa a mestom Suva na ostrove Fidži a výstupné stanice sa nachádzajú na ostrove Savai’i, v meste Savusavu a na ostrovoch Wallis a Futuna.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7E7"/>
    <w:multiLevelType w:val="hybridMultilevel"/>
    <w:tmpl w:val="D07E1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75D04"/>
    <w:multiLevelType w:val="hybridMultilevel"/>
    <w:tmpl w:val="7D86E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16560F"/>
    <w:multiLevelType w:val="hybridMultilevel"/>
    <w:tmpl w:val="77D0D8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A505E5"/>
    <w:multiLevelType w:val="hybridMultilevel"/>
    <w:tmpl w:val="854E65FE"/>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4">
    <w:nsid w:val="4B135FA2"/>
    <w:multiLevelType w:val="hybridMultilevel"/>
    <w:tmpl w:val="2D0EF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C5D02DC"/>
    <w:multiLevelType w:val="hybridMultilevel"/>
    <w:tmpl w:val="428E9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B670230"/>
    <w:multiLevelType w:val="hybridMultilevel"/>
    <w:tmpl w:val="DE6A2FA8"/>
    <w:lvl w:ilvl="0" w:tplc="7DDE1A5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B8C4BD3-94E4-4FA0-9DBD-33AF85EC204E"/>
    <w:docVar w:name="LW_COVERPAGE_TYPE" w:val="1"/>
    <w:docVar w:name="LW_CROSSREFERENCE" w:val="&lt;UNUSED&gt;"/>
    <w:docVar w:name="LW_DocType" w:val="NORMAL"/>
    <w:docVar w:name="LW_EMISSION" w:val="6. 7. 2020"/>
    <w:docVar w:name="LW_EMISSION_ISODATE" w:val="2020-07-06"/>
    <w:docVar w:name="LW_EMISSION_LOCATION" w:val="BRX"/>
    <w:docVar w:name="LW_EMISSION_PREFIX" w:val="V Bruseli"/>
    <w:docVar w:name="LW_EMISSION_SUFFIX" w:val=" "/>
    <w:docVar w:name="LW_ID_DOCTYPE_NONLW" w:val="CP-00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vykonávaní finan\u269?nej pomoci poskytovanej zámorským krajinám a územiam v rámci 11. Európskeho rozvojového fondu v roku 2019_x000b__x000d__x000d__x000d_ _x000d__x000d__x000d__x000d__x000d__x000d__x000d_"/>
    <w:docVar w:name="LW_TYPE.DOC.CP" w:val="SPRÁVA KOMISIE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sk-SK"/>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sk-SK"/>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sk-SK"/>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1 Char,Footnote Text Char Char Char,Footnote Text Char1 Char Char Char,Footnote Text Char Char Char Char Char,Footnote Text Char1 Char1 Char,Footnote Text Char Char Char1 Char,Footnote Text Char1,fn,5_G,Ch,single spac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t Char,Footnote Text Char1 Char Char,Footnote Text Char Char Char Char,Footnote Text Char1 Char Char Char Char,Footnote Text Char Char Char Char Char Char,Footnote Text Char1 Char1 Char Char,Footnote Text Char Char Char1 Char Char"/>
    <w:basedOn w:val="DefaultParagraphFont"/>
    <w:link w:val="FootnoteText"/>
    <w:uiPriority w:val="99"/>
    <w:qFormat/>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ftre,Exposant 3 Poi"/>
    <w:basedOn w:val="DefaultParagraphFont"/>
    <w:link w:val="BVIfnrCarCarCarCarCharCharCharChar"/>
    <w:uiPriority w:val="99"/>
    <w:unhideWhenUsed/>
    <w:qFormat/>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0">
    <w:name w:val="A0"/>
    <w:uiPriority w:val="99"/>
    <w:rPr>
      <w:rFonts w:cs="montserrat"/>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VIfnrCarCarCarCarCharCharCharChar">
    <w:name w:val="BVI fnr Car Car Car Car Char Char Char Char"/>
    <w:basedOn w:val="Normal"/>
    <w:link w:val="FootnoteReference"/>
    <w:uiPriority w:val="99"/>
    <w:pPr>
      <w:spacing w:after="160" w:line="240" w:lineRule="exact"/>
      <w:jc w:val="both"/>
    </w:pPr>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Arial" w:hAnsi="Arial" w:cs="Arial"/>
      <w:color w:val="000000"/>
      <w:sz w:val="24"/>
      <w:szCs w:val="24"/>
      <w:lang w:val="sk-SK"/>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sk-SK"/>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sk-SK"/>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sk-SK"/>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sk-SK"/>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DD552D-3DC2-4D57-9B68-530A2A18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2446</Words>
  <Characters>14438</Characters>
  <Application>Microsoft Office Word</Application>
  <DocSecurity>0</DocSecurity>
  <Lines>294</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2020-06-26T08:41:00Z</dcterms:created>
  <dcterms:modified xsi:type="dcterms:W3CDTF">2020-06-29T07:15:00Z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CP-004</vt:lpwstr>
  </property>
  <property fmtid="{D5CDD505-2E9C-101B-9397-08002B2CF9AE}" pid="7" name="Last edited using">
    <vt:lpwstr>LW 7.0, Build 20190717</vt:lpwstr>
  </property>
  <property fmtid="{D5CDD505-2E9C-101B-9397-08002B2CF9AE}" pid="8" name="Created using">
    <vt:lpwstr>LW 7.0, Build 20190717</vt:lpwstr>
  </property>
</Properties>
</file>