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D170BCC1-5CC3-4854-9BC5-CAF97269758E" style="width:451.15pt;height:306.4pt">
            <v:imagedata r:id="rId9" o:title=""/>
          </v:shape>
        </w:pict>
      </w:r>
    </w:p>
    <w:bookmarkEnd w:id="0"/>
    <w:p>
      <w:pPr>
        <w:rPr>
          <w:noProof/>
          <w:lang w:val="en-US"/>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Default"/>
        <w:rPr>
          <w:rFonts w:ascii="Times New Roman" w:hAnsi="Times New Roman" w:cs="Times New Roman"/>
          <w:b/>
          <w:bCs/>
          <w:noProof/>
          <w:color w:val="auto"/>
          <w:u w:val="single"/>
        </w:rPr>
      </w:pPr>
      <w:bookmarkStart w:id="1" w:name="_GoBack"/>
      <w:bookmarkEnd w:id="1"/>
      <w:r>
        <w:rPr>
          <w:rFonts w:ascii="Times New Roman" w:hAnsi="Times New Roman"/>
          <w:b/>
          <w:bCs/>
          <w:noProof/>
          <w:color w:val="auto"/>
          <w:u w:val="single"/>
        </w:rPr>
        <w:lastRenderedPageBreak/>
        <w:t xml:space="preserve">Introducción </w:t>
      </w:r>
    </w:p>
    <w:p>
      <w:pPr>
        <w:pStyle w:val="Default"/>
        <w:rPr>
          <w:rFonts w:ascii="Times New Roman" w:hAnsi="Times New Roman" w:cs="Times New Roman"/>
          <w:noProof/>
          <w:color w:val="auto"/>
          <w:u w:val="single"/>
        </w:rPr>
      </w:pPr>
    </w:p>
    <w:p>
      <w:pPr>
        <w:pStyle w:val="Default"/>
        <w:jc w:val="both"/>
        <w:rPr>
          <w:rFonts w:ascii="Times New Roman" w:hAnsi="Times New Roman" w:cs="Times New Roman"/>
          <w:noProof/>
          <w:color w:val="auto"/>
        </w:rPr>
      </w:pPr>
      <w:r>
        <w:rPr>
          <w:rFonts w:ascii="Times New Roman" w:hAnsi="Times New Roman"/>
          <w:noProof/>
          <w:color w:val="auto"/>
        </w:rPr>
        <w:t>La Decisión de Asociación Ultramar (DAU)</w:t>
      </w:r>
      <w:r>
        <w:rPr>
          <w:rStyle w:val="FootnoteReference"/>
          <w:rFonts w:ascii="Times New Roman" w:hAnsi="Times New Roman" w:cs="Times New Roman"/>
          <w:noProof/>
          <w:color w:val="auto"/>
          <w:lang w:val="en-US"/>
        </w:rPr>
        <w:footnoteReference w:id="1"/>
      </w:r>
      <w:r>
        <w:rPr>
          <w:rFonts w:ascii="Times New Roman" w:hAnsi="Times New Roman"/>
          <w:noProof/>
          <w:color w:val="auto"/>
        </w:rPr>
        <w:t xml:space="preserve"> establece el marco jurídico para las relaciones entre los países y territorios de ultramar (PTU)</w:t>
      </w:r>
      <w:r>
        <w:rPr>
          <w:rStyle w:val="FootnoteReference"/>
          <w:rFonts w:ascii="Times New Roman" w:hAnsi="Times New Roman" w:cs="Times New Roman"/>
          <w:noProof/>
          <w:color w:val="auto"/>
          <w:lang w:val="en-US"/>
        </w:rPr>
        <w:footnoteReference w:id="2"/>
      </w:r>
      <w:r>
        <w:rPr>
          <w:rFonts w:ascii="Times New Roman" w:hAnsi="Times New Roman"/>
          <w:noProof/>
          <w:color w:val="auto"/>
        </w:rPr>
        <w:t>, los Estados miembros con los que estos están vinculados y la Unión Europea. Sobre la base del Tratado de Funcionamiento de la Unión Europea (TFUE)</w:t>
      </w:r>
      <w:r>
        <w:rPr>
          <w:rStyle w:val="FootnoteReference"/>
          <w:rFonts w:ascii="Times New Roman" w:hAnsi="Times New Roman" w:cs="Times New Roman"/>
          <w:noProof/>
          <w:color w:val="auto"/>
          <w:lang w:val="en-US"/>
        </w:rPr>
        <w:footnoteReference w:id="3"/>
      </w:r>
      <w:r>
        <w:rPr>
          <w:rFonts w:ascii="Times New Roman" w:hAnsi="Times New Roman"/>
          <w:noProof/>
          <w:color w:val="auto"/>
        </w:rPr>
        <w:t xml:space="preserve">, el objetivo de la Decisión de Asociación Ultramar es apoyar el desarrollo sostenible de los PTU y promover los valores de la Unión en el resto del mundo. </w:t>
      </w:r>
    </w:p>
    <w:p>
      <w:pPr>
        <w:pStyle w:val="Default"/>
        <w:jc w:val="both"/>
        <w:rPr>
          <w:rFonts w:ascii="Times New Roman" w:hAnsi="Times New Roman" w:cs="Times New Roman"/>
          <w:noProof/>
          <w:color w:val="auto"/>
        </w:rPr>
      </w:pPr>
      <w:r>
        <w:rPr>
          <w:rFonts w:ascii="Times New Roman" w:hAnsi="Times New Roman"/>
          <w:noProof/>
        </w:rPr>
        <w:t xml:space="preserve"> </w:t>
      </w:r>
    </w:p>
    <w:p>
      <w:pPr>
        <w:pStyle w:val="Default"/>
        <w:jc w:val="both"/>
        <w:rPr>
          <w:rFonts w:ascii="Times New Roman" w:hAnsi="Times New Roman" w:cs="Times New Roman"/>
          <w:noProof/>
          <w:color w:val="auto"/>
        </w:rPr>
      </w:pPr>
      <w:r>
        <w:rPr>
          <w:rFonts w:ascii="Times New Roman" w:hAnsi="Times New Roman"/>
          <w:noProof/>
          <w:color w:val="auto"/>
        </w:rPr>
        <w:t>La Unión presta apoyo financiero a los PTU principalmente a través del Fondo Europeo de Desarrollo (FED), con una asignación de 364,5 millones EUR en el marco del 11.º FED para el período de programación 2014-2020</w:t>
      </w:r>
      <w:r>
        <w:rPr>
          <w:rStyle w:val="FootnoteReference"/>
          <w:rFonts w:ascii="Times New Roman" w:hAnsi="Times New Roman" w:cs="Times New Roman"/>
          <w:noProof/>
          <w:color w:val="auto"/>
          <w:lang w:val="en-US"/>
        </w:rPr>
        <w:footnoteReference w:id="4"/>
      </w:r>
      <w:r>
        <w:rPr>
          <w:rFonts w:ascii="Times New Roman" w:hAnsi="Times New Roman"/>
          <w:noProof/>
          <w:color w:val="auto"/>
        </w:rPr>
        <w:t xml:space="preserve">. </w:t>
      </w:r>
    </w:p>
    <w:p>
      <w:pPr>
        <w:pStyle w:val="Default"/>
        <w:jc w:val="both"/>
        <w:rPr>
          <w:rFonts w:ascii="Times New Roman" w:hAnsi="Times New Roman" w:cs="Times New Roman"/>
          <w:noProof/>
          <w:color w:val="auto"/>
        </w:rPr>
      </w:pPr>
    </w:p>
    <w:p>
      <w:pPr>
        <w:pStyle w:val="Default"/>
        <w:jc w:val="both"/>
        <w:rPr>
          <w:rFonts w:ascii="Times New Roman" w:hAnsi="Times New Roman" w:cs="Times New Roman"/>
          <w:noProof/>
          <w:color w:val="auto"/>
        </w:rPr>
      </w:pPr>
      <w:r>
        <w:rPr>
          <w:rFonts w:ascii="Times New Roman" w:hAnsi="Times New Roman"/>
          <w:noProof/>
          <w:color w:val="auto"/>
        </w:rPr>
        <w:t xml:space="preserve">De conformidad con el artículo 91 de la DAU, el presente informe destaca los progresos realizados en la ejecución de los recursos del 11.º FED para los PTU durante el año 2019. </w:t>
      </w:r>
    </w:p>
    <w:p>
      <w:pPr>
        <w:pStyle w:val="Default"/>
        <w:jc w:val="both"/>
        <w:rPr>
          <w:rFonts w:ascii="Times New Roman" w:hAnsi="Times New Roman" w:cs="Times New Roman"/>
          <w:noProof/>
          <w:color w:val="auto"/>
        </w:rPr>
      </w:pPr>
    </w:p>
    <w:p>
      <w:pPr>
        <w:pStyle w:val="Default"/>
        <w:jc w:val="both"/>
        <w:rPr>
          <w:rFonts w:ascii="Times New Roman" w:hAnsi="Times New Roman" w:cs="Times New Roman"/>
          <w:b/>
          <w:bCs/>
          <w:noProof/>
          <w:color w:val="auto"/>
          <w:u w:val="single"/>
        </w:rPr>
      </w:pPr>
      <w:r>
        <w:rPr>
          <w:rFonts w:ascii="Times New Roman" w:hAnsi="Times New Roman"/>
          <w:b/>
          <w:bCs/>
          <w:noProof/>
          <w:color w:val="auto"/>
          <w:u w:val="single"/>
        </w:rPr>
        <w:t xml:space="preserve">Los recursos financieros del 11.º FED-PTU </w:t>
      </w:r>
    </w:p>
    <w:p>
      <w:pPr>
        <w:pStyle w:val="Default"/>
        <w:jc w:val="both"/>
        <w:rPr>
          <w:rFonts w:ascii="Times New Roman" w:hAnsi="Times New Roman" w:cs="Times New Roman"/>
          <w:noProof/>
          <w:color w:val="auto"/>
        </w:rPr>
      </w:pPr>
    </w:p>
    <w:p>
      <w:pPr>
        <w:pStyle w:val="Default"/>
        <w:jc w:val="both"/>
        <w:rPr>
          <w:rFonts w:ascii="Times New Roman" w:hAnsi="Times New Roman" w:cs="Times New Roman"/>
          <w:noProof/>
          <w:color w:val="auto"/>
        </w:rPr>
      </w:pPr>
      <w:r>
        <w:rPr>
          <w:rFonts w:ascii="Times New Roman" w:hAnsi="Times New Roman"/>
          <w:noProof/>
          <w:color w:val="auto"/>
        </w:rPr>
        <w:t xml:space="preserve">Los recursos del 11.º FED puestos a disposición de los PTU se distribuyen entre las siguientes asignaciones, en consonancia con el anexo II de la Decisión de Asociación Ultramar, para el período 2014-2020: </w:t>
      </w:r>
    </w:p>
    <w:p>
      <w:pPr>
        <w:pStyle w:val="Default"/>
        <w:spacing w:after="164"/>
        <w:jc w:val="both"/>
        <w:rPr>
          <w:rFonts w:ascii="Times New Roman" w:hAnsi="Times New Roman" w:cs="Times New Roman"/>
          <w:noProof/>
          <w:color w:val="auto"/>
        </w:rPr>
      </w:pPr>
    </w:p>
    <w:p>
      <w:pPr>
        <w:pStyle w:val="Default"/>
        <w:numPr>
          <w:ilvl w:val="0"/>
          <w:numId w:val="1"/>
        </w:numPr>
        <w:spacing w:after="164"/>
        <w:jc w:val="both"/>
        <w:rPr>
          <w:rFonts w:ascii="Times New Roman" w:hAnsi="Times New Roman" w:cs="Times New Roman"/>
          <w:noProof/>
          <w:color w:val="auto"/>
        </w:rPr>
      </w:pPr>
      <w:r>
        <w:rPr>
          <w:rFonts w:ascii="Times New Roman" w:hAnsi="Times New Roman"/>
          <w:noProof/>
          <w:color w:val="auto"/>
        </w:rPr>
        <w:t xml:space="preserve">229,5 millones EUR para las asignaciones territoriales (bilaterales); </w:t>
      </w:r>
    </w:p>
    <w:p>
      <w:pPr>
        <w:pStyle w:val="Default"/>
        <w:numPr>
          <w:ilvl w:val="0"/>
          <w:numId w:val="1"/>
        </w:numPr>
        <w:spacing w:after="164"/>
        <w:jc w:val="both"/>
        <w:rPr>
          <w:rFonts w:ascii="Times New Roman" w:hAnsi="Times New Roman" w:cs="Times New Roman"/>
          <w:noProof/>
          <w:color w:val="auto"/>
        </w:rPr>
      </w:pPr>
      <w:r>
        <w:rPr>
          <w:rFonts w:ascii="Times New Roman" w:hAnsi="Times New Roman"/>
          <w:noProof/>
          <w:color w:val="auto"/>
        </w:rPr>
        <w:t xml:space="preserve">100 millones EUR para la cooperación regional y de todos los PTU; </w:t>
      </w:r>
    </w:p>
    <w:p>
      <w:pPr>
        <w:pStyle w:val="Default"/>
        <w:numPr>
          <w:ilvl w:val="0"/>
          <w:numId w:val="1"/>
        </w:numPr>
        <w:spacing w:after="164"/>
        <w:jc w:val="both"/>
        <w:rPr>
          <w:rFonts w:ascii="Times New Roman" w:hAnsi="Times New Roman" w:cs="Times New Roman"/>
          <w:noProof/>
          <w:color w:val="auto"/>
        </w:rPr>
      </w:pPr>
      <w:r>
        <w:rPr>
          <w:rFonts w:ascii="Times New Roman" w:hAnsi="Times New Roman"/>
          <w:noProof/>
          <w:color w:val="auto"/>
        </w:rPr>
        <w:t xml:space="preserve">21,5 millones EUR para la financiación de ayuda humanitaria y de emergencia; </w:t>
      </w:r>
    </w:p>
    <w:p>
      <w:pPr>
        <w:pStyle w:val="Default"/>
        <w:numPr>
          <w:ilvl w:val="0"/>
          <w:numId w:val="1"/>
        </w:numPr>
        <w:spacing w:after="164"/>
        <w:jc w:val="both"/>
        <w:rPr>
          <w:rFonts w:ascii="Times New Roman" w:hAnsi="Times New Roman" w:cs="Times New Roman"/>
          <w:noProof/>
          <w:color w:val="auto"/>
        </w:rPr>
      </w:pPr>
      <w:r>
        <w:rPr>
          <w:rFonts w:ascii="Times New Roman" w:hAnsi="Times New Roman"/>
          <w:noProof/>
          <w:color w:val="auto"/>
        </w:rPr>
        <w:t xml:space="preserve">5 millones EUR para la financiación de bonificaciones de intereses y asistencia técnica en el marco del Instrumento de Ayuda a la Inversión para los PTU; </w:t>
      </w:r>
    </w:p>
    <w:p>
      <w:pPr>
        <w:pStyle w:val="Default"/>
        <w:numPr>
          <w:ilvl w:val="0"/>
          <w:numId w:val="1"/>
        </w:numPr>
        <w:spacing w:after="164"/>
        <w:jc w:val="both"/>
        <w:rPr>
          <w:rFonts w:ascii="Times New Roman" w:hAnsi="Times New Roman" w:cs="Times New Roman"/>
          <w:noProof/>
          <w:color w:val="auto"/>
        </w:rPr>
      </w:pPr>
      <w:r>
        <w:rPr>
          <w:rFonts w:ascii="Times New Roman" w:hAnsi="Times New Roman"/>
          <w:noProof/>
          <w:color w:val="auto"/>
        </w:rPr>
        <w:t xml:space="preserve">8,5 millones EUR para estudios y asistencia técnica. </w:t>
      </w:r>
    </w:p>
    <w:p>
      <w:pPr>
        <w:pStyle w:val="Default"/>
        <w:jc w:val="both"/>
        <w:rPr>
          <w:rFonts w:ascii="Times New Roman" w:hAnsi="Times New Roman" w:cs="Times New Roman"/>
          <w:noProof/>
          <w:color w:val="auto"/>
        </w:rPr>
      </w:pPr>
    </w:p>
    <w:p>
      <w:pPr>
        <w:jc w:val="both"/>
        <w:rPr>
          <w:rFonts w:ascii="Times New Roman" w:hAnsi="Times New Roman" w:cs="Times New Roman"/>
          <w:noProof/>
          <w:sz w:val="24"/>
          <w:szCs w:val="24"/>
        </w:rPr>
      </w:pPr>
      <w:r>
        <w:rPr>
          <w:rFonts w:ascii="Times New Roman" w:hAnsi="Times New Roman"/>
          <w:b/>
          <w:bCs/>
          <w:noProof/>
          <w:sz w:val="24"/>
          <w:szCs w:val="24"/>
        </w:rPr>
        <w:lastRenderedPageBreak/>
        <w:t xml:space="preserve">Dieciséis PTU pueden optar a una asignación territorial con arreglo al 11.º FED, </w:t>
      </w:r>
      <w:r>
        <w:rPr>
          <w:rFonts w:ascii="Times New Roman" w:hAnsi="Times New Roman"/>
          <w:bCs/>
          <w:noProof/>
          <w:sz w:val="24"/>
          <w:szCs w:val="24"/>
        </w:rPr>
        <w:t xml:space="preserve">definida según los criterios establecidos en la Decisión. </w:t>
      </w:r>
      <w:r>
        <w:rPr>
          <w:rFonts w:ascii="Times New Roman" w:hAnsi="Times New Roman"/>
          <w:noProof/>
          <w:sz w:val="24"/>
          <w:szCs w:val="24"/>
        </w:rPr>
        <w:t>Cabe señalar que Groenlandia está financiada directamente por el presupuesto general de la UE, de acuerdo con la «Decisión sobre Groenlandia»</w:t>
      </w:r>
      <w:r>
        <w:rPr>
          <w:rStyle w:val="FootnoteReference"/>
          <w:rFonts w:ascii="Times New Roman" w:hAnsi="Times New Roman" w:cs="Times New Roman"/>
          <w:noProof/>
          <w:sz w:val="24"/>
          <w:szCs w:val="24"/>
          <w:lang w:val="en-US"/>
        </w:rPr>
        <w:footnoteReference w:id="5"/>
      </w:r>
      <w:r>
        <w:rPr>
          <w:rFonts w:ascii="Times New Roman" w:hAnsi="Times New Roman"/>
          <w:noProof/>
          <w:sz w:val="24"/>
          <w:szCs w:val="24"/>
        </w:rPr>
        <w:t>.</w:t>
      </w: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b/>
          <w:bCs/>
          <w:noProof/>
          <w:color w:val="000000"/>
          <w:sz w:val="24"/>
          <w:szCs w:val="24"/>
        </w:rPr>
        <w:t xml:space="preserve">Los tres programas regionales </w:t>
      </w:r>
      <w:r>
        <w:rPr>
          <w:rFonts w:ascii="Times New Roman" w:hAnsi="Times New Roman"/>
          <w:noProof/>
          <w:color w:val="000000"/>
          <w:sz w:val="24"/>
          <w:szCs w:val="24"/>
        </w:rPr>
        <w:t xml:space="preserve">tratan de fomentar la cooperación entre los PTU de la misma región que comparten desafíos y prioridades semejantes. Las acciones financiadas por medio de la asignación regional respaldan la elaboración y ejecución de programas y proyectos regionales de carácter global para hacer frente a estos desafíos. Se fomentan las asociaciones con otras fuentes de financiación, incluidos otros instrumentos financieros de la Unión Europea, mediante la cooperación con los países de África, el Caribe y el Pacífico (ACP) o terceros países vecinos, así como con las regiones ultraperiféricas de la UE. </w:t>
      </w:r>
    </w:p>
    <w:p>
      <w:pPr>
        <w:autoSpaceDE w:val="0"/>
        <w:autoSpaceDN w:val="0"/>
        <w:adjustRightInd w:val="0"/>
        <w:spacing w:after="0" w:line="240" w:lineRule="auto"/>
        <w:jc w:val="both"/>
        <w:rPr>
          <w:rFonts w:ascii="Times New Roman" w:hAnsi="Times New Roman" w:cs="Times New Roman"/>
          <w:noProof/>
          <w:color w:val="000000"/>
          <w:sz w:val="24"/>
          <w:szCs w:val="24"/>
        </w:rPr>
      </w:pPr>
    </w:p>
    <w:p>
      <w:pPr>
        <w:pStyle w:val="Default"/>
        <w:jc w:val="both"/>
        <w:rPr>
          <w:rFonts w:ascii="Times New Roman" w:hAnsi="Times New Roman" w:cs="Times New Roman"/>
          <w:noProof/>
        </w:rPr>
      </w:pPr>
      <w:r>
        <w:rPr>
          <w:rFonts w:ascii="Times New Roman" w:hAnsi="Times New Roman"/>
          <w:noProof/>
        </w:rPr>
        <w:t xml:space="preserve">Además de los programas territoriales y regionales, </w:t>
      </w:r>
      <w:r>
        <w:rPr>
          <w:rFonts w:ascii="Times New Roman" w:hAnsi="Times New Roman"/>
          <w:b/>
          <w:bCs/>
          <w:noProof/>
        </w:rPr>
        <w:t>el programa temático</w:t>
      </w:r>
      <w:r>
        <w:rPr>
          <w:rFonts w:ascii="Times New Roman" w:hAnsi="Times New Roman"/>
          <w:noProof/>
        </w:rPr>
        <w:t>, el único programa para «todos los PTU» del 11.º FED, fomenta la cooperación entre los PTU.</w:t>
      </w:r>
    </w:p>
    <w:p>
      <w:pPr>
        <w:pStyle w:val="Default"/>
        <w:rPr>
          <w:rFonts w:ascii="Times New Roman" w:hAnsi="Times New Roman" w:cs="Times New Roman"/>
          <w:noProof/>
        </w:rPr>
      </w:pPr>
    </w:p>
    <w:p>
      <w:pPr>
        <w:autoSpaceDE w:val="0"/>
        <w:autoSpaceDN w:val="0"/>
        <w:adjustRightInd w:val="0"/>
        <w:spacing w:after="0" w:line="240" w:lineRule="auto"/>
        <w:jc w:val="both"/>
        <w:rPr>
          <w:rFonts w:ascii="Times New Roman" w:hAnsi="Times New Roman" w:cs="Times New Roman"/>
          <w:b/>
          <w:bCs/>
          <w:noProof/>
          <w:color w:val="000000"/>
          <w:sz w:val="24"/>
          <w:szCs w:val="24"/>
          <w:u w:val="single"/>
        </w:rPr>
      </w:pPr>
      <w:r>
        <w:rPr>
          <w:rFonts w:ascii="Times New Roman" w:hAnsi="Times New Roman"/>
          <w:b/>
          <w:bCs/>
          <w:noProof/>
          <w:color w:val="000000"/>
          <w:sz w:val="24"/>
          <w:szCs w:val="24"/>
          <w:u w:val="single"/>
        </w:rPr>
        <w:t xml:space="preserve">Proceso de programación del 11.º FED-PTU </w:t>
      </w:r>
    </w:p>
    <w:p>
      <w:pPr>
        <w:autoSpaceDE w:val="0"/>
        <w:autoSpaceDN w:val="0"/>
        <w:adjustRightInd w:val="0"/>
        <w:spacing w:after="0" w:line="240" w:lineRule="auto"/>
        <w:jc w:val="both"/>
        <w:rPr>
          <w:rFonts w:ascii="Times New Roman" w:hAnsi="Times New Roman" w:cs="Times New Roman"/>
          <w:noProof/>
          <w:color w:val="000000"/>
          <w:sz w:val="24"/>
          <w:szCs w:val="24"/>
          <w:u w:val="single"/>
        </w:rPr>
      </w:pP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La parte cuarta de la Decisión de Asociación Ultramar establece </w:t>
      </w:r>
      <w:r>
        <w:rPr>
          <w:rFonts w:ascii="Times New Roman" w:hAnsi="Times New Roman"/>
          <w:b/>
          <w:bCs/>
          <w:noProof/>
          <w:color w:val="000000"/>
          <w:sz w:val="24"/>
          <w:szCs w:val="24"/>
        </w:rPr>
        <w:t>un proceso de programación específico para los PTU</w:t>
      </w:r>
      <w:r>
        <w:rPr>
          <w:rFonts w:ascii="Times New Roman" w:hAnsi="Times New Roman"/>
          <w:noProof/>
          <w:color w:val="000000"/>
          <w:sz w:val="24"/>
          <w:szCs w:val="24"/>
        </w:rPr>
        <w:t xml:space="preserve">. Al contrario que con los países ACP, dicha programación no se basa en programas indicativos nacionales, sino que </w:t>
      </w:r>
      <w:r>
        <w:rPr>
          <w:rFonts w:ascii="Times New Roman" w:hAnsi="Times New Roman"/>
          <w:bCs/>
          <w:noProof/>
          <w:color w:val="000000"/>
          <w:sz w:val="24"/>
          <w:szCs w:val="24"/>
        </w:rPr>
        <w:t xml:space="preserve">el proceso se organiza en torno a una sola fase, la elaboración de un documento de programación, que consta de dos componentes: a) la estrategia de respuesta de la UE (parte A) y b) el documento de acción (parte B). </w:t>
      </w:r>
      <w:r>
        <w:rPr>
          <w:rFonts w:ascii="Times New Roman" w:hAnsi="Times New Roman"/>
          <w:noProof/>
          <w:color w:val="000000"/>
          <w:sz w:val="24"/>
          <w:szCs w:val="24"/>
        </w:rPr>
        <w:t xml:space="preserve">Solamente se adopta </w:t>
      </w:r>
      <w:r>
        <w:rPr>
          <w:rFonts w:ascii="Times New Roman" w:hAnsi="Times New Roman"/>
          <w:bCs/>
          <w:noProof/>
          <w:color w:val="000000"/>
          <w:sz w:val="24"/>
          <w:szCs w:val="24"/>
        </w:rPr>
        <w:t xml:space="preserve">una decisión formal de la Comisión </w:t>
      </w:r>
      <w:r>
        <w:rPr>
          <w:rFonts w:ascii="Times New Roman" w:hAnsi="Times New Roman"/>
          <w:noProof/>
          <w:color w:val="000000"/>
          <w:sz w:val="24"/>
          <w:szCs w:val="24"/>
        </w:rPr>
        <w:t xml:space="preserve">para aprobar el documento de programación de cada PTU, que abarca las orientaciones estratégicas y el diseño detallado del programa. </w:t>
      </w:r>
    </w:p>
    <w:p>
      <w:pPr>
        <w:autoSpaceDE w:val="0"/>
        <w:autoSpaceDN w:val="0"/>
        <w:adjustRightInd w:val="0"/>
        <w:spacing w:after="0" w:line="240" w:lineRule="auto"/>
        <w:jc w:val="both"/>
        <w:rPr>
          <w:rFonts w:ascii="Times New Roman" w:hAnsi="Times New Roman" w:cs="Times New Roman"/>
          <w:noProof/>
          <w:color w:val="000000"/>
          <w:sz w:val="24"/>
          <w:szCs w:val="24"/>
        </w:rPr>
      </w:pP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El </w:t>
      </w:r>
      <w:r>
        <w:rPr>
          <w:rFonts w:ascii="Times New Roman" w:hAnsi="Times New Roman"/>
          <w:b/>
          <w:bCs/>
          <w:noProof/>
          <w:color w:val="000000"/>
          <w:sz w:val="24"/>
          <w:szCs w:val="24"/>
        </w:rPr>
        <w:t xml:space="preserve">apoyo presupuestario </w:t>
      </w:r>
      <w:r>
        <w:rPr>
          <w:rFonts w:ascii="Times New Roman" w:hAnsi="Times New Roman"/>
          <w:noProof/>
          <w:color w:val="000000"/>
          <w:sz w:val="24"/>
          <w:szCs w:val="24"/>
        </w:rPr>
        <w:t xml:space="preserve">es la modalidad de ejecución preferida para las asignaciones territoriales en los PTU (hasta la fecha, trece de los dieciséis PTU que se benefician del FED). Esto representa un cambio positivo frente a la modalidad de proyectos empleada anteriormente en varios PTU. El apoyo presupuestario constituye una vía eficaz para abordar desafíos y amenazas transversales a largo plazo y con carácter estructural y mantener un diálogo político constructivo. </w:t>
      </w:r>
    </w:p>
    <w:p>
      <w:pPr>
        <w:autoSpaceDE w:val="0"/>
        <w:autoSpaceDN w:val="0"/>
        <w:adjustRightInd w:val="0"/>
        <w:spacing w:after="0" w:line="240" w:lineRule="auto"/>
        <w:jc w:val="both"/>
        <w:rPr>
          <w:rFonts w:ascii="Times New Roman" w:hAnsi="Times New Roman" w:cs="Times New Roman"/>
          <w:noProof/>
          <w:color w:val="000000"/>
          <w:sz w:val="24"/>
          <w:szCs w:val="24"/>
        </w:rPr>
      </w:pPr>
    </w:p>
    <w:p>
      <w:pPr>
        <w:pStyle w:val="Default"/>
        <w:jc w:val="both"/>
        <w:rPr>
          <w:rFonts w:ascii="Times New Roman" w:hAnsi="Times New Roman" w:cs="Times New Roman"/>
          <w:noProof/>
        </w:rPr>
      </w:pPr>
      <w:r>
        <w:rPr>
          <w:rFonts w:ascii="Times New Roman" w:hAnsi="Times New Roman"/>
          <w:b/>
          <w:bCs/>
          <w:noProof/>
        </w:rPr>
        <w:t>Los PTU son los principales responsables de elaborar los documentos de programación</w:t>
      </w:r>
      <w:r>
        <w:rPr>
          <w:rFonts w:ascii="Times New Roman" w:hAnsi="Times New Roman"/>
          <w:noProof/>
        </w:rPr>
        <w:t>, en concreto en lo que respecta a las prioridades en las que se basan sus estrategias, y de garantizar que se llevan a cabo las consultas locales necesarias. A petición de los PTU, se ha puesto a su disposición asistencia técnica durante el proceso de programación, de acuerdo con el artículo 81 de la DAU.</w:t>
      </w:r>
    </w:p>
    <w:p>
      <w:pPr>
        <w:pStyle w:val="Default"/>
        <w:rPr>
          <w:rFonts w:ascii="Times New Roman" w:hAnsi="Times New Roman" w:cs="Times New Roman"/>
          <w:noProof/>
        </w:rPr>
      </w:pPr>
    </w:p>
    <w:p>
      <w:pPr>
        <w:autoSpaceDE w:val="0"/>
        <w:autoSpaceDN w:val="0"/>
        <w:adjustRightInd w:val="0"/>
        <w:spacing w:after="0" w:line="240" w:lineRule="auto"/>
        <w:rPr>
          <w:rFonts w:ascii="Times New Roman" w:hAnsi="Times New Roman" w:cs="Times New Roman"/>
          <w:b/>
          <w:bCs/>
          <w:noProof/>
          <w:color w:val="000000"/>
          <w:sz w:val="24"/>
          <w:szCs w:val="24"/>
          <w:u w:val="single"/>
        </w:rPr>
      </w:pPr>
      <w:r>
        <w:rPr>
          <w:rFonts w:ascii="Times New Roman" w:hAnsi="Times New Roman"/>
          <w:b/>
          <w:bCs/>
          <w:noProof/>
          <w:color w:val="000000"/>
          <w:sz w:val="24"/>
          <w:szCs w:val="24"/>
          <w:u w:val="single"/>
        </w:rPr>
        <w:t>Situación en 2019</w:t>
      </w:r>
    </w:p>
    <w:p>
      <w:pPr>
        <w:autoSpaceDE w:val="0"/>
        <w:autoSpaceDN w:val="0"/>
        <w:adjustRightInd w:val="0"/>
        <w:spacing w:after="0" w:line="240" w:lineRule="auto"/>
        <w:rPr>
          <w:rFonts w:ascii="Times New Roman" w:hAnsi="Times New Roman" w:cs="Times New Roman"/>
          <w:noProof/>
          <w:color w:val="000000"/>
          <w:sz w:val="24"/>
          <w:szCs w:val="24"/>
          <w:u w:val="single"/>
          <w:lang w:val="en-US"/>
        </w:rPr>
      </w:pPr>
    </w:p>
    <w:p>
      <w:pPr>
        <w:pStyle w:val="ListParagraph"/>
        <w:numPr>
          <w:ilvl w:val="0"/>
          <w:numId w:val="2"/>
        </w:numPr>
        <w:autoSpaceDE w:val="0"/>
        <w:autoSpaceDN w:val="0"/>
        <w:adjustRightInd w:val="0"/>
        <w:spacing w:after="0" w:line="240" w:lineRule="auto"/>
        <w:rPr>
          <w:rFonts w:ascii="Times New Roman" w:hAnsi="Times New Roman" w:cs="Times New Roman"/>
          <w:noProof/>
          <w:color w:val="000000"/>
          <w:sz w:val="24"/>
          <w:szCs w:val="24"/>
        </w:rPr>
      </w:pPr>
      <w:r>
        <w:rPr>
          <w:rFonts w:ascii="Times New Roman" w:hAnsi="Times New Roman"/>
          <w:b/>
          <w:bCs/>
          <w:noProof/>
          <w:color w:val="000000"/>
          <w:sz w:val="24"/>
          <w:szCs w:val="24"/>
        </w:rPr>
        <w:t xml:space="preserve">Ejecución territorial del 11.º FED </w:t>
      </w:r>
    </w:p>
    <w:p>
      <w:pPr>
        <w:autoSpaceDE w:val="0"/>
        <w:autoSpaceDN w:val="0"/>
        <w:adjustRightInd w:val="0"/>
        <w:spacing w:after="0" w:line="240" w:lineRule="auto"/>
        <w:rPr>
          <w:rFonts w:ascii="Times New Roman" w:hAnsi="Times New Roman" w:cs="Times New Roman"/>
          <w:noProof/>
          <w:color w:val="000000"/>
          <w:sz w:val="24"/>
          <w:szCs w:val="24"/>
          <w:lang w:val="en-US"/>
        </w:rPr>
      </w:pPr>
    </w:p>
    <w:p>
      <w:pPr>
        <w:spacing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En 2019, gracias al compromiso común de todas las partes interesadas, se han logrado avances en la programación del 11.º FED mediante una mejor coordinación y diálogo. Con la adopción de los documentos de programación para Aruba y Bonaire en 2019, </w:t>
      </w:r>
      <w:r>
        <w:rPr>
          <w:rFonts w:ascii="Times New Roman" w:hAnsi="Times New Roman"/>
          <w:b/>
          <w:noProof/>
          <w:color w:val="000000"/>
          <w:sz w:val="24"/>
          <w:szCs w:val="24"/>
        </w:rPr>
        <w:t>catorce de los dieciséis PTU que cuentan con una asignación del FED han finalizado ya su programación</w:t>
      </w:r>
      <w:r>
        <w:rPr>
          <w:rFonts w:ascii="Times New Roman" w:hAnsi="Times New Roman" w:cs="Times New Roman"/>
          <w:b/>
          <w:noProof/>
          <w:vertAlign w:val="superscript"/>
        </w:rPr>
        <w:footnoteReference w:id="6"/>
      </w:r>
      <w:r>
        <w:rPr>
          <w:rFonts w:ascii="Times New Roman" w:hAnsi="Times New Roman"/>
          <w:noProof/>
          <w:color w:val="000000"/>
          <w:sz w:val="24"/>
          <w:szCs w:val="24"/>
        </w:rPr>
        <w:t>. En lo que respecta al apoyo financiero eficaz, en 2019 se desembolsaron 40,7 millones EUR en el marco del 11.º FED para los PTU (</w:t>
      </w:r>
      <w:r>
        <w:rPr>
          <w:rFonts w:ascii="Times New Roman" w:hAnsi="Times New Roman"/>
          <w:noProof/>
          <w:sz w:val="24"/>
          <w:szCs w:val="24"/>
        </w:rPr>
        <w:t>véase el anexo I</w:t>
      </w:r>
      <w:r>
        <w:rPr>
          <w:rFonts w:ascii="Times New Roman" w:hAnsi="Times New Roman"/>
          <w:noProof/>
          <w:color w:val="000000"/>
          <w:sz w:val="24"/>
          <w:szCs w:val="24"/>
        </w:rPr>
        <w:t>). El proceso de programación para Curazao (16,95 millones EUR) y San Martín (7 millones EUR) se ha ejecutado durante 2019, y su adopción está prevista para 2020.</w:t>
      </w:r>
    </w:p>
    <w:p>
      <w:pPr>
        <w:autoSpaceDE w:val="0"/>
        <w:autoSpaceDN w:val="0"/>
        <w:adjustRightInd w:val="0"/>
        <w:spacing w:after="0" w:line="240" w:lineRule="auto"/>
        <w:rPr>
          <w:rFonts w:ascii="Times New Roman" w:hAnsi="Times New Roman" w:cs="Times New Roman"/>
          <w:noProof/>
          <w:color w:val="000000"/>
          <w:sz w:val="24"/>
          <w:szCs w:val="24"/>
        </w:rPr>
      </w:pPr>
      <w:r>
        <w:rPr>
          <w:rFonts w:ascii="Times New Roman" w:hAnsi="Times New Roman"/>
          <w:noProof/>
          <w:color w:val="000000"/>
          <w:sz w:val="24"/>
          <w:szCs w:val="24"/>
        </w:rPr>
        <w:t xml:space="preserve">En lo que se refiere a la ejecución durante el año 2019: </w:t>
      </w:r>
    </w:p>
    <w:p>
      <w:pPr>
        <w:autoSpaceDE w:val="0"/>
        <w:autoSpaceDN w:val="0"/>
        <w:adjustRightInd w:val="0"/>
        <w:spacing w:after="0" w:line="240" w:lineRule="auto"/>
        <w:rPr>
          <w:rFonts w:ascii="Times New Roman" w:hAnsi="Times New Roman" w:cs="Times New Roman"/>
          <w:noProof/>
          <w:color w:val="000000"/>
          <w:sz w:val="24"/>
          <w:szCs w:val="24"/>
        </w:rPr>
      </w:pPr>
    </w:p>
    <w:p>
      <w:pPr>
        <w:autoSpaceDE w:val="0"/>
        <w:autoSpaceDN w:val="0"/>
        <w:adjustRightInd w:val="0"/>
        <w:spacing w:after="0" w:line="240" w:lineRule="auto"/>
        <w:rPr>
          <w:rFonts w:ascii="Times New Roman" w:hAnsi="Times New Roman" w:cs="Times New Roman"/>
          <w:noProof/>
          <w:color w:val="000000"/>
          <w:sz w:val="24"/>
          <w:szCs w:val="24"/>
          <w:u w:val="single"/>
        </w:rPr>
      </w:pPr>
      <w:r>
        <w:rPr>
          <w:rFonts w:ascii="Times New Roman" w:hAnsi="Times New Roman"/>
          <w:noProof/>
          <w:color w:val="000000"/>
          <w:sz w:val="24"/>
          <w:szCs w:val="24"/>
          <w:u w:val="single"/>
        </w:rPr>
        <w:t xml:space="preserve">Región del Caribe: </w:t>
      </w:r>
    </w:p>
    <w:p>
      <w:pPr>
        <w:pStyle w:val="Default"/>
        <w:jc w:val="both"/>
        <w:rPr>
          <w:rFonts w:ascii="Times New Roman" w:hAnsi="Times New Roman" w:cs="Times New Roman"/>
          <w:noProof/>
          <w:lang w:val="en-US"/>
        </w:rPr>
      </w:pPr>
    </w:p>
    <w:p>
      <w:pPr>
        <w:pStyle w:val="ListParagraph"/>
        <w:numPr>
          <w:ilvl w:val="0"/>
          <w:numId w:val="3"/>
        </w:numPr>
        <w:autoSpaceDE w:val="0"/>
        <w:autoSpaceDN w:val="0"/>
        <w:adjustRightInd w:val="0"/>
        <w:spacing w:after="167"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En el sector de la </w:t>
      </w:r>
      <w:r>
        <w:rPr>
          <w:rFonts w:ascii="Times New Roman" w:hAnsi="Times New Roman"/>
          <w:b/>
          <w:bCs/>
          <w:noProof/>
          <w:color w:val="000000"/>
          <w:sz w:val="24"/>
          <w:szCs w:val="24"/>
        </w:rPr>
        <w:t>educación</w:t>
      </w:r>
      <w:r>
        <w:rPr>
          <w:rFonts w:ascii="Times New Roman" w:hAnsi="Times New Roman"/>
          <w:noProof/>
          <w:color w:val="000000"/>
          <w:sz w:val="24"/>
          <w:szCs w:val="24"/>
        </w:rPr>
        <w:t xml:space="preserve">, el programa de apoyo presupuestario para </w:t>
      </w:r>
      <w:r>
        <w:rPr>
          <w:rFonts w:ascii="Times New Roman" w:hAnsi="Times New Roman"/>
          <w:b/>
          <w:bCs/>
          <w:noProof/>
          <w:color w:val="000000"/>
          <w:sz w:val="24"/>
          <w:szCs w:val="24"/>
        </w:rPr>
        <w:t xml:space="preserve">Anguila </w:t>
      </w:r>
      <w:r>
        <w:rPr>
          <w:rFonts w:ascii="Times New Roman" w:hAnsi="Times New Roman"/>
          <w:noProof/>
          <w:color w:val="000000"/>
          <w:sz w:val="24"/>
          <w:szCs w:val="24"/>
        </w:rPr>
        <w:t xml:space="preserve">respaldaba la aprobación de un plan de financiación sostenible para el sector, la finalización de un marco nacional de cualificaciones y el establecimiento de seis planes de desarrollo escolar individuales [desembolso del tercer tramo fijo de 2,45 millones EUR, así como del primer y el segundo tramo variable (0,75 + 1,05 millones EUR)]. Asimismo, en febrero de 2019 </w:t>
      </w:r>
      <w:r>
        <w:rPr>
          <w:rFonts w:ascii="Times New Roman" w:hAnsi="Times New Roman"/>
          <w:b/>
          <w:noProof/>
          <w:color w:val="000000"/>
          <w:sz w:val="24"/>
          <w:szCs w:val="24"/>
        </w:rPr>
        <w:t xml:space="preserve">Aruba </w:t>
      </w:r>
      <w:r>
        <w:rPr>
          <w:rFonts w:ascii="Times New Roman" w:hAnsi="Times New Roman"/>
          <w:noProof/>
          <w:color w:val="000000"/>
          <w:sz w:val="24"/>
          <w:szCs w:val="24"/>
        </w:rPr>
        <w:t xml:space="preserve">adoptó su documento de programación (13,05 millones EUR) sobre un programa relativo a la educación destinado a mejorar las competencias técnicas para un desarrollo sostenible e innovador. </w:t>
      </w:r>
      <w:r>
        <w:rPr>
          <w:rFonts w:ascii="Times New Roman" w:hAnsi="Times New Roman"/>
          <w:b/>
          <w:noProof/>
          <w:sz w:val="24"/>
          <w:szCs w:val="24"/>
        </w:rPr>
        <w:t xml:space="preserve">Turcas y </w:t>
      </w:r>
      <w:r>
        <w:rPr>
          <w:rFonts w:ascii="Times New Roman" w:hAnsi="Times New Roman"/>
          <w:b/>
          <w:noProof/>
          <w:color w:val="000000"/>
          <w:sz w:val="24"/>
          <w:szCs w:val="24"/>
        </w:rPr>
        <w:t>Caicos</w:t>
      </w:r>
      <w:r>
        <w:rPr>
          <w:rFonts w:ascii="Times New Roman" w:hAnsi="Times New Roman"/>
          <w:noProof/>
          <w:color w:val="000000"/>
          <w:sz w:val="24"/>
          <w:szCs w:val="24"/>
        </w:rPr>
        <w:t xml:space="preserve"> continuaron con la puesta en marcha de su programa destinado a mejorar la adaptación de la educación y la formación técnica y profesional a las necesidades del mercado laboral. </w:t>
      </w:r>
    </w:p>
    <w:p>
      <w:pPr>
        <w:pStyle w:val="ListParagraph"/>
        <w:autoSpaceDE w:val="0"/>
        <w:autoSpaceDN w:val="0"/>
        <w:adjustRightInd w:val="0"/>
        <w:spacing w:after="167" w:line="240" w:lineRule="auto"/>
        <w:ind w:left="778"/>
        <w:jc w:val="both"/>
        <w:rPr>
          <w:rFonts w:ascii="Times New Roman" w:hAnsi="Times New Roman" w:cs="Times New Roman"/>
          <w:noProof/>
          <w:color w:val="000000"/>
          <w:sz w:val="24"/>
          <w:szCs w:val="24"/>
        </w:rPr>
      </w:pPr>
    </w:p>
    <w:p>
      <w:pPr>
        <w:pStyle w:val="ListParagraph"/>
        <w:numPr>
          <w:ilvl w:val="0"/>
          <w:numId w:val="3"/>
        </w:numPr>
        <w:autoSpaceDE w:val="0"/>
        <w:autoSpaceDN w:val="0"/>
        <w:adjustRightInd w:val="0"/>
        <w:spacing w:after="167" w:line="240" w:lineRule="auto"/>
        <w:jc w:val="both"/>
        <w:rPr>
          <w:rFonts w:ascii="Times New Roman" w:hAnsi="Times New Roman" w:cs="Times New Roman"/>
          <w:noProof/>
          <w:color w:val="000000"/>
          <w:sz w:val="24"/>
          <w:szCs w:val="24"/>
        </w:rPr>
      </w:pPr>
      <w:r>
        <w:rPr>
          <w:rFonts w:ascii="Times New Roman" w:hAnsi="Times New Roman"/>
          <w:noProof/>
          <w:sz w:val="24"/>
          <w:szCs w:val="24"/>
        </w:rPr>
        <w:t xml:space="preserve">Los progresos en cuanto a </w:t>
      </w:r>
      <w:r>
        <w:rPr>
          <w:rFonts w:ascii="Times New Roman" w:hAnsi="Times New Roman"/>
          <w:b/>
          <w:noProof/>
          <w:sz w:val="24"/>
          <w:szCs w:val="24"/>
        </w:rPr>
        <w:t>crecimiento sostenible</w:t>
      </w:r>
      <w:r>
        <w:rPr>
          <w:rFonts w:ascii="Times New Roman" w:hAnsi="Times New Roman"/>
          <w:noProof/>
          <w:sz w:val="24"/>
          <w:szCs w:val="24"/>
        </w:rPr>
        <w:t xml:space="preserve"> </w:t>
      </w:r>
      <w:r>
        <w:rPr>
          <w:rFonts w:ascii="Times New Roman" w:hAnsi="Times New Roman"/>
          <w:noProof/>
          <w:color w:val="000000"/>
          <w:sz w:val="24"/>
          <w:szCs w:val="24"/>
        </w:rPr>
        <w:t xml:space="preserve">también fueron notorios gracias al actual programa de apoyo presupuestario para </w:t>
      </w:r>
      <w:r>
        <w:rPr>
          <w:rFonts w:ascii="Times New Roman" w:hAnsi="Times New Roman"/>
          <w:b/>
          <w:noProof/>
          <w:color w:val="000000"/>
          <w:sz w:val="24"/>
          <w:szCs w:val="24"/>
        </w:rPr>
        <w:t>Montserrat</w:t>
      </w:r>
      <w:r>
        <w:rPr>
          <w:rFonts w:ascii="Times New Roman" w:hAnsi="Times New Roman"/>
          <w:noProof/>
          <w:color w:val="000000"/>
          <w:sz w:val="24"/>
          <w:szCs w:val="24"/>
        </w:rPr>
        <w:t xml:space="preserve"> con el desembolso del segundo tramo fijo (2 millones EUR) y del primer tramo variable (2 millones EUR). Este programa de apoyo presupuestario fomenta el desarrollo en ámbitos como la energía renovable y el turismo.</w:t>
      </w:r>
    </w:p>
    <w:p>
      <w:pPr>
        <w:pStyle w:val="ListParagraph"/>
        <w:autoSpaceDE w:val="0"/>
        <w:autoSpaceDN w:val="0"/>
        <w:adjustRightInd w:val="0"/>
        <w:spacing w:after="167" w:line="240" w:lineRule="auto"/>
        <w:ind w:left="778"/>
        <w:jc w:val="both"/>
        <w:rPr>
          <w:rFonts w:ascii="Times New Roman" w:hAnsi="Times New Roman" w:cs="Times New Roman"/>
          <w:noProof/>
          <w:color w:val="000000"/>
          <w:sz w:val="24"/>
          <w:szCs w:val="24"/>
        </w:rPr>
      </w:pPr>
    </w:p>
    <w:p>
      <w:pPr>
        <w:pStyle w:val="ListParagraph"/>
        <w:numPr>
          <w:ilvl w:val="0"/>
          <w:numId w:val="3"/>
        </w:numPr>
        <w:jc w:val="both"/>
        <w:rPr>
          <w:rFonts w:ascii="Times New Roman" w:hAnsi="Times New Roman" w:cs="Times New Roman"/>
          <w:noProof/>
        </w:rPr>
      </w:pPr>
      <w:r>
        <w:rPr>
          <w:rFonts w:ascii="Times New Roman" w:hAnsi="Times New Roman"/>
          <w:b/>
          <w:noProof/>
          <w:sz w:val="24"/>
          <w:szCs w:val="24"/>
        </w:rPr>
        <w:t>Se puso en marcha el nuevo programa de apoyo presupuestario para la juventud a favor de Bonaire</w:t>
      </w:r>
      <w:r>
        <w:rPr>
          <w:rFonts w:ascii="Times New Roman" w:hAnsi="Times New Roman"/>
          <w:noProof/>
          <w:sz w:val="24"/>
          <w:szCs w:val="24"/>
        </w:rPr>
        <w:t xml:space="preserve"> tras la adopción del documento de programación del 11.º FED (3,95 millones EUR). Dicho programa contribuirá a mejorar la salud, la empleabilidad y el nivel de vida de los jóvenes</w:t>
      </w:r>
      <w:r>
        <w:rPr>
          <w:rFonts w:ascii="Times New Roman" w:hAnsi="Times New Roman"/>
          <w:noProof/>
        </w:rPr>
        <w:t xml:space="preserve">. </w:t>
      </w:r>
      <w:r>
        <w:rPr>
          <w:rFonts w:ascii="Times New Roman" w:hAnsi="Times New Roman"/>
          <w:noProof/>
        </w:rPr>
        <w:tab/>
      </w:r>
      <w:r>
        <w:rPr>
          <w:rFonts w:ascii="Times New Roman" w:hAnsi="Times New Roman"/>
          <w:noProof/>
        </w:rPr>
        <w:br/>
      </w:r>
    </w:p>
    <w:p>
      <w:pPr>
        <w:pStyle w:val="ListParagraph"/>
        <w:numPr>
          <w:ilvl w:val="0"/>
          <w:numId w:val="3"/>
        </w:numPr>
        <w:autoSpaceDE w:val="0"/>
        <w:autoSpaceDN w:val="0"/>
        <w:adjustRightInd w:val="0"/>
        <w:spacing w:after="167"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Se asignaron a las </w:t>
      </w:r>
      <w:r>
        <w:rPr>
          <w:rFonts w:ascii="Times New Roman" w:hAnsi="Times New Roman"/>
          <w:b/>
          <w:noProof/>
          <w:color w:val="000000"/>
          <w:sz w:val="24"/>
          <w:szCs w:val="24"/>
        </w:rPr>
        <w:t>Islas Vírgenes Británicas</w:t>
      </w:r>
      <w:r>
        <w:rPr>
          <w:rFonts w:ascii="Times New Roman" w:hAnsi="Times New Roman"/>
          <w:noProof/>
          <w:color w:val="000000"/>
          <w:sz w:val="24"/>
          <w:szCs w:val="24"/>
        </w:rPr>
        <w:t xml:space="preserve"> 2 millones EUR con cargo a la dotación B</w:t>
      </w:r>
      <w:r>
        <w:rPr>
          <w:rStyle w:val="FootnoteReference"/>
          <w:rFonts w:ascii="Times New Roman" w:hAnsi="Times New Roman" w:cs="Times New Roman"/>
          <w:noProof/>
          <w:color w:val="000000"/>
          <w:sz w:val="24"/>
          <w:szCs w:val="24"/>
          <w:lang w:val="en-US"/>
        </w:rPr>
        <w:footnoteReference w:id="7"/>
      </w:r>
      <w:r>
        <w:rPr>
          <w:rFonts w:ascii="Times New Roman" w:hAnsi="Times New Roman"/>
          <w:noProof/>
          <w:color w:val="000000"/>
          <w:sz w:val="24"/>
          <w:szCs w:val="24"/>
        </w:rPr>
        <w:t xml:space="preserve"> para la ayuda posterior a la emergencia tras los huracanes de 2017 que afectaron a los PTU del Caribe, con el fin de aumentar la </w:t>
      </w:r>
      <w:r>
        <w:rPr>
          <w:rFonts w:ascii="Times New Roman" w:hAnsi="Times New Roman"/>
          <w:b/>
          <w:noProof/>
          <w:color w:val="000000"/>
          <w:sz w:val="24"/>
          <w:szCs w:val="24"/>
        </w:rPr>
        <w:t>resiliencia</w:t>
      </w:r>
      <w:r>
        <w:rPr>
          <w:rFonts w:ascii="Times New Roman" w:hAnsi="Times New Roman"/>
          <w:noProof/>
          <w:color w:val="000000"/>
          <w:sz w:val="24"/>
          <w:szCs w:val="24"/>
        </w:rPr>
        <w:t>.</w:t>
      </w:r>
    </w:p>
    <w:p>
      <w:pPr>
        <w:autoSpaceDE w:val="0"/>
        <w:autoSpaceDN w:val="0"/>
        <w:adjustRightInd w:val="0"/>
        <w:spacing w:after="0" w:line="240" w:lineRule="auto"/>
        <w:rPr>
          <w:rFonts w:ascii="Times New Roman" w:hAnsi="Times New Roman" w:cs="Times New Roman"/>
          <w:noProof/>
          <w:color w:val="000000"/>
          <w:sz w:val="24"/>
          <w:szCs w:val="24"/>
        </w:rPr>
      </w:pPr>
    </w:p>
    <w:p>
      <w:pPr>
        <w:autoSpaceDE w:val="0"/>
        <w:autoSpaceDN w:val="0"/>
        <w:adjustRightInd w:val="0"/>
        <w:spacing w:after="0" w:line="240" w:lineRule="auto"/>
        <w:rPr>
          <w:rFonts w:ascii="Times New Roman" w:hAnsi="Times New Roman" w:cs="Times New Roman"/>
          <w:noProof/>
          <w:color w:val="000000"/>
          <w:sz w:val="24"/>
          <w:szCs w:val="24"/>
          <w:u w:val="single"/>
        </w:rPr>
      </w:pPr>
      <w:r>
        <w:rPr>
          <w:rFonts w:ascii="Times New Roman" w:hAnsi="Times New Roman"/>
          <w:noProof/>
          <w:color w:val="000000"/>
          <w:sz w:val="24"/>
          <w:szCs w:val="24"/>
          <w:u w:val="single"/>
        </w:rPr>
        <w:t xml:space="preserve">Región del Pacífico: </w:t>
      </w:r>
    </w:p>
    <w:p>
      <w:pPr>
        <w:autoSpaceDE w:val="0"/>
        <w:autoSpaceDN w:val="0"/>
        <w:adjustRightInd w:val="0"/>
        <w:spacing w:after="0" w:line="240" w:lineRule="auto"/>
        <w:rPr>
          <w:rFonts w:ascii="Times New Roman" w:hAnsi="Times New Roman" w:cs="Times New Roman"/>
          <w:noProof/>
          <w:color w:val="000000"/>
          <w:sz w:val="24"/>
          <w:szCs w:val="24"/>
          <w:u w:val="single"/>
          <w:lang w:val="en-US"/>
        </w:rPr>
      </w:pPr>
    </w:p>
    <w:p>
      <w:pPr>
        <w:pStyle w:val="Default"/>
        <w:numPr>
          <w:ilvl w:val="0"/>
          <w:numId w:val="7"/>
        </w:numPr>
        <w:jc w:val="both"/>
        <w:rPr>
          <w:rFonts w:ascii="Times New Roman" w:hAnsi="Times New Roman" w:cs="Times New Roman"/>
          <w:noProof/>
          <w:color w:val="auto"/>
        </w:rPr>
      </w:pPr>
      <w:r>
        <w:rPr>
          <w:rFonts w:ascii="Times New Roman" w:hAnsi="Times New Roman"/>
          <w:noProof/>
          <w:color w:val="auto"/>
        </w:rPr>
        <w:t>En lo que respecta al</w:t>
      </w:r>
      <w:r>
        <w:rPr>
          <w:rFonts w:ascii="Times New Roman" w:hAnsi="Times New Roman"/>
          <w:b/>
          <w:noProof/>
          <w:color w:val="auto"/>
        </w:rPr>
        <w:t xml:space="preserve"> turismo</w:t>
      </w:r>
      <w:r>
        <w:rPr>
          <w:rFonts w:ascii="Times New Roman" w:hAnsi="Times New Roman"/>
          <w:noProof/>
          <w:color w:val="auto"/>
        </w:rPr>
        <w:t xml:space="preserve"> sostenible, la </w:t>
      </w:r>
      <w:r>
        <w:rPr>
          <w:rFonts w:ascii="Times New Roman" w:hAnsi="Times New Roman"/>
          <w:b/>
          <w:noProof/>
          <w:color w:val="auto"/>
        </w:rPr>
        <w:t>Polinesia Francesa</w:t>
      </w:r>
      <w:r>
        <w:rPr>
          <w:rFonts w:ascii="Times New Roman" w:hAnsi="Times New Roman"/>
          <w:noProof/>
          <w:color w:val="auto"/>
        </w:rPr>
        <w:t xml:space="preserve"> logró avances en su política sectorial, tratando de ejecutar su estrategia de turismo sostenible y permitiendo el desembolso del segundo tramo fijo (7,4 millones EUR). </w:t>
      </w:r>
      <w:r>
        <w:rPr>
          <w:rFonts w:ascii="Times New Roman" w:hAnsi="Times New Roman"/>
          <w:b/>
          <w:noProof/>
          <w:color w:val="auto"/>
        </w:rPr>
        <w:t>Pitcairn</w:t>
      </w:r>
      <w:r>
        <w:rPr>
          <w:rFonts w:ascii="Times New Roman" w:hAnsi="Times New Roman"/>
          <w:noProof/>
          <w:color w:val="auto"/>
        </w:rPr>
        <w:t xml:space="preserve"> también prosiguió con la aplicación de su Plan de Desarrollo Estratégico mediante el fomento del turismo y se benefició del primer tramo fijo de 1 millón EUR. Se puso en marcha un nuevo servicio de transporte marítimo y el número de pasajeros aumentó considerablemente. </w:t>
      </w:r>
    </w:p>
    <w:p>
      <w:pPr>
        <w:pStyle w:val="ListParagraph"/>
        <w:autoSpaceDE w:val="0"/>
        <w:autoSpaceDN w:val="0"/>
        <w:adjustRightInd w:val="0"/>
        <w:spacing w:after="167" w:line="240" w:lineRule="auto"/>
        <w:jc w:val="both"/>
        <w:rPr>
          <w:rFonts w:ascii="Times New Roman" w:hAnsi="Times New Roman" w:cs="Times New Roman"/>
          <w:noProof/>
          <w:color w:val="000000"/>
          <w:sz w:val="24"/>
          <w:szCs w:val="24"/>
        </w:rPr>
      </w:pPr>
    </w:p>
    <w:p>
      <w:pPr>
        <w:pStyle w:val="ListParagraph"/>
        <w:numPr>
          <w:ilvl w:val="0"/>
          <w:numId w:val="4"/>
        </w:numPr>
        <w:autoSpaceDE w:val="0"/>
        <w:autoSpaceDN w:val="0"/>
        <w:adjustRightInd w:val="0"/>
        <w:spacing w:after="167"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En el </w:t>
      </w:r>
      <w:r>
        <w:rPr>
          <w:rFonts w:ascii="Times New Roman" w:hAnsi="Times New Roman"/>
          <w:b/>
          <w:bCs/>
          <w:noProof/>
          <w:color w:val="000000"/>
          <w:sz w:val="24"/>
          <w:szCs w:val="24"/>
        </w:rPr>
        <w:t>sector del empleo</w:t>
      </w:r>
      <w:r>
        <w:rPr>
          <w:rFonts w:ascii="Times New Roman" w:hAnsi="Times New Roman"/>
          <w:noProof/>
          <w:color w:val="000000"/>
          <w:sz w:val="24"/>
          <w:szCs w:val="24"/>
        </w:rPr>
        <w:t xml:space="preserve">, </w:t>
      </w:r>
      <w:r>
        <w:rPr>
          <w:rFonts w:ascii="Times New Roman" w:hAnsi="Times New Roman"/>
          <w:b/>
          <w:bCs/>
          <w:noProof/>
          <w:color w:val="000000"/>
          <w:sz w:val="24"/>
          <w:szCs w:val="24"/>
        </w:rPr>
        <w:t>Nueva Caledonia</w:t>
      </w:r>
      <w:r>
        <w:rPr>
          <w:rFonts w:ascii="Times New Roman" w:hAnsi="Times New Roman"/>
          <w:noProof/>
          <w:sz w:val="24"/>
          <w:szCs w:val="24"/>
        </w:rPr>
        <w:t xml:space="preserve"> siguió trabajando para ampliar el acceso a programas de formación y aumentar sus tasas de empleo y formación</w:t>
      </w:r>
      <w:r>
        <w:rPr>
          <w:rFonts w:ascii="Times New Roman" w:hAnsi="Times New Roman"/>
          <w:noProof/>
          <w:color w:val="000000"/>
          <w:sz w:val="24"/>
          <w:szCs w:val="24"/>
        </w:rPr>
        <w:t xml:space="preserve">. Los tramos previstos para 2018 (segundo tramo fijo de 4 millones EUR + primer tramo variable de 2 millones EUR) se desembolsaron a principios de 2019. Asimismo, el tercer tramo fijo (5 millones EUR) y los segundos tramos variables (3 millones EUR) se desembolsaron a finales de 2019. </w:t>
      </w:r>
    </w:p>
    <w:p>
      <w:pPr>
        <w:pStyle w:val="ListParagraph"/>
        <w:autoSpaceDE w:val="0"/>
        <w:autoSpaceDN w:val="0"/>
        <w:adjustRightInd w:val="0"/>
        <w:spacing w:after="167" w:line="240" w:lineRule="auto"/>
        <w:jc w:val="both"/>
        <w:rPr>
          <w:rFonts w:ascii="Times New Roman" w:hAnsi="Times New Roman" w:cs="Times New Roman"/>
          <w:noProof/>
          <w:color w:val="000000"/>
          <w:sz w:val="24"/>
          <w:szCs w:val="24"/>
        </w:rPr>
      </w:pPr>
    </w:p>
    <w:p>
      <w:pPr>
        <w:pStyle w:val="ListParagraph"/>
        <w:numPr>
          <w:ilvl w:val="0"/>
          <w:numId w:val="4"/>
        </w:numPr>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En el ámbito del </w:t>
      </w:r>
      <w:r>
        <w:rPr>
          <w:rFonts w:ascii="Times New Roman" w:hAnsi="Times New Roman"/>
          <w:b/>
          <w:noProof/>
          <w:color w:val="000000"/>
          <w:sz w:val="24"/>
          <w:szCs w:val="24"/>
        </w:rPr>
        <w:t>desarrollo digital</w:t>
      </w:r>
      <w:r>
        <w:rPr>
          <w:rFonts w:ascii="Times New Roman" w:hAnsi="Times New Roman"/>
          <w:noProof/>
          <w:color w:val="000000"/>
          <w:sz w:val="24"/>
          <w:szCs w:val="24"/>
        </w:rPr>
        <w:t xml:space="preserve">, </w:t>
      </w:r>
      <w:r>
        <w:rPr>
          <w:rFonts w:ascii="Times New Roman" w:hAnsi="Times New Roman"/>
          <w:b/>
          <w:noProof/>
          <w:color w:val="000000"/>
          <w:sz w:val="24"/>
          <w:szCs w:val="24"/>
        </w:rPr>
        <w:t>Wallis y Futuna</w:t>
      </w:r>
      <w:r>
        <w:rPr>
          <w:rFonts w:ascii="Times New Roman" w:hAnsi="Times New Roman"/>
          <w:noProof/>
          <w:color w:val="000000"/>
          <w:sz w:val="24"/>
          <w:szCs w:val="24"/>
        </w:rPr>
        <w:t xml:space="preserve"> siguieron avanzando en la ejecución de su estrategia digital y en la implantación de servicios relacionados con el cable de banda ancha de Tui-Samoa</w:t>
      </w:r>
      <w:r>
        <w:rPr>
          <w:rFonts w:ascii="Times New Roman" w:hAnsi="Times New Roman" w:cs="Times New Roman"/>
          <w:noProof/>
          <w:color w:val="000000"/>
          <w:sz w:val="24"/>
          <w:szCs w:val="24"/>
          <w:vertAlign w:val="superscript"/>
          <w:lang w:val="en-US"/>
        </w:rPr>
        <w:footnoteReference w:id="8"/>
      </w:r>
      <w:r>
        <w:rPr>
          <w:rFonts w:ascii="Times New Roman" w:hAnsi="Times New Roman"/>
          <w:noProof/>
          <w:color w:val="000000"/>
          <w:sz w:val="24"/>
          <w:szCs w:val="24"/>
        </w:rPr>
        <w:t>, que ofrecerá una conexión de banda ancha de alta velocidad.</w:t>
      </w:r>
    </w:p>
    <w:p>
      <w:pPr>
        <w:autoSpaceDE w:val="0"/>
        <w:autoSpaceDN w:val="0"/>
        <w:adjustRightInd w:val="0"/>
        <w:spacing w:after="0" w:line="240" w:lineRule="auto"/>
        <w:rPr>
          <w:rFonts w:ascii="Times New Roman" w:hAnsi="Times New Roman" w:cs="Times New Roman"/>
          <w:noProof/>
          <w:color w:val="000000"/>
          <w:sz w:val="24"/>
          <w:szCs w:val="24"/>
        </w:rPr>
      </w:pPr>
    </w:p>
    <w:p>
      <w:pPr>
        <w:autoSpaceDE w:val="0"/>
        <w:autoSpaceDN w:val="0"/>
        <w:adjustRightInd w:val="0"/>
        <w:spacing w:after="0" w:line="240" w:lineRule="auto"/>
        <w:rPr>
          <w:rFonts w:ascii="Times New Roman" w:hAnsi="Times New Roman" w:cs="Times New Roman"/>
          <w:noProof/>
          <w:color w:val="000000"/>
          <w:sz w:val="24"/>
          <w:szCs w:val="24"/>
          <w:u w:val="single"/>
        </w:rPr>
      </w:pPr>
      <w:r>
        <w:rPr>
          <w:rFonts w:ascii="Times New Roman" w:hAnsi="Times New Roman"/>
          <w:noProof/>
          <w:color w:val="000000"/>
          <w:sz w:val="24"/>
          <w:szCs w:val="24"/>
          <w:u w:val="single"/>
        </w:rPr>
        <w:t xml:space="preserve">Otros PTU: </w:t>
      </w:r>
    </w:p>
    <w:p>
      <w:pPr>
        <w:autoSpaceDE w:val="0"/>
        <w:autoSpaceDN w:val="0"/>
        <w:adjustRightInd w:val="0"/>
        <w:spacing w:after="0" w:line="240" w:lineRule="auto"/>
        <w:rPr>
          <w:rFonts w:ascii="Times New Roman" w:hAnsi="Times New Roman" w:cs="Times New Roman"/>
          <w:noProof/>
          <w:color w:val="000000"/>
          <w:sz w:val="24"/>
          <w:szCs w:val="24"/>
          <w:u w:val="single"/>
          <w:lang w:val="en-US"/>
        </w:rPr>
      </w:pPr>
    </w:p>
    <w:p>
      <w:pPr>
        <w:pStyle w:val="ListParagraph"/>
        <w:numPr>
          <w:ilvl w:val="0"/>
          <w:numId w:val="5"/>
        </w:numPr>
        <w:autoSpaceDE w:val="0"/>
        <w:autoSpaceDN w:val="0"/>
        <w:adjustRightInd w:val="0"/>
        <w:spacing w:after="167"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Las </w:t>
      </w:r>
      <w:r>
        <w:rPr>
          <w:rFonts w:ascii="Times New Roman" w:hAnsi="Times New Roman"/>
          <w:b/>
          <w:noProof/>
          <w:color w:val="000000"/>
          <w:sz w:val="24"/>
          <w:szCs w:val="24"/>
        </w:rPr>
        <w:t>Islas Malvinas</w:t>
      </w:r>
      <w:r>
        <w:rPr>
          <w:rFonts w:ascii="Times New Roman" w:hAnsi="Times New Roman"/>
          <w:noProof/>
          <w:color w:val="000000"/>
          <w:sz w:val="24"/>
          <w:szCs w:val="24"/>
        </w:rPr>
        <w:t xml:space="preserve"> se benefician de un programa de </w:t>
      </w:r>
      <w:r>
        <w:rPr>
          <w:rFonts w:ascii="Times New Roman" w:hAnsi="Times New Roman"/>
          <w:b/>
          <w:noProof/>
          <w:color w:val="000000"/>
          <w:sz w:val="24"/>
          <w:szCs w:val="24"/>
        </w:rPr>
        <w:t xml:space="preserve">conectividad </w:t>
      </w:r>
      <w:r>
        <w:rPr>
          <w:rFonts w:ascii="Times New Roman" w:hAnsi="Times New Roman"/>
          <w:noProof/>
          <w:color w:val="000000"/>
          <w:sz w:val="24"/>
          <w:szCs w:val="24"/>
        </w:rPr>
        <w:t>en el marco del 11.º FED. En 2019</w:t>
      </w:r>
      <w:r>
        <w:rPr>
          <w:rFonts w:ascii="Times New Roman" w:hAnsi="Times New Roman"/>
          <w:noProof/>
          <w:sz w:val="24"/>
          <w:szCs w:val="24"/>
        </w:rPr>
        <w:t xml:space="preserve"> se lograron avances satisfactorios en la ejecución de su Plan Nacional de Infraestructura y en la rehabilitación de aeronaves.</w:t>
      </w:r>
      <w:r>
        <w:rPr>
          <w:rFonts w:ascii="Times New Roman" w:hAnsi="Times New Roman"/>
          <w:noProof/>
          <w:color w:val="000000"/>
          <w:sz w:val="24"/>
          <w:szCs w:val="24"/>
        </w:rPr>
        <w:t xml:space="preserve"> Se desembolsó el segundo tramo fijo (1 millón EUR), así como el primer tramo variable (0,75 millones EUR). </w:t>
      </w:r>
      <w:r>
        <w:rPr>
          <w:rFonts w:ascii="Times New Roman" w:hAnsi="Times New Roman"/>
          <w:b/>
          <w:noProof/>
          <w:color w:val="000000"/>
          <w:sz w:val="24"/>
          <w:szCs w:val="24"/>
        </w:rPr>
        <w:t>Santa Elena</w:t>
      </w:r>
      <w:r>
        <w:rPr>
          <w:rFonts w:ascii="Times New Roman" w:hAnsi="Times New Roman"/>
          <w:noProof/>
          <w:color w:val="000000"/>
          <w:sz w:val="24"/>
          <w:szCs w:val="24"/>
        </w:rPr>
        <w:t>, que también se beneficiaba del programa de conectividad en el marco del 11.º FED, reveló avances importantes en la ejecución de su estrategia digital durante 2019.</w:t>
      </w:r>
      <w:r>
        <w:rPr>
          <w:rFonts w:ascii="Times New Roman" w:hAnsi="Times New Roman"/>
          <w:noProof/>
          <w:color w:val="000000"/>
          <w:sz w:val="24"/>
          <w:szCs w:val="24"/>
        </w:rPr>
        <w:tab/>
      </w:r>
      <w:r>
        <w:rPr>
          <w:rFonts w:ascii="Times New Roman" w:hAnsi="Times New Roman"/>
          <w:noProof/>
          <w:color w:val="000000"/>
          <w:sz w:val="24"/>
          <w:szCs w:val="24"/>
        </w:rPr>
        <w:br/>
      </w:r>
    </w:p>
    <w:p>
      <w:pPr>
        <w:pStyle w:val="ListParagraph"/>
        <w:numPr>
          <w:ilvl w:val="0"/>
          <w:numId w:val="5"/>
        </w:numPr>
        <w:spacing w:line="240" w:lineRule="auto"/>
        <w:jc w:val="both"/>
        <w:rPr>
          <w:rFonts w:ascii="Times New Roman" w:hAnsi="Times New Roman" w:cs="Times New Roman"/>
          <w:noProof/>
          <w:sz w:val="24"/>
          <w:szCs w:val="24"/>
        </w:rPr>
      </w:pPr>
      <w:r>
        <w:rPr>
          <w:rFonts w:ascii="Times New Roman" w:hAnsi="Times New Roman"/>
          <w:noProof/>
          <w:sz w:val="24"/>
          <w:szCs w:val="24"/>
        </w:rPr>
        <w:t>En lo que respecta al</w:t>
      </w:r>
      <w:r>
        <w:rPr>
          <w:rFonts w:ascii="Times New Roman" w:hAnsi="Times New Roman"/>
          <w:b/>
          <w:bCs/>
          <w:noProof/>
          <w:sz w:val="24"/>
          <w:szCs w:val="24"/>
        </w:rPr>
        <w:t xml:space="preserve"> turismo</w:t>
      </w:r>
      <w:r>
        <w:rPr>
          <w:rFonts w:ascii="Times New Roman" w:hAnsi="Times New Roman"/>
          <w:noProof/>
          <w:sz w:val="24"/>
          <w:szCs w:val="24"/>
        </w:rPr>
        <w:t xml:space="preserve">, el programa de apoyo presupuestario en </w:t>
      </w:r>
      <w:r>
        <w:rPr>
          <w:rFonts w:ascii="Times New Roman" w:hAnsi="Times New Roman"/>
          <w:b/>
          <w:bCs/>
          <w:noProof/>
          <w:sz w:val="24"/>
          <w:szCs w:val="24"/>
        </w:rPr>
        <w:t>San Pedro y Miquelón</w:t>
      </w:r>
      <w:r>
        <w:rPr>
          <w:rFonts w:ascii="Times New Roman" w:hAnsi="Times New Roman"/>
          <w:noProof/>
          <w:sz w:val="24"/>
          <w:szCs w:val="24"/>
        </w:rPr>
        <w:t xml:space="preserve"> se concluyó en 2019 con el desembolso del cuarto tramo fijo (3,25 millones EUR) y el segundo tramo variable en su totalidad (3,25 millones EUR). El progreso en los sectores del turismo y el transporte marítimo fue evidente, como demostró el importante aumento de la capacidad de alojamiento y el refuerzo del servicio marítimo entre San Pedro, Miquelón y Terranova, Canadá.</w:t>
      </w: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Por lo general y a lo largo del año, los programas de apoyo presupuestario han llevado a mantener con los PTU asociados diálogos políticos periódicos sobre la situación macroeconómica, la gestión de las finanzas públicas y las políticas sectoriales. </w:t>
      </w:r>
    </w:p>
    <w:p>
      <w:pPr>
        <w:autoSpaceDE w:val="0"/>
        <w:autoSpaceDN w:val="0"/>
        <w:adjustRightInd w:val="0"/>
        <w:spacing w:after="0" w:line="240" w:lineRule="auto"/>
        <w:rPr>
          <w:rFonts w:ascii="Times New Roman" w:hAnsi="Times New Roman" w:cs="Times New Roman"/>
          <w:noProof/>
          <w:color w:val="000000"/>
          <w:sz w:val="24"/>
          <w:szCs w:val="24"/>
        </w:rPr>
      </w:pPr>
    </w:p>
    <w:p>
      <w:pPr>
        <w:autoSpaceDE w:val="0"/>
        <w:autoSpaceDN w:val="0"/>
        <w:spacing w:line="240" w:lineRule="auto"/>
        <w:jc w:val="both"/>
        <w:rPr>
          <w:rFonts w:ascii="Times New Roman" w:hAnsi="Times New Roman" w:cs="Times New Roman"/>
          <w:iCs/>
          <w:noProof/>
          <w:color w:val="000000"/>
          <w:sz w:val="24"/>
          <w:szCs w:val="24"/>
        </w:rPr>
      </w:pPr>
      <w:r>
        <w:rPr>
          <w:rFonts w:ascii="Times New Roman" w:hAnsi="Times New Roman"/>
          <w:iCs/>
          <w:noProof/>
          <w:color w:val="000000"/>
          <w:sz w:val="24"/>
          <w:szCs w:val="24"/>
        </w:rPr>
        <w:t xml:space="preserve">En 2019 se produjo una movilización de la </w:t>
      </w:r>
      <w:r>
        <w:rPr>
          <w:rFonts w:ascii="Times New Roman" w:hAnsi="Times New Roman"/>
          <w:b/>
          <w:bCs/>
          <w:iCs/>
          <w:noProof/>
          <w:color w:val="000000"/>
          <w:sz w:val="24"/>
          <w:szCs w:val="24"/>
        </w:rPr>
        <w:t xml:space="preserve">asistencia técnica </w:t>
      </w:r>
      <w:r>
        <w:rPr>
          <w:rFonts w:ascii="Times New Roman" w:hAnsi="Times New Roman"/>
          <w:iCs/>
          <w:noProof/>
          <w:color w:val="000000"/>
          <w:sz w:val="24"/>
          <w:szCs w:val="24"/>
        </w:rPr>
        <w:t>para apoyar a los ordenadores de pagos territoriales y regionales en el proceso de programación. Al final de 2019, en el marco de los Instrumentos de Cooperación Técnica II y III del 11.º FED, se había desembolsado un total de 1 592 672,72 EUR para estudios o contratos de asistencia técnica que ayudaron a definir la programación o las estrategias sectoriales de los PTU o a determinar la elegibilidad de los PTU para el apoyo presupuestario.</w:t>
      </w:r>
    </w:p>
    <w:p>
      <w:pPr>
        <w:autoSpaceDE w:val="0"/>
        <w:autoSpaceDN w:val="0"/>
        <w:adjustRightInd w:val="0"/>
        <w:spacing w:after="0" w:line="240" w:lineRule="auto"/>
        <w:rPr>
          <w:rFonts w:ascii="Times New Roman" w:hAnsi="Times New Roman" w:cs="Times New Roman"/>
          <w:noProof/>
          <w:color w:val="000000"/>
          <w:sz w:val="24"/>
          <w:szCs w:val="24"/>
        </w:rPr>
      </w:pPr>
    </w:p>
    <w:p>
      <w:pPr>
        <w:pStyle w:val="ListParagraph"/>
        <w:numPr>
          <w:ilvl w:val="0"/>
          <w:numId w:val="2"/>
        </w:numPr>
        <w:autoSpaceDE w:val="0"/>
        <w:autoSpaceDN w:val="0"/>
        <w:adjustRightInd w:val="0"/>
        <w:spacing w:after="0" w:line="240" w:lineRule="auto"/>
        <w:rPr>
          <w:rFonts w:ascii="Times New Roman" w:hAnsi="Times New Roman" w:cs="Times New Roman"/>
          <w:noProof/>
          <w:color w:val="000000"/>
          <w:sz w:val="24"/>
          <w:szCs w:val="24"/>
        </w:rPr>
      </w:pPr>
      <w:r>
        <w:rPr>
          <w:rFonts w:ascii="Times New Roman" w:hAnsi="Times New Roman"/>
          <w:b/>
          <w:bCs/>
          <w:noProof/>
          <w:color w:val="000000"/>
          <w:sz w:val="24"/>
          <w:szCs w:val="24"/>
        </w:rPr>
        <w:t xml:space="preserve">Cooperación regional en el marco del 11.º FED </w:t>
      </w:r>
    </w:p>
    <w:p>
      <w:pPr>
        <w:pStyle w:val="ListParagraph"/>
        <w:autoSpaceDE w:val="0"/>
        <w:autoSpaceDN w:val="0"/>
        <w:adjustRightInd w:val="0"/>
        <w:spacing w:after="0" w:line="240" w:lineRule="auto"/>
        <w:rPr>
          <w:rFonts w:ascii="Times New Roman" w:hAnsi="Times New Roman" w:cs="Times New Roman"/>
          <w:noProof/>
          <w:color w:val="000000"/>
          <w:sz w:val="24"/>
          <w:szCs w:val="24"/>
          <w:lang w:val="en-US"/>
        </w:rPr>
      </w:pPr>
    </w:p>
    <w:p>
      <w:pPr>
        <w:autoSpaceDE w:val="0"/>
        <w:autoSpaceDN w:val="0"/>
        <w:adjustRightInd w:val="0"/>
        <w:spacing w:after="0" w:line="240" w:lineRule="auto"/>
        <w:rPr>
          <w:rFonts w:ascii="Times New Roman" w:hAnsi="Times New Roman" w:cs="Times New Roman"/>
          <w:noProof/>
          <w:color w:val="000000"/>
          <w:sz w:val="24"/>
          <w:szCs w:val="24"/>
        </w:rPr>
      </w:pPr>
      <w:r>
        <w:rPr>
          <w:rFonts w:ascii="Times New Roman" w:hAnsi="Times New Roman"/>
          <w:noProof/>
          <w:color w:val="000000"/>
          <w:sz w:val="24"/>
          <w:szCs w:val="24"/>
        </w:rPr>
        <w:t xml:space="preserve">En 2019 se lograron avances significativos en relación con los programas regionales para los PTU del 11.º FED: </w:t>
      </w:r>
    </w:p>
    <w:p>
      <w:pPr>
        <w:autoSpaceDE w:val="0"/>
        <w:autoSpaceDN w:val="0"/>
        <w:adjustRightInd w:val="0"/>
        <w:spacing w:after="0" w:line="240" w:lineRule="auto"/>
        <w:rPr>
          <w:rFonts w:ascii="Times New Roman" w:hAnsi="Times New Roman" w:cs="Times New Roman"/>
          <w:noProof/>
          <w:color w:val="000000"/>
          <w:sz w:val="24"/>
          <w:szCs w:val="24"/>
          <w:lang w:val="en-US"/>
        </w:rPr>
      </w:pPr>
    </w:p>
    <w:p>
      <w:pPr>
        <w:pStyle w:val="ListParagraph"/>
        <w:numPr>
          <w:ilvl w:val="0"/>
          <w:numId w:val="6"/>
        </w:numPr>
        <w:autoSpaceDE w:val="0"/>
        <w:autoSpaceDN w:val="0"/>
        <w:adjustRightInd w:val="0"/>
        <w:spacing w:after="167" w:line="240" w:lineRule="auto"/>
        <w:jc w:val="both"/>
        <w:rPr>
          <w:rFonts w:ascii="Times New Roman" w:hAnsi="Times New Roman" w:cs="Times New Roman"/>
          <w:noProof/>
          <w:color w:val="000000"/>
          <w:sz w:val="24"/>
          <w:szCs w:val="24"/>
        </w:rPr>
      </w:pPr>
      <w:r>
        <w:rPr>
          <w:rFonts w:ascii="Times New Roman" w:hAnsi="Times New Roman"/>
          <w:noProof/>
          <w:sz w:val="24"/>
          <w:szCs w:val="24"/>
        </w:rPr>
        <w:t xml:space="preserve">En el </w:t>
      </w:r>
      <w:r>
        <w:rPr>
          <w:rFonts w:ascii="Times New Roman" w:hAnsi="Times New Roman"/>
          <w:b/>
          <w:bCs/>
          <w:noProof/>
          <w:sz w:val="24"/>
          <w:szCs w:val="24"/>
        </w:rPr>
        <w:t>Pacífico</w:t>
      </w:r>
      <w:r>
        <w:rPr>
          <w:rFonts w:ascii="Times New Roman" w:hAnsi="Times New Roman"/>
          <w:noProof/>
          <w:sz w:val="24"/>
          <w:szCs w:val="24"/>
        </w:rPr>
        <w:t xml:space="preserve">, el programa regional «PROTEGE» </w:t>
      </w:r>
      <w:r>
        <w:rPr>
          <w:rFonts w:ascii="Times New Roman" w:hAnsi="Times New Roman"/>
          <w:iCs/>
          <w:noProof/>
          <w:sz w:val="24"/>
          <w:szCs w:val="24"/>
        </w:rPr>
        <w:t>(</w:t>
      </w:r>
      <w:r>
        <w:rPr>
          <w:rFonts w:ascii="Times New Roman" w:hAnsi="Times New Roman"/>
          <w:i/>
          <w:iCs/>
          <w:noProof/>
          <w:sz w:val="24"/>
          <w:szCs w:val="24"/>
        </w:rPr>
        <w:t>Projet régional océanien des territoires pour la gestion durable des écosystèmes</w:t>
      </w:r>
      <w:r>
        <w:rPr>
          <w:rFonts w:ascii="Times New Roman" w:hAnsi="Times New Roman"/>
          <w:noProof/>
          <w:sz w:val="24"/>
          <w:szCs w:val="24"/>
        </w:rPr>
        <w:t>, dotado con 36 millones EUR), apoya el desarrollo sostenible y resiliente de la región mediante la protección de la biodiversidad y los recursos naturales renovables. Se basa en el programa regional del 10.º FED «INTEGRE» (</w:t>
      </w:r>
      <w:r>
        <w:rPr>
          <w:rFonts w:ascii="Times New Roman" w:hAnsi="Times New Roman"/>
          <w:i/>
          <w:iCs/>
          <w:noProof/>
          <w:sz w:val="24"/>
          <w:szCs w:val="24"/>
        </w:rPr>
        <w:t>Initiative des territoires pour la gestion régionale de l’environnement</w:t>
      </w:r>
      <w:r>
        <w:rPr>
          <w:rFonts w:ascii="Times New Roman" w:hAnsi="Times New Roman"/>
          <w:noProof/>
          <w:sz w:val="24"/>
          <w:szCs w:val="24"/>
        </w:rPr>
        <w:t>, dotado con 12 millones EUR), que apoyaba la gestión integrada de las costas y reforzaba la cooperación regional para el desarrollo sostenible. El primer desembolso (6,8 millones EUR) se realizó en diciembre de 2018. En 2019 se contrató al equipo y se definieron las cuatro prioridades de trabajo (agricultura, pesca, agua y especies invasoras), y la primera reunión del comité directivo tuvo lugar en julio de 2019.</w:t>
      </w:r>
      <w:r>
        <w:rPr>
          <w:rFonts w:ascii="Times New Roman" w:hAnsi="Times New Roman"/>
          <w:noProof/>
          <w:sz w:val="24"/>
          <w:szCs w:val="24"/>
        </w:rPr>
        <w:tab/>
      </w:r>
      <w:r>
        <w:rPr>
          <w:rFonts w:ascii="Times New Roman" w:hAnsi="Times New Roman"/>
          <w:noProof/>
          <w:sz w:val="24"/>
          <w:szCs w:val="24"/>
        </w:rPr>
        <w:br/>
      </w:r>
    </w:p>
    <w:p>
      <w:pPr>
        <w:pStyle w:val="ListParagraph"/>
        <w:numPr>
          <w:ilvl w:val="0"/>
          <w:numId w:val="6"/>
        </w:numPr>
        <w:autoSpaceDE w:val="0"/>
        <w:autoSpaceDN w:val="0"/>
        <w:adjustRightInd w:val="0"/>
        <w:spacing w:after="167" w:line="240" w:lineRule="auto"/>
        <w:jc w:val="both"/>
        <w:rPr>
          <w:rFonts w:ascii="Times New Roman" w:hAnsi="Times New Roman" w:cs="Times New Roman"/>
          <w:noProof/>
          <w:color w:val="000000"/>
          <w:sz w:val="24"/>
          <w:szCs w:val="24"/>
        </w:rPr>
      </w:pPr>
      <w:r>
        <w:rPr>
          <w:rFonts w:ascii="Times New Roman" w:hAnsi="Times New Roman"/>
          <w:noProof/>
          <w:sz w:val="24"/>
          <w:szCs w:val="24"/>
        </w:rPr>
        <w:t xml:space="preserve">En el </w:t>
      </w:r>
      <w:r>
        <w:rPr>
          <w:rFonts w:ascii="Times New Roman" w:hAnsi="Times New Roman"/>
          <w:b/>
          <w:bCs/>
          <w:noProof/>
          <w:sz w:val="24"/>
          <w:szCs w:val="24"/>
        </w:rPr>
        <w:t>Caribe</w:t>
      </w:r>
      <w:r>
        <w:rPr>
          <w:rFonts w:ascii="Times New Roman" w:hAnsi="Times New Roman"/>
          <w:noProof/>
          <w:sz w:val="24"/>
          <w:szCs w:val="24"/>
        </w:rPr>
        <w:t>, el programa regional «Resembid» (</w:t>
      </w:r>
      <w:r>
        <w:rPr>
          <w:rFonts w:ascii="Times New Roman" w:hAnsi="Times New Roman"/>
          <w:i/>
          <w:noProof/>
          <w:sz w:val="24"/>
          <w:szCs w:val="24"/>
        </w:rPr>
        <w:t>Resilience Sustainable Energy and Marine Biodiversity</w:t>
      </w:r>
      <w:r>
        <w:rPr>
          <w:rFonts w:ascii="Times New Roman" w:hAnsi="Times New Roman"/>
          <w:noProof/>
          <w:sz w:val="24"/>
          <w:szCs w:val="24"/>
        </w:rPr>
        <w:t>, dotado con 40 millones EUR) tiene por objeto reforzar el desarrollo económico sostenible desde el punto de vista medioambiental, centrándose en la resiliencia, la energía sostenible y la biodiversidad marina. El objetivo es modernizar la infraestructura obsoleta y aumentar su eficiencia energética, mejorar la protección y la gestión sostenible de la biodiversidad marina y aumentar la capacidad de adaptación a fenómenos naturales extremos y recurrentes. En 2019 se desembolsaron 3,62 millones EUR.</w:t>
      </w:r>
    </w:p>
    <w:p>
      <w:pPr>
        <w:pStyle w:val="ListParagraph"/>
        <w:spacing w:line="240" w:lineRule="auto"/>
        <w:jc w:val="both"/>
        <w:rPr>
          <w:rFonts w:ascii="Times New Roman" w:hAnsi="Times New Roman" w:cs="Times New Roman"/>
          <w:noProof/>
          <w:sz w:val="24"/>
          <w:szCs w:val="24"/>
        </w:rPr>
      </w:pPr>
    </w:p>
    <w:p>
      <w:pPr>
        <w:pStyle w:val="ListParagraph"/>
        <w:numPr>
          <w:ilvl w:val="0"/>
          <w:numId w:val="6"/>
        </w:num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El Programa Regional del </w:t>
      </w:r>
      <w:r>
        <w:rPr>
          <w:rFonts w:ascii="Times New Roman" w:hAnsi="Times New Roman"/>
          <w:b/>
          <w:bCs/>
          <w:noProof/>
          <w:sz w:val="24"/>
          <w:szCs w:val="24"/>
        </w:rPr>
        <w:t>Océano Índico</w:t>
      </w:r>
      <w:r>
        <w:rPr>
          <w:rFonts w:ascii="Times New Roman" w:hAnsi="Times New Roman"/>
          <w:noProof/>
          <w:sz w:val="24"/>
          <w:szCs w:val="24"/>
        </w:rPr>
        <w:t xml:space="preserve"> (</w:t>
      </w:r>
      <w:r>
        <w:rPr>
          <w:rFonts w:ascii="Times New Roman" w:hAnsi="Times New Roman"/>
          <w:i/>
          <w:iCs/>
          <w:noProof/>
          <w:sz w:val="24"/>
          <w:szCs w:val="24"/>
        </w:rPr>
        <w:t>Programme Régional d’appui dans le secteur de l’observation, de la gestion et de la préservation des écosystèmes terrestres et marins</w:t>
      </w:r>
      <w:r>
        <w:rPr>
          <w:rFonts w:ascii="Times New Roman" w:hAnsi="Times New Roman"/>
          <w:noProof/>
          <w:sz w:val="24"/>
          <w:szCs w:val="24"/>
        </w:rPr>
        <w:t>, dotado con 4 millones EUR) busca mejorar la vigilancia y observación de los ecosistemas terrestres y marinos en los Territorios Australes Franceses, restaurar los ecosistemas y reforzar los mecanismos de prevención de impacto. El acuerdo de delegación con la «Agence Française de Développement» se firmó en julio de 2019 y se han desembolsado 1,4 millones EUR.</w:t>
      </w:r>
      <w:r>
        <w:rPr>
          <w:rFonts w:ascii="Times New Roman" w:hAnsi="Times New Roman"/>
          <w:noProof/>
          <w:sz w:val="24"/>
          <w:szCs w:val="24"/>
        </w:rPr>
        <w:tab/>
      </w:r>
      <w:r>
        <w:rPr>
          <w:rFonts w:ascii="Times New Roman" w:hAnsi="Times New Roman"/>
          <w:noProof/>
          <w:sz w:val="24"/>
          <w:szCs w:val="24"/>
        </w:rPr>
        <w:br/>
      </w:r>
    </w:p>
    <w:p>
      <w:pPr>
        <w:pStyle w:val="ListParagraph"/>
        <w:numPr>
          <w:ilvl w:val="0"/>
          <w:numId w:val="6"/>
        </w:numPr>
        <w:autoSpaceDE w:val="0"/>
        <w:autoSpaceDN w:val="0"/>
        <w:adjustRightInd w:val="0"/>
        <w:spacing w:after="167" w:line="240" w:lineRule="auto"/>
        <w:jc w:val="both"/>
        <w:rPr>
          <w:rFonts w:ascii="Times New Roman" w:hAnsi="Times New Roman" w:cs="Times New Roman"/>
          <w:noProof/>
          <w:sz w:val="24"/>
          <w:szCs w:val="24"/>
        </w:rPr>
      </w:pPr>
      <w:r>
        <w:rPr>
          <w:rFonts w:ascii="Times New Roman" w:hAnsi="Times New Roman"/>
          <w:noProof/>
          <w:sz w:val="24"/>
          <w:szCs w:val="24"/>
        </w:rPr>
        <w:t xml:space="preserve">El documento de programación relativo al </w:t>
      </w:r>
      <w:r>
        <w:rPr>
          <w:rFonts w:ascii="Times New Roman" w:hAnsi="Times New Roman"/>
          <w:b/>
          <w:noProof/>
          <w:sz w:val="24"/>
          <w:szCs w:val="24"/>
        </w:rPr>
        <w:t>programa temático del 11.º FED para todos los PTU</w:t>
      </w:r>
      <w:r>
        <w:rPr>
          <w:rFonts w:ascii="Times New Roman" w:hAnsi="Times New Roman"/>
          <w:noProof/>
          <w:sz w:val="24"/>
          <w:szCs w:val="24"/>
        </w:rPr>
        <w:t xml:space="preserve"> (17,8 millones EUR) se adoptó en marzo de 2019. Este programa se centra en el uso sostenible de los recursos naturales, definiendo como subcomponentes la energía sostenible y el cambio climático, incluida la reducción del riesgo de desastres. La firma del contrato con el organismo ejecutor seleccionado está prevista para 2020.</w:t>
      </w: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Por último, en 2019, la UE apoyó a la </w:t>
      </w:r>
      <w:r>
        <w:rPr>
          <w:rFonts w:ascii="Times New Roman" w:hAnsi="Times New Roman"/>
          <w:b/>
          <w:bCs/>
          <w:noProof/>
          <w:color w:val="000000"/>
          <w:sz w:val="24"/>
          <w:szCs w:val="24"/>
        </w:rPr>
        <w:t xml:space="preserve">asociación de los países y territorios de ultramar (OCTA) a través de una subvención de funcionamiento </w:t>
      </w:r>
      <w:r>
        <w:rPr>
          <w:rFonts w:ascii="Times New Roman" w:hAnsi="Times New Roman"/>
          <w:noProof/>
          <w:color w:val="000000"/>
          <w:sz w:val="24"/>
          <w:szCs w:val="24"/>
        </w:rPr>
        <w:t>(550 000 EUR) que dotaba a la asociación de una mejor capacidad para cumplir su mandato, en particular, coordinar a los PTU socios para facilitar el diálogo con la UE, promover la asociación y apoyar el trabajo colectivo de sus miembros en una serie de ámbitos de interés mutuo dentro de la asociación UE-PTU.</w:t>
      </w:r>
    </w:p>
    <w:p>
      <w:pPr>
        <w:autoSpaceDE w:val="0"/>
        <w:autoSpaceDN w:val="0"/>
        <w:adjustRightInd w:val="0"/>
        <w:spacing w:after="0" w:line="240" w:lineRule="auto"/>
        <w:rPr>
          <w:rFonts w:ascii="Times New Roman" w:hAnsi="Times New Roman" w:cs="Times New Roman"/>
          <w:noProof/>
          <w:color w:val="000000"/>
          <w:sz w:val="24"/>
          <w:szCs w:val="24"/>
        </w:rPr>
      </w:pPr>
    </w:p>
    <w:p>
      <w:pPr>
        <w:pStyle w:val="ListParagraph"/>
        <w:numPr>
          <w:ilvl w:val="0"/>
          <w:numId w:val="2"/>
        </w:numPr>
        <w:autoSpaceDE w:val="0"/>
        <w:autoSpaceDN w:val="0"/>
        <w:adjustRightInd w:val="0"/>
        <w:spacing w:after="0" w:line="240" w:lineRule="auto"/>
        <w:rPr>
          <w:rFonts w:ascii="Times New Roman" w:hAnsi="Times New Roman" w:cs="Times New Roman"/>
          <w:b/>
          <w:bCs/>
          <w:noProof/>
          <w:color w:val="000000"/>
          <w:sz w:val="24"/>
          <w:szCs w:val="24"/>
        </w:rPr>
      </w:pPr>
      <w:r>
        <w:rPr>
          <w:rFonts w:ascii="Times New Roman" w:hAnsi="Times New Roman"/>
          <w:b/>
          <w:bCs/>
          <w:noProof/>
          <w:color w:val="000000"/>
          <w:sz w:val="24"/>
          <w:szCs w:val="24"/>
        </w:rPr>
        <w:t xml:space="preserve">Diálogo institucional </w:t>
      </w:r>
    </w:p>
    <w:p>
      <w:pPr>
        <w:pStyle w:val="ListParagraph"/>
        <w:autoSpaceDE w:val="0"/>
        <w:autoSpaceDN w:val="0"/>
        <w:adjustRightInd w:val="0"/>
        <w:spacing w:after="0" w:line="240" w:lineRule="auto"/>
        <w:rPr>
          <w:rFonts w:ascii="Times New Roman" w:hAnsi="Times New Roman" w:cs="Times New Roman"/>
          <w:noProof/>
          <w:color w:val="000000"/>
          <w:sz w:val="24"/>
          <w:szCs w:val="24"/>
          <w:lang w:val="en-US"/>
        </w:rPr>
      </w:pP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En la asociación se definen tres instancias de diálogo:</w:t>
      </w:r>
    </w:p>
    <w:p>
      <w:pPr>
        <w:autoSpaceDE w:val="0"/>
        <w:autoSpaceDN w:val="0"/>
        <w:adjustRightInd w:val="0"/>
        <w:spacing w:after="0" w:line="240" w:lineRule="auto"/>
        <w:jc w:val="both"/>
        <w:rPr>
          <w:rFonts w:ascii="Times New Roman" w:hAnsi="Times New Roman" w:cs="Times New Roman"/>
          <w:noProof/>
          <w:color w:val="000000"/>
          <w:sz w:val="24"/>
          <w:szCs w:val="24"/>
        </w:rPr>
      </w:pPr>
    </w:p>
    <w:p>
      <w:pPr>
        <w:autoSpaceDE w:val="0"/>
        <w:autoSpaceDN w:val="0"/>
        <w:adjustRightInd w:val="0"/>
        <w:spacing w:after="0" w:line="240" w:lineRule="auto"/>
        <w:jc w:val="both"/>
        <w:rPr>
          <w:rFonts w:ascii="Times New Roman" w:hAnsi="Times New Roman" w:cs="Times New Roman"/>
          <w:noProof/>
          <w:color w:val="000000"/>
          <w:sz w:val="24"/>
          <w:szCs w:val="24"/>
          <w:u w:val="single"/>
        </w:rPr>
      </w:pPr>
      <w:r>
        <w:rPr>
          <w:rFonts w:ascii="Times New Roman" w:hAnsi="Times New Roman"/>
          <w:noProof/>
          <w:color w:val="000000"/>
          <w:sz w:val="24"/>
          <w:szCs w:val="24"/>
          <w:u w:val="single"/>
        </w:rPr>
        <w:t xml:space="preserve">Foro PTU-UE </w:t>
      </w:r>
    </w:p>
    <w:p>
      <w:pPr>
        <w:autoSpaceDE w:val="0"/>
        <w:autoSpaceDN w:val="0"/>
        <w:adjustRightInd w:val="0"/>
        <w:spacing w:after="0" w:line="240" w:lineRule="auto"/>
        <w:jc w:val="both"/>
        <w:rPr>
          <w:rFonts w:ascii="Times New Roman" w:hAnsi="Times New Roman" w:cs="Times New Roman"/>
          <w:noProof/>
          <w:color w:val="000000"/>
          <w:sz w:val="24"/>
          <w:szCs w:val="24"/>
          <w:u w:val="single"/>
        </w:rPr>
      </w:pPr>
    </w:p>
    <w:p>
      <w:pPr>
        <w:spacing w:line="240" w:lineRule="auto"/>
        <w:jc w:val="both"/>
        <w:rPr>
          <w:rFonts w:ascii="Times New Roman" w:hAnsi="Times New Roman" w:cs="Times New Roman"/>
          <w:noProof/>
          <w:sz w:val="24"/>
          <w:szCs w:val="24"/>
        </w:rPr>
      </w:pPr>
      <w:r>
        <w:rPr>
          <w:rFonts w:ascii="Times New Roman" w:hAnsi="Times New Roman"/>
          <w:b/>
          <w:noProof/>
          <w:sz w:val="24"/>
          <w:szCs w:val="24"/>
        </w:rPr>
        <w:t>El 17.º Foro PTU-UE se celebró en marzo de 2019 en la Polinesia Francesa</w:t>
      </w:r>
      <w:r>
        <w:rPr>
          <w:rFonts w:ascii="Times New Roman" w:hAnsi="Times New Roman"/>
          <w:noProof/>
          <w:sz w:val="24"/>
          <w:szCs w:val="24"/>
        </w:rPr>
        <w:t xml:space="preserve">, con representantes de alto nivel de los PTU y de los Estados miembros y en presencia del </w:t>
      </w:r>
      <w:r>
        <w:rPr>
          <w:rFonts w:ascii="Times New Roman" w:hAnsi="Times New Roman"/>
          <w:noProof/>
          <w:color w:val="000000"/>
          <w:sz w:val="24"/>
          <w:szCs w:val="24"/>
        </w:rPr>
        <w:t xml:space="preserve">Comisario Europeo de Cooperación Internacional y Desarrollo, Neven Mimica, </w:t>
      </w:r>
      <w:r>
        <w:rPr>
          <w:rFonts w:ascii="Times New Roman" w:hAnsi="Times New Roman"/>
          <w:noProof/>
          <w:sz w:val="24"/>
          <w:szCs w:val="24"/>
        </w:rPr>
        <w:t>presidente del Foro.</w:t>
      </w: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En las </w:t>
      </w:r>
      <w:r>
        <w:rPr>
          <w:rFonts w:ascii="Times New Roman" w:hAnsi="Times New Roman"/>
          <w:b/>
          <w:bCs/>
          <w:noProof/>
          <w:color w:val="000000"/>
          <w:sz w:val="24"/>
          <w:szCs w:val="24"/>
        </w:rPr>
        <w:t xml:space="preserve">conclusiones del 17.º Foro PTU-UE, </w:t>
      </w:r>
      <w:r>
        <w:rPr>
          <w:rFonts w:ascii="Times New Roman" w:hAnsi="Times New Roman"/>
          <w:noProof/>
          <w:color w:val="000000"/>
          <w:sz w:val="24"/>
          <w:szCs w:val="24"/>
        </w:rPr>
        <w:t xml:space="preserve">la UE, los PTU y los Estados miembros a los que están vinculados los PTU </w:t>
      </w:r>
      <w:r>
        <w:rPr>
          <w:rFonts w:ascii="Times New Roman" w:hAnsi="Times New Roman"/>
          <w:noProof/>
          <w:sz w:val="24"/>
          <w:szCs w:val="24"/>
        </w:rPr>
        <w:t xml:space="preserve">reconocieron que 2019 fue un año decisivo para el futuro de las relaciones entre los PTU y la UE, con las negociaciones de la nueva DAU, el Marco Financiero Plurianual de la UE para 2021-2027, el proceso del </w:t>
      </w:r>
      <w:r>
        <w:rPr>
          <w:rFonts w:ascii="Times New Roman" w:hAnsi="Times New Roman"/>
          <w:i/>
          <w:noProof/>
          <w:sz w:val="24"/>
          <w:szCs w:val="24"/>
        </w:rPr>
        <w:t>Brexit</w:t>
      </w:r>
      <w:r>
        <w:rPr>
          <w:rFonts w:ascii="Times New Roman" w:hAnsi="Times New Roman"/>
          <w:noProof/>
          <w:sz w:val="24"/>
          <w:szCs w:val="24"/>
        </w:rPr>
        <w:t xml:space="preserve"> y el marco posterior a Cotonú.</w:t>
      </w:r>
    </w:p>
    <w:p>
      <w:pPr>
        <w:autoSpaceDE w:val="0"/>
        <w:autoSpaceDN w:val="0"/>
        <w:adjustRightInd w:val="0"/>
        <w:spacing w:after="0" w:line="240" w:lineRule="auto"/>
        <w:rPr>
          <w:rFonts w:ascii="Times New Roman" w:hAnsi="Times New Roman" w:cs="Times New Roman"/>
          <w:noProof/>
          <w:color w:val="000000"/>
          <w:sz w:val="24"/>
          <w:szCs w:val="24"/>
        </w:rPr>
      </w:pP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En paralelo al Foro, </w:t>
      </w:r>
      <w:r>
        <w:rPr>
          <w:rFonts w:ascii="Times New Roman" w:hAnsi="Times New Roman"/>
          <w:b/>
          <w:bCs/>
          <w:noProof/>
          <w:color w:val="000000"/>
          <w:sz w:val="24"/>
          <w:szCs w:val="24"/>
        </w:rPr>
        <w:t>se celebraron reuniones trilaterales a escala política</w:t>
      </w:r>
      <w:r>
        <w:rPr>
          <w:rFonts w:ascii="Times New Roman" w:hAnsi="Times New Roman"/>
          <w:noProof/>
          <w:color w:val="000000"/>
          <w:sz w:val="24"/>
          <w:szCs w:val="24"/>
        </w:rPr>
        <w:t xml:space="preserve"> (1 de marzo de 2019) entre los representantes de los Estados miembros a los que están vinculados los PTU (que contaron con la participación del Ministro de Ultramar francés), los jefes de Delegación y el Comisario, que brindaron oportunidades útiles para debatir sobre la asociación PTU-UE a partir de 2020. Asimismo, se celebró un </w:t>
      </w:r>
      <w:r>
        <w:rPr>
          <w:rFonts w:ascii="Times New Roman" w:hAnsi="Times New Roman"/>
          <w:b/>
          <w:noProof/>
          <w:color w:val="000000"/>
          <w:sz w:val="24"/>
          <w:szCs w:val="24"/>
        </w:rPr>
        <w:t>taller</w:t>
      </w:r>
      <w:r>
        <w:rPr>
          <w:rFonts w:ascii="Times New Roman" w:hAnsi="Times New Roman"/>
          <w:noProof/>
          <w:color w:val="000000"/>
          <w:sz w:val="24"/>
          <w:szCs w:val="24"/>
        </w:rPr>
        <w:t xml:space="preserve"> técnico sobre </w:t>
      </w:r>
      <w:r>
        <w:rPr>
          <w:rFonts w:ascii="Times New Roman" w:hAnsi="Times New Roman"/>
          <w:b/>
          <w:noProof/>
          <w:color w:val="000000"/>
          <w:sz w:val="24"/>
          <w:szCs w:val="24"/>
        </w:rPr>
        <w:t>«Desarrollo sostenible mediante la cooperación regional»</w:t>
      </w:r>
      <w:r>
        <w:rPr>
          <w:rFonts w:ascii="Times New Roman" w:hAnsi="Times New Roman"/>
          <w:noProof/>
          <w:color w:val="000000"/>
          <w:sz w:val="24"/>
          <w:szCs w:val="24"/>
        </w:rPr>
        <w:t>, que constituyó una buena oportunidad para debatir el papel que los PTU podían desempeñar en el refuerzo de la cooperación regional</w:t>
      </w:r>
      <w:r>
        <w:rPr>
          <w:rFonts w:ascii="Times New Roman" w:hAnsi="Times New Roman"/>
          <w:noProof/>
          <w:sz w:val="24"/>
          <w:szCs w:val="24"/>
        </w:rPr>
        <w:t xml:space="preserve"> en su vecindad. </w:t>
      </w:r>
    </w:p>
    <w:p>
      <w:pPr>
        <w:autoSpaceDE w:val="0"/>
        <w:autoSpaceDN w:val="0"/>
        <w:adjustRightInd w:val="0"/>
        <w:spacing w:after="0" w:line="240" w:lineRule="auto"/>
        <w:rPr>
          <w:rFonts w:ascii="Times New Roman" w:hAnsi="Times New Roman" w:cs="Times New Roman"/>
          <w:noProof/>
          <w:color w:val="000000"/>
          <w:sz w:val="24"/>
          <w:szCs w:val="24"/>
        </w:rPr>
      </w:pPr>
    </w:p>
    <w:p>
      <w:pPr>
        <w:autoSpaceDE w:val="0"/>
        <w:autoSpaceDN w:val="0"/>
        <w:adjustRightInd w:val="0"/>
        <w:spacing w:after="0" w:line="240" w:lineRule="auto"/>
        <w:rPr>
          <w:rFonts w:ascii="Times New Roman" w:hAnsi="Times New Roman" w:cs="Times New Roman"/>
          <w:noProof/>
          <w:color w:val="000000"/>
          <w:sz w:val="24"/>
          <w:szCs w:val="24"/>
          <w:u w:val="single"/>
        </w:rPr>
      </w:pPr>
      <w:r>
        <w:rPr>
          <w:rFonts w:ascii="Times New Roman" w:hAnsi="Times New Roman"/>
          <w:noProof/>
          <w:color w:val="000000"/>
          <w:sz w:val="24"/>
          <w:szCs w:val="24"/>
          <w:u w:val="single"/>
        </w:rPr>
        <w:t>Consultas trilaterales (reuniones tripartitas)</w:t>
      </w:r>
    </w:p>
    <w:p>
      <w:pPr>
        <w:autoSpaceDE w:val="0"/>
        <w:autoSpaceDN w:val="0"/>
        <w:adjustRightInd w:val="0"/>
        <w:spacing w:after="0" w:line="240" w:lineRule="auto"/>
        <w:rPr>
          <w:rFonts w:ascii="Times New Roman" w:hAnsi="Times New Roman" w:cs="Times New Roman"/>
          <w:noProof/>
          <w:color w:val="000000"/>
          <w:sz w:val="24"/>
          <w:szCs w:val="24"/>
        </w:rPr>
      </w:pPr>
    </w:p>
    <w:p>
      <w:pPr>
        <w:pStyle w:val="Default"/>
        <w:jc w:val="both"/>
        <w:rPr>
          <w:rFonts w:ascii="Times New Roman" w:hAnsi="Times New Roman" w:cs="Times New Roman"/>
          <w:noProof/>
          <w:color w:val="auto"/>
        </w:rPr>
      </w:pPr>
      <w:r>
        <w:rPr>
          <w:rFonts w:ascii="Times New Roman" w:hAnsi="Times New Roman"/>
          <w:b/>
          <w:bCs/>
          <w:noProof/>
        </w:rPr>
        <w:t xml:space="preserve">En 2019 se organizaron en Bruselas tres reuniones tripartitas entre la Comisión (presidente), los representantes de los PTU y los Estados miembros a los que estos están vinculados </w:t>
      </w:r>
      <w:r>
        <w:rPr>
          <w:rFonts w:ascii="Times New Roman" w:hAnsi="Times New Roman"/>
          <w:noProof/>
        </w:rPr>
        <w:t>(en abril, julio y octubre), que ofrecieron una plataforma para el diálogo para intercambiar información pertinente, reflexionar sobre temas prioritarios de interés común y hacer un seguimiento de los avances logrados en la aplicación de la Decisión de Asociación.</w:t>
      </w:r>
    </w:p>
    <w:p>
      <w:pPr>
        <w:autoSpaceDE w:val="0"/>
        <w:autoSpaceDN w:val="0"/>
        <w:adjustRightInd w:val="0"/>
        <w:spacing w:after="0" w:line="240" w:lineRule="auto"/>
        <w:jc w:val="both"/>
        <w:rPr>
          <w:rFonts w:ascii="Times New Roman" w:hAnsi="Times New Roman" w:cs="Times New Roman"/>
          <w:noProof/>
          <w:color w:val="000000"/>
          <w:sz w:val="24"/>
          <w:szCs w:val="24"/>
          <w:u w:val="single"/>
        </w:rPr>
      </w:pPr>
    </w:p>
    <w:p>
      <w:pPr>
        <w:autoSpaceDE w:val="0"/>
        <w:autoSpaceDN w:val="0"/>
        <w:adjustRightInd w:val="0"/>
        <w:spacing w:after="0" w:line="240" w:lineRule="auto"/>
        <w:jc w:val="both"/>
        <w:rPr>
          <w:rFonts w:ascii="Times New Roman" w:hAnsi="Times New Roman" w:cs="Times New Roman"/>
          <w:noProof/>
          <w:color w:val="000000"/>
          <w:sz w:val="24"/>
          <w:szCs w:val="24"/>
          <w:u w:val="single"/>
        </w:rPr>
      </w:pPr>
      <w:r>
        <w:rPr>
          <w:rFonts w:ascii="Times New Roman" w:hAnsi="Times New Roman"/>
          <w:noProof/>
          <w:color w:val="000000"/>
          <w:sz w:val="24"/>
          <w:szCs w:val="24"/>
          <w:u w:val="single"/>
        </w:rPr>
        <w:t xml:space="preserve">Grupos de trabajo de la asociación </w:t>
      </w:r>
    </w:p>
    <w:p>
      <w:pPr>
        <w:autoSpaceDE w:val="0"/>
        <w:autoSpaceDN w:val="0"/>
        <w:adjustRightInd w:val="0"/>
        <w:spacing w:after="0" w:line="240" w:lineRule="auto"/>
        <w:jc w:val="both"/>
        <w:rPr>
          <w:rFonts w:ascii="Times New Roman" w:hAnsi="Times New Roman" w:cs="Times New Roman"/>
          <w:noProof/>
          <w:color w:val="000000"/>
          <w:sz w:val="24"/>
          <w:szCs w:val="24"/>
          <w:u w:val="single"/>
        </w:rPr>
      </w:pP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En julio de 2019 se reunió un grupo de trabajo de la asociación sobre </w:t>
      </w:r>
      <w:r>
        <w:rPr>
          <w:rFonts w:ascii="Times New Roman" w:hAnsi="Times New Roman"/>
          <w:b/>
          <w:noProof/>
          <w:color w:val="000000"/>
          <w:sz w:val="24"/>
          <w:szCs w:val="24"/>
        </w:rPr>
        <w:t>medio ambiente, cambio climático y energía sostenible</w:t>
      </w:r>
      <w:r>
        <w:rPr>
          <w:rFonts w:ascii="Times New Roman" w:hAnsi="Times New Roman"/>
          <w:noProof/>
          <w:color w:val="000000"/>
          <w:sz w:val="24"/>
          <w:szCs w:val="24"/>
        </w:rPr>
        <w:t xml:space="preserve">, con el objeto, en particular, de intercambiar información sobre los diversos aspectos relativos a las políticas e iniciativas de la UE sobre el Programa para los Océanos y las Zonas Costeras, el programa BEST y el programa LIFE. </w:t>
      </w:r>
    </w:p>
    <w:p>
      <w:pPr>
        <w:pStyle w:val="Default"/>
        <w:jc w:val="both"/>
        <w:rPr>
          <w:rStyle w:val="A0"/>
          <w:rFonts w:ascii="Times New Roman" w:hAnsi="Times New Roman"/>
          <w:noProof/>
          <w:sz w:val="24"/>
          <w:szCs w:val="24"/>
        </w:rPr>
      </w:pPr>
      <w:r>
        <w:rPr>
          <w:rFonts w:ascii="Times New Roman" w:hAnsi="Times New Roman"/>
          <w:noProof/>
        </w:rPr>
        <w:t xml:space="preserve">Además del marco institucional y las instancias de diálogo, en 2019 </w:t>
      </w:r>
      <w:r>
        <w:rPr>
          <w:rFonts w:ascii="Times New Roman" w:hAnsi="Times New Roman"/>
          <w:b/>
          <w:noProof/>
        </w:rPr>
        <w:t>la OCTA organizó tres actos con el apoyo de la Comisión</w:t>
      </w:r>
      <w:r>
        <w:rPr>
          <w:rFonts w:ascii="Times New Roman" w:hAnsi="Times New Roman"/>
          <w:noProof/>
        </w:rPr>
        <w:t xml:space="preserve">. En octubre se celebró en Bruselas una </w:t>
      </w:r>
      <w:r>
        <w:rPr>
          <w:rFonts w:ascii="Times New Roman" w:hAnsi="Times New Roman"/>
          <w:b/>
          <w:noProof/>
        </w:rPr>
        <w:t>Conferencia</w:t>
      </w:r>
      <w:r>
        <w:rPr>
          <w:rFonts w:ascii="Times New Roman" w:hAnsi="Times New Roman"/>
          <w:noProof/>
        </w:rPr>
        <w:t xml:space="preserve"> titulada </w:t>
      </w:r>
      <w:r>
        <w:rPr>
          <w:rFonts w:ascii="Times New Roman" w:hAnsi="Times New Roman"/>
          <w:bCs/>
          <w:noProof/>
        </w:rPr>
        <w:t>«From the Poles to the Tropics, OCT’s Blue Landscape», que culminó en la firma de una «</w:t>
      </w:r>
      <w:r>
        <w:rPr>
          <w:rFonts w:ascii="Times New Roman" w:hAnsi="Times New Roman"/>
          <w:b/>
          <w:noProof/>
        </w:rPr>
        <w:t>Declaración de los PTU sobre los océanos</w:t>
      </w:r>
      <w:r>
        <w:rPr>
          <w:rFonts w:ascii="Times New Roman" w:hAnsi="Times New Roman"/>
          <w:noProof/>
        </w:rPr>
        <w:t xml:space="preserve">», en la que se resaltaba su compromiso de preservar los océanos y estimular sus valores sociales y económicos. En diciembre de 2019 </w:t>
      </w:r>
      <w:r>
        <w:rPr>
          <w:rFonts w:ascii="Times New Roman" w:hAnsi="Times New Roman"/>
          <w:b/>
          <w:bCs/>
          <w:noProof/>
        </w:rPr>
        <w:t>se organizó un taller sobre energía sostenible</w:t>
      </w:r>
      <w:r>
        <w:rPr>
          <w:rFonts w:ascii="Times New Roman" w:hAnsi="Times New Roman"/>
          <w:noProof/>
        </w:rPr>
        <w:t xml:space="preserve"> que facilitó el debate entre expertos técnicos en energía de los PTU y la Comisión sobre este tema de interés común. Los PTU presentaron los progresos realizados en la ejecución de su Hoja de ruta de la energía firmada en 2015. Por último, la OCTA organizó un </w:t>
      </w:r>
      <w:r>
        <w:rPr>
          <w:rFonts w:ascii="Times New Roman" w:hAnsi="Times New Roman"/>
          <w:b/>
          <w:noProof/>
        </w:rPr>
        <w:t>taller sobre los programas de la UE</w:t>
      </w:r>
      <w:r>
        <w:rPr>
          <w:rFonts w:ascii="Times New Roman" w:hAnsi="Times New Roman"/>
          <w:noProof/>
        </w:rPr>
        <w:t xml:space="preserve"> en diciembre de 2019 para </w:t>
      </w:r>
      <w:r>
        <w:rPr>
          <w:rStyle w:val="A0"/>
          <w:rFonts w:ascii="Times New Roman" w:hAnsi="Times New Roman"/>
          <w:noProof/>
          <w:sz w:val="24"/>
          <w:szCs w:val="24"/>
        </w:rPr>
        <w:t>compartir información sobre los programas y las oportunidades de financiación de la UE para los PTU.</w:t>
      </w:r>
    </w:p>
    <w:p>
      <w:pPr>
        <w:pStyle w:val="Default"/>
        <w:jc w:val="both"/>
        <w:rPr>
          <w:rStyle w:val="A0"/>
          <w:rFonts w:ascii="Times New Roman" w:hAnsi="Times New Roman"/>
          <w:noProof/>
          <w:sz w:val="24"/>
          <w:szCs w:val="24"/>
        </w:rPr>
      </w:pPr>
    </w:p>
    <w:p>
      <w:pPr>
        <w:pStyle w:val="Default"/>
        <w:jc w:val="both"/>
        <w:rPr>
          <w:rStyle w:val="A0"/>
          <w:rFonts w:ascii="Times New Roman" w:hAnsi="Times New Roman"/>
          <w:noProof/>
          <w:sz w:val="24"/>
          <w:szCs w:val="24"/>
        </w:rPr>
      </w:pPr>
    </w:p>
    <w:p>
      <w:pPr>
        <w:pStyle w:val="Default"/>
        <w:jc w:val="both"/>
        <w:rPr>
          <w:rFonts w:ascii="Times New Roman" w:hAnsi="Times New Roman" w:cs="Times New Roman"/>
          <w:noProof/>
        </w:rPr>
      </w:pPr>
    </w:p>
    <w:p>
      <w:pPr>
        <w:pStyle w:val="Default"/>
        <w:rPr>
          <w:rFonts w:ascii="Times New Roman" w:hAnsi="Times New Roman" w:cs="Times New Roman"/>
          <w:noProof/>
        </w:rPr>
      </w:pPr>
    </w:p>
    <w:p>
      <w:pPr>
        <w:pStyle w:val="ListParagraph"/>
        <w:numPr>
          <w:ilvl w:val="0"/>
          <w:numId w:val="2"/>
        </w:numPr>
        <w:autoSpaceDE w:val="0"/>
        <w:autoSpaceDN w:val="0"/>
        <w:adjustRightInd w:val="0"/>
        <w:spacing w:after="0" w:line="240" w:lineRule="auto"/>
        <w:rPr>
          <w:rFonts w:ascii="Times New Roman" w:hAnsi="Times New Roman" w:cs="Times New Roman"/>
          <w:b/>
          <w:bCs/>
          <w:noProof/>
          <w:color w:val="000000"/>
          <w:sz w:val="24"/>
          <w:szCs w:val="24"/>
        </w:rPr>
      </w:pPr>
      <w:r>
        <w:rPr>
          <w:rFonts w:ascii="Times New Roman" w:hAnsi="Times New Roman"/>
          <w:b/>
          <w:bCs/>
          <w:noProof/>
          <w:color w:val="000000"/>
          <w:sz w:val="24"/>
          <w:szCs w:val="24"/>
        </w:rPr>
        <w:t>Banco Europeo de Inversiones</w:t>
      </w:r>
    </w:p>
    <w:p>
      <w:pPr>
        <w:autoSpaceDE w:val="0"/>
        <w:autoSpaceDN w:val="0"/>
        <w:adjustRightInd w:val="0"/>
        <w:spacing w:after="0" w:line="240" w:lineRule="auto"/>
        <w:rPr>
          <w:rFonts w:ascii="Times New Roman" w:hAnsi="Times New Roman" w:cs="Times New Roman"/>
          <w:noProof/>
          <w:color w:val="000000"/>
          <w:sz w:val="24"/>
          <w:szCs w:val="24"/>
          <w:lang w:val="en-US"/>
        </w:rPr>
      </w:pP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La DAU proporciona asistencia financiera a los PTU a través de mecanismos financieros gestionados por el Banco Europeo de Inversiones (BEI) </w:t>
      </w:r>
      <w:r>
        <w:rPr>
          <w:rFonts w:ascii="Times New Roman" w:hAnsi="Times New Roman"/>
          <w:noProof/>
          <w:sz w:val="24"/>
          <w:szCs w:val="24"/>
        </w:rPr>
        <w:t>durante el período 2014-2020, en el marco del Tercer Protocolo Financiero</w:t>
      </w:r>
      <w:r>
        <w:rPr>
          <w:rFonts w:ascii="Times New Roman" w:hAnsi="Times New Roman"/>
          <w:noProof/>
          <w:color w:val="000000"/>
          <w:sz w:val="24"/>
          <w:szCs w:val="24"/>
        </w:rPr>
        <w:t>: el Instrumento de Ayuda a la Inversión para los PTU (dotación actual: 48,5 millones EUR), la financiación para bonificaciones de intereses y asistencia técnica (5 millones EUR) y los recursos propios del BEI (hasta 100 millones EUR).</w:t>
      </w:r>
    </w:p>
    <w:p>
      <w:pPr>
        <w:autoSpaceDE w:val="0"/>
        <w:autoSpaceDN w:val="0"/>
        <w:adjustRightInd w:val="0"/>
        <w:spacing w:after="0" w:line="240" w:lineRule="auto"/>
        <w:jc w:val="both"/>
        <w:rPr>
          <w:rFonts w:ascii="Times New Roman" w:hAnsi="Times New Roman" w:cs="Times New Roman"/>
          <w:noProof/>
          <w:color w:val="000000"/>
          <w:sz w:val="24"/>
          <w:szCs w:val="24"/>
        </w:rPr>
      </w:pP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En el marco del </w:t>
      </w:r>
      <w:r>
        <w:rPr>
          <w:rFonts w:ascii="Times New Roman" w:hAnsi="Times New Roman"/>
          <w:b/>
          <w:noProof/>
          <w:color w:val="000000"/>
          <w:sz w:val="24"/>
          <w:szCs w:val="24"/>
        </w:rPr>
        <w:t>Instrumento de Ayuda a la Inversión para los PTU del BEI</w:t>
      </w:r>
      <w:r>
        <w:rPr>
          <w:rFonts w:ascii="Times New Roman" w:hAnsi="Times New Roman"/>
          <w:noProof/>
          <w:color w:val="000000"/>
          <w:sz w:val="24"/>
          <w:szCs w:val="24"/>
        </w:rPr>
        <w:t xml:space="preserve">, en julio de 2019 se firmó una nueva operación para Nueva Caledonia (24 millones EUR) para financiar préstamos de empresas situadas en zonas remotas y empresas muy pequeñas. Hay en curso otras operaciones por un importe que ascendía a un total de 85,39 millones EUR a finales de 2019. Este importe supera la dotación inicial de capital debido a que el fondo es renovable y a que se prestaron nuevamente algunos reflujos). </w:t>
      </w:r>
    </w:p>
    <w:p>
      <w:pPr>
        <w:autoSpaceDE w:val="0"/>
        <w:autoSpaceDN w:val="0"/>
        <w:adjustRightInd w:val="0"/>
        <w:spacing w:after="0" w:line="240" w:lineRule="auto"/>
        <w:jc w:val="both"/>
        <w:rPr>
          <w:rFonts w:ascii="Times New Roman" w:hAnsi="Times New Roman" w:cs="Times New Roman"/>
          <w:noProof/>
          <w:color w:val="000000"/>
          <w:sz w:val="24"/>
          <w:szCs w:val="24"/>
        </w:rPr>
      </w:pP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Con respecto a la dotación para </w:t>
      </w:r>
      <w:r>
        <w:rPr>
          <w:rFonts w:ascii="Times New Roman" w:hAnsi="Times New Roman"/>
          <w:b/>
          <w:noProof/>
          <w:color w:val="000000"/>
          <w:sz w:val="24"/>
          <w:szCs w:val="24"/>
        </w:rPr>
        <w:t xml:space="preserve">bonificaciones de intereses y asistencia técnica, </w:t>
      </w:r>
      <w:r>
        <w:rPr>
          <w:rFonts w:ascii="Times New Roman" w:hAnsi="Times New Roman"/>
          <w:noProof/>
          <w:color w:val="000000"/>
          <w:sz w:val="24"/>
          <w:szCs w:val="24"/>
        </w:rPr>
        <w:t>en 2019</w:t>
      </w:r>
      <w:r>
        <w:rPr>
          <w:rFonts w:ascii="Times New Roman" w:hAnsi="Times New Roman"/>
          <w:b/>
          <w:noProof/>
          <w:color w:val="000000"/>
          <w:sz w:val="24"/>
          <w:szCs w:val="24"/>
        </w:rPr>
        <w:t xml:space="preserve"> </w:t>
      </w:r>
      <w:r>
        <w:rPr>
          <w:rFonts w:ascii="Times New Roman" w:hAnsi="Times New Roman"/>
          <w:noProof/>
          <w:color w:val="000000"/>
          <w:sz w:val="24"/>
          <w:szCs w:val="24"/>
        </w:rPr>
        <w:t xml:space="preserve">el BEI firmó la operación del aeropuerto de San Martín por un valor de 4,25 millones EUR (véase a continuación). </w:t>
      </w:r>
    </w:p>
    <w:p>
      <w:pPr>
        <w:autoSpaceDE w:val="0"/>
        <w:autoSpaceDN w:val="0"/>
        <w:adjustRightInd w:val="0"/>
        <w:spacing w:after="0" w:line="240" w:lineRule="auto"/>
        <w:jc w:val="both"/>
        <w:rPr>
          <w:rFonts w:ascii="Times New Roman" w:hAnsi="Times New Roman" w:cs="Times New Roman"/>
          <w:noProof/>
          <w:color w:val="000000"/>
          <w:sz w:val="24"/>
          <w:szCs w:val="24"/>
        </w:rPr>
      </w:pP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En el marco de la </w:t>
      </w:r>
      <w:r>
        <w:rPr>
          <w:rFonts w:ascii="Times New Roman" w:hAnsi="Times New Roman"/>
          <w:b/>
          <w:noProof/>
          <w:color w:val="000000"/>
          <w:sz w:val="24"/>
          <w:szCs w:val="24"/>
        </w:rPr>
        <w:t>dotación con cargo a los recursos propios del BEI para los PTU</w:t>
      </w:r>
      <w:r>
        <w:rPr>
          <w:rFonts w:ascii="Times New Roman" w:hAnsi="Times New Roman"/>
          <w:noProof/>
          <w:color w:val="000000"/>
          <w:sz w:val="24"/>
          <w:szCs w:val="24"/>
        </w:rPr>
        <w:t xml:space="preserve">, en diciembre de 2019 el BEI firmó 44,3 millones EUR para la reconstrucción del aeropuerto de San Martín tras los huracanes. </w:t>
      </w:r>
    </w:p>
    <w:p>
      <w:pPr>
        <w:autoSpaceDE w:val="0"/>
        <w:autoSpaceDN w:val="0"/>
        <w:adjustRightInd w:val="0"/>
        <w:spacing w:after="0" w:line="240" w:lineRule="auto"/>
        <w:jc w:val="both"/>
        <w:rPr>
          <w:rFonts w:ascii="Times New Roman" w:hAnsi="Times New Roman" w:cs="Times New Roman"/>
          <w:noProof/>
          <w:color w:val="000000"/>
          <w:sz w:val="24"/>
          <w:szCs w:val="24"/>
        </w:rPr>
      </w:pPr>
    </w:p>
    <w:p>
      <w:pPr>
        <w:pStyle w:val="Default"/>
        <w:jc w:val="both"/>
        <w:rPr>
          <w:rFonts w:ascii="Times New Roman" w:hAnsi="Times New Roman" w:cs="Times New Roman"/>
          <w:noProof/>
          <w:color w:val="auto"/>
        </w:rPr>
      </w:pPr>
      <w:r>
        <w:rPr>
          <w:rFonts w:ascii="Times New Roman" w:hAnsi="Times New Roman"/>
          <w:noProof/>
          <w:color w:val="auto"/>
        </w:rPr>
        <w:t xml:space="preserve">En cuanto a los fondos restantes, los procesos en curso se controlan con el objetivo de utilizar plenamente los fondos disponibles hasta finales de 2020. </w:t>
      </w:r>
    </w:p>
    <w:p>
      <w:pPr>
        <w:pStyle w:val="Default"/>
        <w:jc w:val="both"/>
        <w:rPr>
          <w:rFonts w:ascii="Times New Roman" w:hAnsi="Times New Roman" w:cs="Times New Roman"/>
          <w:noProof/>
          <w:color w:val="auto"/>
        </w:rPr>
      </w:pPr>
    </w:p>
    <w:p>
      <w:pPr>
        <w:pStyle w:val="Default"/>
        <w:jc w:val="both"/>
        <w:rPr>
          <w:rFonts w:ascii="Times New Roman" w:hAnsi="Times New Roman" w:cs="Times New Roman"/>
          <w:noProof/>
          <w:color w:val="auto"/>
        </w:rPr>
      </w:pPr>
    </w:p>
    <w:p>
      <w:pPr>
        <w:autoSpaceDE w:val="0"/>
        <w:autoSpaceDN w:val="0"/>
        <w:adjustRightInd w:val="0"/>
        <w:spacing w:after="0" w:line="240" w:lineRule="auto"/>
        <w:rPr>
          <w:rFonts w:ascii="Times New Roman" w:hAnsi="Times New Roman" w:cs="Times New Roman"/>
          <w:b/>
          <w:bCs/>
          <w:noProof/>
          <w:color w:val="000000"/>
          <w:sz w:val="24"/>
          <w:szCs w:val="24"/>
          <w:u w:val="single"/>
        </w:rPr>
      </w:pPr>
      <w:r>
        <w:rPr>
          <w:rFonts w:ascii="Times New Roman" w:hAnsi="Times New Roman"/>
          <w:b/>
          <w:bCs/>
          <w:noProof/>
          <w:color w:val="000000"/>
          <w:sz w:val="24"/>
          <w:szCs w:val="24"/>
          <w:u w:val="single"/>
        </w:rPr>
        <w:t xml:space="preserve">Perspectivas </w:t>
      </w:r>
    </w:p>
    <w:p>
      <w:pPr>
        <w:autoSpaceDE w:val="0"/>
        <w:autoSpaceDN w:val="0"/>
        <w:adjustRightInd w:val="0"/>
        <w:spacing w:after="0" w:line="240" w:lineRule="auto"/>
        <w:rPr>
          <w:rFonts w:ascii="Times New Roman" w:hAnsi="Times New Roman" w:cs="Times New Roman"/>
          <w:noProof/>
          <w:color w:val="000000"/>
          <w:sz w:val="24"/>
          <w:szCs w:val="24"/>
          <w:u w:val="single"/>
        </w:rPr>
      </w:pPr>
    </w:p>
    <w:p>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color w:val="000000"/>
          <w:sz w:val="24"/>
          <w:szCs w:val="24"/>
        </w:rPr>
        <w:t xml:space="preserve">2020 será un </w:t>
      </w:r>
      <w:r>
        <w:rPr>
          <w:rFonts w:ascii="Times New Roman" w:hAnsi="Times New Roman"/>
          <w:noProof/>
          <w:sz w:val="24"/>
          <w:szCs w:val="24"/>
        </w:rPr>
        <w:t>año decisivo para el futuro de las relaciones entre los PTU y la UE, ya que se prevé la finalización de las negociaciones sobre la propuesta de una nueva decisión de asociación, que incluye a Groenlandia, vinculada al Marco Financiero Plurianual de la UE para 2021-2027. También será un año clave para las negociaciones del marco posterior a Cotonú y el Instrumento de Vecindad, Desarrollo y Cooperación Internacional. 2020 también será un año marcado por la retirada del Reino Unido de la UE, lo cual afectará al grupo de los PTU.</w:t>
      </w:r>
    </w:p>
    <w:p>
      <w:pPr>
        <w:autoSpaceDE w:val="0"/>
        <w:autoSpaceDN w:val="0"/>
        <w:adjustRightInd w:val="0"/>
        <w:spacing w:after="0" w:line="240" w:lineRule="auto"/>
        <w:jc w:val="both"/>
        <w:rPr>
          <w:rFonts w:ascii="Times New Roman" w:hAnsi="Times New Roman" w:cs="Times New Roman"/>
          <w:noProof/>
          <w:color w:val="000000"/>
          <w:sz w:val="24"/>
          <w:szCs w:val="24"/>
        </w:rPr>
      </w:pP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En este contexto, tendrá especial importancia el refuerzo del diálogo con los PTU. Este proceso se respaldará manteniendo el apoyo a la asociación de los PTU y a los propios PTU a través del Instrumento de Cooperación Técnica.</w:t>
      </w:r>
    </w:p>
    <w:p>
      <w:pPr>
        <w:pStyle w:val="Default"/>
        <w:jc w:val="both"/>
        <w:rPr>
          <w:rFonts w:ascii="Times New Roman" w:hAnsi="Times New Roman" w:cs="Times New Roman"/>
          <w:noProof/>
        </w:rPr>
      </w:pPr>
      <w:r>
        <w:rPr>
          <w:rFonts w:ascii="Times New Roman" w:hAnsi="Times New Roman"/>
          <w:noProof/>
        </w:rPr>
        <w:t xml:space="preserve">Por último, el logro de avances en la programación de los dos programas territoriales restantes mencionados anteriormente será esencial para garantizar su adopción antes de que finalice 2020 y el compromiso de toda la dotación disponible para los PTU en el marco del 11.º FED. </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tserrat">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32467"/>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tabs>
          <w:tab w:val="left" w:pos="284"/>
        </w:tabs>
        <w:ind w:left="284" w:hanging="284"/>
        <w:jc w:val="both"/>
        <w:rPr>
          <w:rFonts w:ascii="Times New Roman" w:hAnsi="Times New Roman" w:cs="Times New Roman"/>
          <w:vertAlign w:val="superscript"/>
        </w:rPr>
      </w:pPr>
      <w:r>
        <w:rPr>
          <w:rFonts w:ascii="Times New Roman" w:hAnsi="Times New Roman" w:cs="Times New Roman"/>
          <w:vertAlign w:val="superscript"/>
        </w:rPr>
        <w:footnoteRef/>
      </w:r>
      <w:r>
        <w:rPr>
          <w:rFonts w:ascii="Times New Roman" w:hAnsi="Times New Roman"/>
        </w:rPr>
        <w:tab/>
        <w:t>Decisión 2013/755/UE del Consejo, relativa a la asociación de los países y territorios de ultramar con la Unión Europea.</w:t>
      </w:r>
    </w:p>
  </w:footnote>
  <w:footnote w:id="2">
    <w:p>
      <w:pPr>
        <w:pStyle w:val="FootnoteText"/>
        <w:tabs>
          <w:tab w:val="left" w:pos="284"/>
        </w:tabs>
        <w:ind w:left="284" w:hanging="284"/>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ab/>
        <w:t>Hasta el 31 de enero de 2020, los PTU de la UE estaban vinculados a cuatro Estados miembros de la UE: Dinamarca, Francia, Reino Unido y Países Bajos. Los veinticinco PTU de la UE eran: Anguila, Aruba, Bermudas, Bonaire, Curazao, Groenlandia, Islas Caimán, Islas Georgias del Sur y Sandwich del Sur, Islas Malvinas, Islas Pitcairn, Islas Turcas y Caicos, Islas Vírgenes Británicas, Montserrat, Nueva Caledonia, Polinesia Francesa, Saba, San Bartolomé, San Eustaquio, San Martín, San Pedro y Miquelón, Santa Elena y dependencias, Territorio Antártico Británico, Territorio Británico del Océano Índico, Territorios Australes Franceses y Wallis y Futuna.</w:t>
      </w:r>
    </w:p>
    <w:p>
      <w:pPr>
        <w:pStyle w:val="FootnoteText"/>
        <w:tabs>
          <w:tab w:val="left" w:pos="284"/>
        </w:tabs>
        <w:ind w:left="284" w:hanging="284"/>
        <w:jc w:val="both"/>
        <w:rPr>
          <w:rFonts w:ascii="Times New Roman" w:hAnsi="Times New Roman" w:cs="Times New Roman"/>
          <w:vertAlign w:val="superscript"/>
        </w:rPr>
      </w:pPr>
      <w:r>
        <w:rPr>
          <w:rFonts w:ascii="Times New Roman" w:hAnsi="Times New Roman"/>
        </w:rPr>
        <w:tab/>
        <w:t>Tras la retirada del Reino Unido de la Unión Europea, el 31 de enero de 2020, los PTU de la UE son trece: Groenlandia (DK), Polinesia Francesa (FR), Territorios Australes Franceses (FR), Nueva Caledonia y dependencias (FR), San Bartolomé (FR), San Pedro y Miquelón (FR), Islas Wallis y Futuna (FR), Aruba (NL), Bonaire (NL), Curazao (NL), Saba (NL), San Eustaquio (NL) y San Martín (NL).</w:t>
      </w:r>
      <w:r>
        <w:rPr>
          <w:rFonts w:ascii="Times New Roman" w:hAnsi="Times New Roman"/>
          <w:vertAlign w:val="superscript"/>
        </w:rPr>
        <w:t xml:space="preserve"> </w:t>
      </w:r>
    </w:p>
  </w:footnote>
  <w:footnote w:id="3">
    <w:p>
      <w:pPr>
        <w:pStyle w:val="FootnoteText"/>
        <w:tabs>
          <w:tab w:val="left" w:pos="284"/>
        </w:tabs>
        <w:jc w:val="both"/>
        <w:rPr>
          <w:rFonts w:ascii="Times New Roman" w:hAnsi="Times New Roman" w:cs="Times New Roman"/>
          <w:vertAlign w:val="superscript"/>
        </w:rPr>
      </w:pPr>
      <w:r>
        <w:rPr>
          <w:rFonts w:ascii="Times New Roman" w:hAnsi="Times New Roman" w:cs="Times New Roman"/>
          <w:vertAlign w:val="superscript"/>
        </w:rPr>
        <w:footnoteRef/>
      </w:r>
      <w:r>
        <w:rPr>
          <w:rFonts w:ascii="Times New Roman" w:hAnsi="Times New Roman"/>
        </w:rPr>
        <w:tab/>
        <w:t>Parte cuarta del Tratado de Funcionamiento de la Unión Europea (DO C 326 de 26.10.2012, p. 47).</w:t>
      </w:r>
      <w:r>
        <w:rPr>
          <w:rFonts w:ascii="Times New Roman" w:hAnsi="Times New Roman"/>
          <w:vertAlign w:val="superscript"/>
        </w:rPr>
        <w:t xml:space="preserve"> </w:t>
      </w:r>
    </w:p>
  </w:footnote>
  <w:footnote w:id="4">
    <w:p>
      <w:pPr>
        <w:pStyle w:val="FootnoteText"/>
        <w:tabs>
          <w:tab w:val="left" w:pos="284"/>
        </w:tabs>
        <w:ind w:left="284" w:hanging="284"/>
        <w:jc w:val="both"/>
        <w:rPr>
          <w:rFonts w:ascii="Times New Roman" w:hAnsi="Times New Roman" w:cs="Times New Roman"/>
          <w:vertAlign w:val="superscript"/>
        </w:rPr>
      </w:pPr>
      <w:r>
        <w:rPr>
          <w:rFonts w:ascii="Times New Roman" w:hAnsi="Times New Roman" w:cs="Times New Roman"/>
          <w:vertAlign w:val="superscript"/>
        </w:rPr>
        <w:footnoteRef/>
      </w:r>
      <w:r>
        <w:rPr>
          <w:rFonts w:ascii="Times New Roman" w:hAnsi="Times New Roman"/>
        </w:rPr>
        <w:tab/>
        <w:t xml:space="preserve">L 210/1 de 6.8.2013 - Acuerdo interno entre los Representantes de los Gobiernos de los Estados miembros de la Unión Europea, reunidos en el seno del Consejo, relativo a la financiación de la ayuda de la Unión Europea concedida con cargo al Marco Financiero Plurianual para el período 2014-2020, de conformidad con el Acuerdo de Asociación ACP-UE, y a la asignación de ayuda financiera a los países y territorios de ultramar a los que se aplica la parte cuarta del Tratado de Funcionamiento de la Unión Europea. </w:t>
      </w:r>
    </w:p>
  </w:footnote>
  <w:footnote w:id="5">
    <w:p>
      <w:pPr>
        <w:pStyle w:val="FootnoteText"/>
        <w:tabs>
          <w:tab w:val="left" w:pos="284"/>
        </w:tabs>
        <w:ind w:left="284" w:hanging="284"/>
        <w:jc w:val="both"/>
        <w:rPr>
          <w:vertAlign w:val="superscript"/>
        </w:rPr>
      </w:pPr>
      <w:r>
        <w:rPr>
          <w:rFonts w:ascii="Times New Roman" w:hAnsi="Times New Roman" w:cs="Times New Roman"/>
          <w:vertAlign w:val="superscript"/>
        </w:rPr>
        <w:footnoteRef/>
      </w:r>
      <w:r>
        <w:rPr>
          <w:rFonts w:ascii="Times New Roman" w:hAnsi="Times New Roman"/>
        </w:rPr>
        <w:tab/>
        <w:t>La Decisión 2014/137/UE del Consejo relativa a las relaciones entre la Unión Europea, por una parte, y Groenlandia y el Reino de Dinamarca, por otra, prevé la asignación de 217,8 millones EUR a la cooperación entre la Unión y Groenlandia en un ámbito de interés mutuo para el período 2014-2020.</w:t>
      </w:r>
    </w:p>
  </w:footnote>
  <w:footnote w:id="6">
    <w:p>
      <w:pPr>
        <w:pStyle w:val="FootnoteText"/>
        <w:tabs>
          <w:tab w:val="left" w:pos="284"/>
        </w:tabs>
        <w:ind w:left="284" w:hanging="284"/>
        <w:jc w:val="both"/>
        <w:rPr>
          <w:vertAlign w:val="superscript"/>
        </w:rPr>
      </w:pPr>
      <w:r>
        <w:rPr>
          <w:rFonts w:ascii="Times New Roman" w:hAnsi="Times New Roman" w:cs="Times New Roman"/>
          <w:vertAlign w:val="superscript"/>
          <w:lang w:val="en-US"/>
        </w:rPr>
        <w:footnoteRef/>
      </w:r>
      <w:r>
        <w:rPr>
          <w:rFonts w:ascii="Times New Roman" w:hAnsi="Times New Roman"/>
        </w:rPr>
        <w:tab/>
        <w:t>En febrero de 2019 se adoptaron los programas territoriales sobre Aruba (13,05 millones EUR) y Bonaire (3,95 millones EUR).</w:t>
      </w:r>
      <w:r>
        <w:rPr>
          <w:rFonts w:ascii="Times New Roman" w:hAnsi="Times New Roman"/>
          <w:sz w:val="13"/>
          <w:szCs w:val="13"/>
          <w:vertAlign w:val="superscript"/>
        </w:rPr>
        <w:t xml:space="preserve"> </w:t>
      </w:r>
    </w:p>
  </w:footnote>
  <w:footnote w:id="7">
    <w:p>
      <w:pPr>
        <w:pStyle w:val="FootnoteText"/>
        <w:tabs>
          <w:tab w:val="left" w:pos="284"/>
        </w:tabs>
        <w:rPr>
          <w:vertAlign w:val="superscript"/>
        </w:rPr>
      </w:pPr>
      <w:r>
        <w:rPr>
          <w:rFonts w:ascii="Times New Roman" w:hAnsi="Times New Roman" w:cs="Times New Roman"/>
          <w:vertAlign w:val="superscript"/>
          <w:lang w:val="en-US"/>
        </w:rPr>
        <w:footnoteRef/>
      </w:r>
      <w:r>
        <w:rPr>
          <w:rFonts w:ascii="Times New Roman" w:hAnsi="Times New Roman"/>
        </w:rPr>
        <w:tab/>
        <w:t>Con esta asignación, el saldo de la dotación B (con una dotación inicial de 21,5 millones EUR con arreglo al anexo II de la Decisión de Asociación de 2013) era de 6,45 millones EUR a finales de 2019.</w:t>
      </w:r>
      <w:r>
        <w:rPr>
          <w:rFonts w:ascii="Times New Roman" w:hAnsi="Times New Roman"/>
          <w:sz w:val="13"/>
          <w:szCs w:val="13"/>
          <w:vertAlign w:val="superscript"/>
        </w:rPr>
        <w:t xml:space="preserve"> </w:t>
      </w:r>
    </w:p>
  </w:footnote>
  <w:footnote w:id="8">
    <w:p>
      <w:pPr>
        <w:pStyle w:val="FootnoteText"/>
        <w:tabs>
          <w:tab w:val="left" w:pos="284"/>
        </w:tabs>
        <w:ind w:left="284" w:hanging="284"/>
        <w:rPr>
          <w:rFonts w:ascii="Times New Roman" w:hAnsi="Times New Roman" w:cs="Times New Roman"/>
          <w:sz w:val="13"/>
          <w:szCs w:val="13"/>
        </w:rPr>
      </w:pPr>
      <w:r>
        <w:rPr>
          <w:rFonts w:ascii="Times New Roman" w:hAnsi="Times New Roman" w:cs="Times New Roman"/>
          <w:vertAlign w:val="superscript"/>
          <w:lang w:val="en-US"/>
        </w:rPr>
        <w:footnoteRef/>
      </w:r>
      <w:r>
        <w:rPr>
          <w:rFonts w:ascii="Times New Roman" w:hAnsi="Times New Roman"/>
        </w:rPr>
        <w:tab/>
        <w:t>El cable submarino de Tui-Samoa se extiende desde Apia, Samoa hasta Suva, Fiyi, con estaciones terrestres en Savai’i, Savusavu y Wallis y Futuna.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B17E7"/>
    <w:multiLevelType w:val="hybridMultilevel"/>
    <w:tmpl w:val="D07E1A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9475D04"/>
    <w:multiLevelType w:val="hybridMultilevel"/>
    <w:tmpl w:val="7D86E6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616560F"/>
    <w:multiLevelType w:val="hybridMultilevel"/>
    <w:tmpl w:val="77D0D8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3A505E5"/>
    <w:multiLevelType w:val="hybridMultilevel"/>
    <w:tmpl w:val="854E65FE"/>
    <w:lvl w:ilvl="0" w:tplc="080C0001">
      <w:start w:val="1"/>
      <w:numFmt w:val="bullet"/>
      <w:lvlText w:val=""/>
      <w:lvlJc w:val="left"/>
      <w:pPr>
        <w:ind w:left="778" w:hanging="360"/>
      </w:pPr>
      <w:rPr>
        <w:rFonts w:ascii="Symbol" w:hAnsi="Symbol" w:hint="default"/>
      </w:rPr>
    </w:lvl>
    <w:lvl w:ilvl="1" w:tplc="080C0003" w:tentative="1">
      <w:start w:val="1"/>
      <w:numFmt w:val="bullet"/>
      <w:lvlText w:val="o"/>
      <w:lvlJc w:val="left"/>
      <w:pPr>
        <w:ind w:left="1498" w:hanging="360"/>
      </w:pPr>
      <w:rPr>
        <w:rFonts w:ascii="Courier New" w:hAnsi="Courier New" w:cs="Courier New" w:hint="default"/>
      </w:rPr>
    </w:lvl>
    <w:lvl w:ilvl="2" w:tplc="080C0005" w:tentative="1">
      <w:start w:val="1"/>
      <w:numFmt w:val="bullet"/>
      <w:lvlText w:val=""/>
      <w:lvlJc w:val="left"/>
      <w:pPr>
        <w:ind w:left="2218" w:hanging="360"/>
      </w:pPr>
      <w:rPr>
        <w:rFonts w:ascii="Wingdings" w:hAnsi="Wingdings" w:hint="default"/>
      </w:rPr>
    </w:lvl>
    <w:lvl w:ilvl="3" w:tplc="080C0001" w:tentative="1">
      <w:start w:val="1"/>
      <w:numFmt w:val="bullet"/>
      <w:lvlText w:val=""/>
      <w:lvlJc w:val="left"/>
      <w:pPr>
        <w:ind w:left="2938" w:hanging="360"/>
      </w:pPr>
      <w:rPr>
        <w:rFonts w:ascii="Symbol" w:hAnsi="Symbol" w:hint="default"/>
      </w:rPr>
    </w:lvl>
    <w:lvl w:ilvl="4" w:tplc="080C0003" w:tentative="1">
      <w:start w:val="1"/>
      <w:numFmt w:val="bullet"/>
      <w:lvlText w:val="o"/>
      <w:lvlJc w:val="left"/>
      <w:pPr>
        <w:ind w:left="3658" w:hanging="360"/>
      </w:pPr>
      <w:rPr>
        <w:rFonts w:ascii="Courier New" w:hAnsi="Courier New" w:cs="Courier New" w:hint="default"/>
      </w:rPr>
    </w:lvl>
    <w:lvl w:ilvl="5" w:tplc="080C0005" w:tentative="1">
      <w:start w:val="1"/>
      <w:numFmt w:val="bullet"/>
      <w:lvlText w:val=""/>
      <w:lvlJc w:val="left"/>
      <w:pPr>
        <w:ind w:left="4378" w:hanging="360"/>
      </w:pPr>
      <w:rPr>
        <w:rFonts w:ascii="Wingdings" w:hAnsi="Wingdings" w:hint="default"/>
      </w:rPr>
    </w:lvl>
    <w:lvl w:ilvl="6" w:tplc="080C0001" w:tentative="1">
      <w:start w:val="1"/>
      <w:numFmt w:val="bullet"/>
      <w:lvlText w:val=""/>
      <w:lvlJc w:val="left"/>
      <w:pPr>
        <w:ind w:left="5098" w:hanging="360"/>
      </w:pPr>
      <w:rPr>
        <w:rFonts w:ascii="Symbol" w:hAnsi="Symbol" w:hint="default"/>
      </w:rPr>
    </w:lvl>
    <w:lvl w:ilvl="7" w:tplc="080C0003" w:tentative="1">
      <w:start w:val="1"/>
      <w:numFmt w:val="bullet"/>
      <w:lvlText w:val="o"/>
      <w:lvlJc w:val="left"/>
      <w:pPr>
        <w:ind w:left="5818" w:hanging="360"/>
      </w:pPr>
      <w:rPr>
        <w:rFonts w:ascii="Courier New" w:hAnsi="Courier New" w:cs="Courier New" w:hint="default"/>
      </w:rPr>
    </w:lvl>
    <w:lvl w:ilvl="8" w:tplc="080C0005" w:tentative="1">
      <w:start w:val="1"/>
      <w:numFmt w:val="bullet"/>
      <w:lvlText w:val=""/>
      <w:lvlJc w:val="left"/>
      <w:pPr>
        <w:ind w:left="6538" w:hanging="360"/>
      </w:pPr>
      <w:rPr>
        <w:rFonts w:ascii="Wingdings" w:hAnsi="Wingdings" w:hint="default"/>
      </w:rPr>
    </w:lvl>
  </w:abstractNum>
  <w:abstractNum w:abstractNumId="4">
    <w:nsid w:val="4B135FA2"/>
    <w:multiLevelType w:val="hybridMultilevel"/>
    <w:tmpl w:val="2D0EF0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6C5D02DC"/>
    <w:multiLevelType w:val="hybridMultilevel"/>
    <w:tmpl w:val="428E99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7B670230"/>
    <w:multiLevelType w:val="hybridMultilevel"/>
    <w:tmpl w:val="DE6A2FA8"/>
    <w:lvl w:ilvl="0" w:tplc="7DDE1A50">
      <w:start w:val="1"/>
      <w:numFmt w:val="low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170BCC1-5CC3-4854-9BC5-CAF97269758E"/>
    <w:docVar w:name="LW_COVERPAGE_TYPE" w:val="1"/>
    <w:docVar w:name="LW_CROSSREFERENCE" w:val="&lt;UNUSED&gt;"/>
    <w:docVar w:name="LW_DocType" w:val="NORMAL"/>
    <w:docVar w:name="LW_EMISSION" w:val="6.7.2020"/>
    <w:docVar w:name="LW_EMISSION_ISODATE" w:val="2020-07-06"/>
    <w:docVar w:name="LW_EMISSION_LOCATION" w:val="BRX"/>
    <w:docVar w:name="LW_EMISSION_PREFIX" w:val="Bruselas, "/>
    <w:docVar w:name="LW_EMISSION_SUFFIX" w:val=" "/>
    <w:docVar w:name="LW_ID_DOCTYPE_NONLW" w:val="CP-004"/>
    <w:docVar w:name="LW_LANGUE" w:val="ES"/>
    <w:docVar w:name="LW_LEVEL_OF_SENSITIVITY" w:val="Standard treatmen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20) 28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obre la ejecución de la asistencia financiera prestada a los países y territorios de ultramar en el marco del 11.º Fondo Europeo de Desarrollo en 2019"/>
    <w:docVar w:name="LW_TYPE.DOC.CP" w:val="INFORME DE LA COMISIÓN AL CONSEJ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pPr>
      <w:autoSpaceDE w:val="0"/>
      <w:autoSpaceDN w:val="0"/>
      <w:adjustRightInd w:val="0"/>
      <w:spacing w:after="0" w:line="240" w:lineRule="auto"/>
    </w:pPr>
    <w:rPr>
      <w:rFonts w:ascii="Arial" w:hAnsi="Arial" w:cs="Arial"/>
      <w:color w:val="000000"/>
      <w:sz w:val="24"/>
      <w:szCs w:val="24"/>
    </w:rPr>
  </w:style>
  <w:style w:type="paragraph" w:styleId="FootnoteText">
    <w:name w:val="footnote text"/>
    <w:aliases w:val="ft,Footnote Text Char1 Char,Footnote Text Char Char Char,Footnote Text Char1 Char Char Char,Footnote Text Char Char Char Char Char,Footnote Text Char1 Char1 Char,Footnote Text Char Char Char1 Char,Footnote Text Char1,fn,5_G,Ch,single space"/>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t Char,Footnote Text Char1 Char Char,Footnote Text Char Char Char Char,Footnote Text Char1 Char Char Char Char,Footnote Text Char Char Char Char Char Char,Footnote Text Char1 Char1 Char Char,Footnote Text Char Char Char1 Char Char"/>
    <w:basedOn w:val="DefaultParagraphFont"/>
    <w:link w:val="FootnoteText"/>
    <w:uiPriority w:val="99"/>
    <w:qFormat/>
    <w:rPr>
      <w:sz w:val="20"/>
      <w:szCs w:val="20"/>
    </w:rPr>
  </w:style>
  <w:style w:type="character" w:styleId="FootnoteReference">
    <w:name w:val="footnote reference"/>
    <w:aliases w:val="BVI fnr,EN Footnote Reference,-E Fußnotenzeichen,Footnote,Footnote symbol,Footnote number,Footnote Reference Number,Footnote reference number,Times 10 Point,Exposant 3 Point,Footnote Reference Superscript, BVI fnr,ftre,Exposant 3 Poi"/>
    <w:basedOn w:val="DefaultParagraphFont"/>
    <w:link w:val="BVIfnrCarCarCarCarCharCharCharChar"/>
    <w:uiPriority w:val="99"/>
    <w:unhideWhenUsed/>
    <w:qFormat/>
    <w:rPr>
      <w:vertAlign w:val="superscript"/>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A0">
    <w:name w:val="A0"/>
    <w:uiPriority w:val="99"/>
    <w:rPr>
      <w:rFonts w:cs="montserrat"/>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VIfnrCarCarCarCarCharCharCharChar">
    <w:name w:val="BVI fnr Car Car Car Car Char Char Char Char"/>
    <w:basedOn w:val="Normal"/>
    <w:link w:val="FootnoteReference"/>
    <w:uiPriority w:val="99"/>
    <w:pPr>
      <w:spacing w:after="160" w:line="240" w:lineRule="exact"/>
      <w:jc w:val="both"/>
    </w:pPr>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DefaultChar">
    <w:name w:val="Default Char"/>
    <w:basedOn w:val="DefaultParagraphFont"/>
    <w:link w:val="Default"/>
    <w:rPr>
      <w:rFonts w:ascii="Arial" w:hAnsi="Arial" w:cs="Arial"/>
      <w:color w:val="000000"/>
      <w:sz w:val="24"/>
      <w:szCs w:val="24"/>
      <w:lang w:val="es-ES"/>
    </w:rPr>
  </w:style>
  <w:style w:type="character" w:customStyle="1" w:styleId="FooterCoverPageChar">
    <w:name w:val="Footer Cover Page Char"/>
    <w:basedOn w:val="DefaultChar"/>
    <w:link w:val="FooterCoverPage"/>
    <w:rPr>
      <w:rFonts w:ascii="Times New Roman" w:hAnsi="Times New Roman" w:cs="Times New Roman"/>
      <w:color w:val="000000"/>
      <w:sz w:val="24"/>
      <w:szCs w:val="24"/>
      <w:lang w:val="es-E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Char"/>
    <w:link w:val="FooterSensitivity"/>
    <w:rPr>
      <w:rFonts w:ascii="Times New Roman" w:hAnsi="Times New Roman" w:cs="Times New Roman"/>
      <w:b/>
      <w:color w:val="000000"/>
      <w:sz w:val="32"/>
      <w:szCs w:val="24"/>
      <w:lang w:val="es-ES"/>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Char"/>
    <w:link w:val="HeaderCoverPage"/>
    <w:rPr>
      <w:rFonts w:ascii="Times New Roman" w:hAnsi="Times New Roman" w:cs="Times New Roman"/>
      <w:color w:val="000000"/>
      <w:sz w:val="24"/>
      <w:szCs w:val="24"/>
      <w:lang w:val="es-E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Char"/>
    <w:link w:val="HeaderSensitivity"/>
    <w:rPr>
      <w:rFonts w:ascii="Times New Roman" w:hAnsi="Times New Roman" w:cs="Times New Roman"/>
      <w:b/>
      <w:color w:val="000000"/>
      <w:sz w:val="32"/>
      <w:szCs w:val="24"/>
      <w:lang w:val="es-ES"/>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Char"/>
    <w:link w:val="HeaderSensitivityRight"/>
    <w:rPr>
      <w:rFonts w:ascii="Times New Roman" w:hAnsi="Times New Roman" w:cs="Times New Roman"/>
      <w:color w:val="000000"/>
      <w:sz w:val="28"/>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pPr>
      <w:autoSpaceDE w:val="0"/>
      <w:autoSpaceDN w:val="0"/>
      <w:adjustRightInd w:val="0"/>
      <w:spacing w:after="0" w:line="240" w:lineRule="auto"/>
    </w:pPr>
    <w:rPr>
      <w:rFonts w:ascii="Arial" w:hAnsi="Arial" w:cs="Arial"/>
      <w:color w:val="000000"/>
      <w:sz w:val="24"/>
      <w:szCs w:val="24"/>
    </w:rPr>
  </w:style>
  <w:style w:type="paragraph" w:styleId="FootnoteText">
    <w:name w:val="footnote text"/>
    <w:aliases w:val="ft,Footnote Text Char1 Char,Footnote Text Char Char Char,Footnote Text Char1 Char Char Char,Footnote Text Char Char Char Char Char,Footnote Text Char1 Char1 Char,Footnote Text Char Char Char1 Char,Footnote Text Char1,fn,5_G,Ch,single space"/>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t Char,Footnote Text Char1 Char Char,Footnote Text Char Char Char Char,Footnote Text Char1 Char Char Char Char,Footnote Text Char Char Char Char Char Char,Footnote Text Char1 Char1 Char Char,Footnote Text Char Char Char1 Char Char"/>
    <w:basedOn w:val="DefaultParagraphFont"/>
    <w:link w:val="FootnoteText"/>
    <w:uiPriority w:val="99"/>
    <w:qFormat/>
    <w:rPr>
      <w:sz w:val="20"/>
      <w:szCs w:val="20"/>
    </w:rPr>
  </w:style>
  <w:style w:type="character" w:styleId="FootnoteReference">
    <w:name w:val="footnote reference"/>
    <w:aliases w:val="BVI fnr,EN Footnote Reference,-E Fußnotenzeichen,Footnote,Footnote symbol,Footnote number,Footnote Reference Number,Footnote reference number,Times 10 Point,Exposant 3 Point,Footnote Reference Superscript, BVI fnr,ftre,Exposant 3 Poi"/>
    <w:basedOn w:val="DefaultParagraphFont"/>
    <w:link w:val="BVIfnrCarCarCarCarCharCharCharChar"/>
    <w:uiPriority w:val="99"/>
    <w:unhideWhenUsed/>
    <w:qFormat/>
    <w:rPr>
      <w:vertAlign w:val="superscript"/>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A0">
    <w:name w:val="A0"/>
    <w:uiPriority w:val="99"/>
    <w:rPr>
      <w:rFonts w:cs="montserrat"/>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VIfnrCarCarCarCarCharCharCharChar">
    <w:name w:val="BVI fnr Car Car Car Car Char Char Char Char"/>
    <w:basedOn w:val="Normal"/>
    <w:link w:val="FootnoteReference"/>
    <w:uiPriority w:val="99"/>
    <w:pPr>
      <w:spacing w:after="160" w:line="240" w:lineRule="exact"/>
      <w:jc w:val="both"/>
    </w:pPr>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DefaultChar">
    <w:name w:val="Default Char"/>
    <w:basedOn w:val="DefaultParagraphFont"/>
    <w:link w:val="Default"/>
    <w:rPr>
      <w:rFonts w:ascii="Arial" w:hAnsi="Arial" w:cs="Arial"/>
      <w:color w:val="000000"/>
      <w:sz w:val="24"/>
      <w:szCs w:val="24"/>
      <w:lang w:val="es-ES"/>
    </w:rPr>
  </w:style>
  <w:style w:type="character" w:customStyle="1" w:styleId="FooterCoverPageChar">
    <w:name w:val="Footer Cover Page Char"/>
    <w:basedOn w:val="DefaultChar"/>
    <w:link w:val="FooterCoverPage"/>
    <w:rPr>
      <w:rFonts w:ascii="Times New Roman" w:hAnsi="Times New Roman" w:cs="Times New Roman"/>
      <w:color w:val="000000"/>
      <w:sz w:val="24"/>
      <w:szCs w:val="24"/>
      <w:lang w:val="es-E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Char"/>
    <w:link w:val="FooterSensitivity"/>
    <w:rPr>
      <w:rFonts w:ascii="Times New Roman" w:hAnsi="Times New Roman" w:cs="Times New Roman"/>
      <w:b/>
      <w:color w:val="000000"/>
      <w:sz w:val="32"/>
      <w:szCs w:val="24"/>
      <w:lang w:val="es-ES"/>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Char"/>
    <w:link w:val="HeaderCoverPage"/>
    <w:rPr>
      <w:rFonts w:ascii="Times New Roman" w:hAnsi="Times New Roman" w:cs="Times New Roman"/>
      <w:color w:val="000000"/>
      <w:sz w:val="24"/>
      <w:szCs w:val="24"/>
      <w:lang w:val="es-E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Char"/>
    <w:link w:val="HeaderSensitivity"/>
    <w:rPr>
      <w:rFonts w:ascii="Times New Roman" w:hAnsi="Times New Roman" w:cs="Times New Roman"/>
      <w:b/>
      <w:color w:val="000000"/>
      <w:sz w:val="32"/>
      <w:szCs w:val="24"/>
      <w:lang w:val="es-ES"/>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Char"/>
    <w:link w:val="HeaderSensitivityRight"/>
    <w:rPr>
      <w:rFonts w:ascii="Times New Roman" w:hAnsi="Times New Roman" w:cs="Times New Roman"/>
      <w:color w:val="000000"/>
      <w:sz w:val="28"/>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55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B9BCC-7AA3-4C96-B42B-871877D31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2996</Words>
  <Characters>15430</Characters>
  <Application>Microsoft Office Word</Application>
  <DocSecurity>0</DocSecurity>
  <Lines>308</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17</cp:revision>
  <dcterms:created xsi:type="dcterms:W3CDTF">2020-06-18T13:38:00Z</dcterms:created>
  <dcterms:modified xsi:type="dcterms:W3CDTF">2020-06-29T07:13:00Z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CP-004</vt:lpwstr>
  </property>
  <property fmtid="{D5CDD505-2E9C-101B-9397-08002B2CF9AE}" pid="7" name="Last edited using">
    <vt:lpwstr>LW 7.0, Build 20190717</vt:lpwstr>
  </property>
  <property fmtid="{D5CDD505-2E9C-101B-9397-08002B2CF9AE}" pid="8" name="Created using">
    <vt:lpwstr>LW 7.0, Build 20190717</vt:lpwstr>
  </property>
</Properties>
</file>