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C72EF90-1518-434F-8DB0-B9BA553D12C9" style="width:451pt;height:320.85pt">
            <v:imagedata r:id="rId9" o:title=""/>
          </v:shape>
        </w:pict>
      </w:r>
    </w:p>
    <w:bookmarkEnd w:id="0"/>
    <w:p>
      <w:pPr>
        <w:rPr>
          <w:noProof/>
          <w:lang w:val="en-US"/>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rPr>
          <w:rFonts w:ascii="Times New Roman" w:hAnsi="Times New Roman" w:cs="Times New Roman"/>
          <w:b/>
          <w:bCs/>
          <w:noProof/>
          <w:color w:val="auto"/>
          <w:u w:val="single"/>
        </w:rPr>
      </w:pPr>
      <w:bookmarkStart w:id="1" w:name="_GoBack"/>
      <w:bookmarkEnd w:id="1"/>
      <w:r>
        <w:rPr>
          <w:rFonts w:ascii="Times New Roman" w:hAnsi="Times New Roman"/>
          <w:b/>
          <w:bCs/>
          <w:noProof/>
          <w:color w:val="auto"/>
          <w:u w:val="single"/>
        </w:rPr>
        <w:lastRenderedPageBreak/>
        <w:t xml:space="preserve">Bevezetés </w:t>
      </w:r>
    </w:p>
    <w:p>
      <w:pPr>
        <w:pStyle w:val="Default"/>
        <w:rPr>
          <w:rFonts w:ascii="Times New Roman" w:hAnsi="Times New Roman" w:cs="Times New Roman"/>
          <w:noProof/>
          <w:color w:val="auto"/>
          <w:u w:val="single"/>
          <w:lang w:val="en-US"/>
        </w:rPr>
      </w:pPr>
    </w:p>
    <w:p>
      <w:pPr>
        <w:pStyle w:val="Default"/>
        <w:jc w:val="both"/>
        <w:rPr>
          <w:rFonts w:ascii="Times New Roman" w:hAnsi="Times New Roman" w:cs="Times New Roman"/>
          <w:noProof/>
          <w:color w:val="auto"/>
        </w:rPr>
      </w:pPr>
      <w:r>
        <w:rPr>
          <w:rFonts w:ascii="Times New Roman" w:hAnsi="Times New Roman"/>
          <w:noProof/>
          <w:color w:val="auto"/>
        </w:rPr>
        <w:t>A tengerentúli társulási határozat</w:t>
      </w:r>
      <w:r>
        <w:rPr>
          <w:rStyle w:val="FootnoteReference"/>
          <w:rFonts w:ascii="Times New Roman" w:hAnsi="Times New Roman" w:cs="Times New Roman"/>
          <w:noProof/>
          <w:color w:val="auto"/>
          <w:lang w:val="en-US"/>
        </w:rPr>
        <w:footnoteReference w:id="1"/>
      </w:r>
      <w:r>
        <w:rPr>
          <w:rFonts w:ascii="Times New Roman" w:hAnsi="Times New Roman"/>
          <w:noProof/>
          <w:color w:val="auto"/>
        </w:rPr>
        <w:t xml:space="preserve"> meghatározza a tengerentúli országok és területek</w:t>
      </w:r>
      <w:r>
        <w:rPr>
          <w:rStyle w:val="FootnoteReference"/>
          <w:rFonts w:ascii="Times New Roman" w:hAnsi="Times New Roman" w:cs="Times New Roman"/>
          <w:noProof/>
          <w:color w:val="auto"/>
          <w:lang w:val="en-US"/>
        </w:rPr>
        <w:footnoteReference w:id="2"/>
      </w:r>
      <w:r>
        <w:rPr>
          <w:rFonts w:ascii="Times New Roman" w:hAnsi="Times New Roman"/>
          <w:noProof/>
          <w:color w:val="auto"/>
        </w:rPr>
        <w:t xml:space="preserve"> (TOT-ok), a velük kapcsolatban álló tagállamok és az Európai Unió közötti kapcsolatok jogi keretét. Az Európai Unió működéséről szóló szerződés (a továbbiakban: EUMSZ)</w:t>
      </w:r>
      <w:r>
        <w:rPr>
          <w:rStyle w:val="FootnoteReference"/>
          <w:rFonts w:ascii="Times New Roman" w:hAnsi="Times New Roman" w:cs="Times New Roman"/>
          <w:noProof/>
          <w:color w:val="auto"/>
          <w:lang w:val="en-US"/>
        </w:rPr>
        <w:footnoteReference w:id="3"/>
      </w:r>
      <w:r>
        <w:rPr>
          <w:rFonts w:ascii="Times New Roman" w:hAnsi="Times New Roman"/>
          <w:noProof/>
          <w:color w:val="auto"/>
        </w:rPr>
        <w:t xml:space="preserve"> szerint a tengerentúli társulási határozat célja a TOT-ok fenntartható fejlődésének támogatása és az Unió értékeinek szélesebb körű, globális előmozdítása. </w:t>
      </w:r>
    </w:p>
    <w:p>
      <w:pPr>
        <w:pStyle w:val="Default"/>
        <w:jc w:val="both"/>
        <w:rPr>
          <w:rFonts w:ascii="Times New Roman" w:hAnsi="Times New Roman" w:cs="Times New Roman"/>
          <w:noProof/>
          <w:color w:val="auto"/>
        </w:rPr>
      </w:pPr>
      <w:r>
        <w:rPr>
          <w:rFonts w:ascii="Times New Roman" w:hAnsi="Times New Roman"/>
          <w:noProof/>
        </w:rPr>
        <w:t xml:space="preserve"> </w:t>
      </w:r>
    </w:p>
    <w:p>
      <w:pPr>
        <w:pStyle w:val="Default"/>
        <w:jc w:val="both"/>
        <w:rPr>
          <w:rFonts w:ascii="Times New Roman" w:hAnsi="Times New Roman" w:cs="Times New Roman"/>
          <w:noProof/>
          <w:color w:val="auto"/>
        </w:rPr>
      </w:pPr>
      <w:r>
        <w:rPr>
          <w:rFonts w:ascii="Times New Roman" w:hAnsi="Times New Roman"/>
          <w:noProof/>
          <w:color w:val="auto"/>
        </w:rPr>
        <w:t>Az Unió főként az Európai Fejlesztési Alap (a továbbiakban: EFA) keretében nyújt pénzügyi támogatást a TOT-oknak. Erre a célra a 2014–2020 közötti programozási időszakra vonatkozó 11. EFA keretében 364,5 millió EUR-t irányoztak elő.</w:t>
      </w:r>
      <w:r>
        <w:rPr>
          <w:rStyle w:val="FootnoteReference"/>
          <w:rFonts w:ascii="Times New Roman" w:hAnsi="Times New Roman" w:cs="Times New Roman"/>
          <w:noProof/>
          <w:color w:val="auto"/>
          <w:lang w:val="en-US"/>
        </w:rPr>
        <w:footnoteReference w:id="4"/>
      </w:r>
      <w:r>
        <w:rPr>
          <w:rFonts w:ascii="Times New Roman" w:hAnsi="Times New Roman"/>
          <w:noProof/>
          <w:color w:val="auto"/>
        </w:rPr>
        <w:t xml:space="preserve">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 xml:space="preserve">A tengerentúli társulási határozat 91. cikkének megfelelően ez a jelentés a 2019. év folyamán a 11. EFA keretében a TOT-oknak nyújtott támogatás végrehajtása terén elért eredményekről nyújt áttekintést.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b/>
          <w:bCs/>
          <w:noProof/>
          <w:color w:val="auto"/>
          <w:u w:val="single"/>
        </w:rPr>
      </w:pPr>
      <w:r>
        <w:rPr>
          <w:rFonts w:ascii="Times New Roman" w:hAnsi="Times New Roman"/>
          <w:b/>
          <w:bCs/>
          <w:noProof/>
          <w:color w:val="auto"/>
          <w:u w:val="single"/>
        </w:rPr>
        <w:t xml:space="preserve">A 11. EFA TOT-ok számára elkülönített pénzügyi erőforrásai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r>
        <w:rPr>
          <w:rFonts w:ascii="Times New Roman" w:hAnsi="Times New Roman"/>
          <w:noProof/>
          <w:color w:val="auto"/>
        </w:rPr>
        <w:t xml:space="preserve">A 11. EFA TOT-ok számára elkülönített forrásainak felosztása a 2014–2020 közötti időszakra vonatkozóan a tengerentúli társulási határozat 2. melléklete alapján a következő: </w:t>
      </w:r>
    </w:p>
    <w:p>
      <w:pPr>
        <w:pStyle w:val="Default"/>
        <w:spacing w:after="164"/>
        <w:jc w:val="both"/>
        <w:rPr>
          <w:rFonts w:ascii="Times New Roman" w:hAnsi="Times New Roman" w:cs="Times New Roman"/>
          <w:noProof/>
          <w:color w:val="auto"/>
        </w:rPr>
      </w:pP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229,5 millió EUR területi (bilaterális) allokációkra;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100 millió EUR regionális és „minden TOT-ra kiterjedő” együttműködésre;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21,5 millió EUR humanitárius és sürgősségi segélyek finanszírozására;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5 millió EUR a TOT beruházási eszközhöz kapcsolódó kamattámogatások és technikai segítségnyújtás finanszírozására; </w:t>
      </w:r>
    </w:p>
    <w:p>
      <w:pPr>
        <w:pStyle w:val="Default"/>
        <w:numPr>
          <w:ilvl w:val="0"/>
          <w:numId w:val="1"/>
        </w:numPr>
        <w:spacing w:after="164"/>
        <w:jc w:val="both"/>
        <w:rPr>
          <w:rFonts w:ascii="Times New Roman" w:hAnsi="Times New Roman" w:cs="Times New Roman"/>
          <w:noProof/>
          <w:color w:val="auto"/>
        </w:rPr>
      </w:pPr>
      <w:r>
        <w:rPr>
          <w:rFonts w:ascii="Times New Roman" w:hAnsi="Times New Roman"/>
          <w:noProof/>
          <w:color w:val="auto"/>
        </w:rPr>
        <w:t xml:space="preserve">8,5 millió EUR tanulmányokra és technikai segítségnyújtásra. </w:t>
      </w:r>
    </w:p>
    <w:p>
      <w:pPr>
        <w:pStyle w:val="Default"/>
        <w:jc w:val="both"/>
        <w:rPr>
          <w:rFonts w:ascii="Times New Roman" w:hAnsi="Times New Roman" w:cs="Times New Roman"/>
          <w:noProof/>
          <w:color w:val="auto"/>
        </w:rPr>
      </w:pPr>
    </w:p>
    <w:p>
      <w:pPr>
        <w:jc w:val="both"/>
        <w:rPr>
          <w:rFonts w:ascii="Times New Roman" w:hAnsi="Times New Roman" w:cs="Times New Roman"/>
          <w:noProof/>
          <w:sz w:val="24"/>
          <w:szCs w:val="24"/>
        </w:rPr>
      </w:pPr>
      <w:r>
        <w:rPr>
          <w:rFonts w:ascii="Times New Roman" w:hAnsi="Times New Roman"/>
          <w:bCs/>
          <w:noProof/>
          <w:sz w:val="24"/>
          <w:szCs w:val="24"/>
        </w:rPr>
        <w:lastRenderedPageBreak/>
        <w:t xml:space="preserve">A határozatban megállapított kritériumok alapján </w:t>
      </w:r>
      <w:r>
        <w:rPr>
          <w:rFonts w:ascii="Times New Roman" w:hAnsi="Times New Roman"/>
          <w:b/>
          <w:bCs/>
          <w:noProof/>
          <w:sz w:val="24"/>
          <w:szCs w:val="24"/>
        </w:rPr>
        <w:t>tizenhat TOT jogosult területi allokációra a 11. EFA keretében</w:t>
      </w:r>
      <w:r>
        <w:rPr>
          <w:rFonts w:ascii="Times New Roman" w:hAnsi="Times New Roman"/>
          <w:bCs/>
          <w:noProof/>
          <w:sz w:val="24"/>
          <w:szCs w:val="24"/>
        </w:rPr>
        <w:t xml:space="preserve">. </w:t>
      </w:r>
      <w:r>
        <w:rPr>
          <w:rFonts w:ascii="Times New Roman" w:hAnsi="Times New Roman"/>
          <w:noProof/>
          <w:sz w:val="24"/>
          <w:szCs w:val="24"/>
        </w:rPr>
        <w:t>Meg kell jegyezni, hogy az ún. „Grönland-határozat”</w:t>
      </w:r>
      <w:r>
        <w:rPr>
          <w:rStyle w:val="FootnoteReference"/>
          <w:rFonts w:ascii="Times New Roman" w:hAnsi="Times New Roman" w:cs="Times New Roman"/>
          <w:noProof/>
          <w:sz w:val="24"/>
          <w:szCs w:val="24"/>
          <w:lang w:val="en-US"/>
        </w:rPr>
        <w:footnoteReference w:id="5"/>
      </w:r>
      <w:r>
        <w:rPr>
          <w:rFonts w:ascii="Times New Roman" w:hAnsi="Times New Roman"/>
          <w:noProof/>
          <w:sz w:val="24"/>
          <w:szCs w:val="24"/>
        </w:rPr>
        <w:t xml:space="preserve"> alapján Grönland finanszírozása közvetlenül az Unió általános költségvetéséből történik.</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b/>
          <w:bCs/>
          <w:noProof/>
          <w:color w:val="000000"/>
          <w:sz w:val="24"/>
          <w:szCs w:val="24"/>
        </w:rPr>
        <w:t>A három regionális program</w:t>
      </w:r>
      <w:r>
        <w:rPr>
          <w:rFonts w:ascii="Times New Roman" w:hAnsi="Times New Roman"/>
          <w:noProof/>
          <w:color w:val="000000"/>
          <w:sz w:val="24"/>
          <w:szCs w:val="24"/>
        </w:rPr>
        <w:t xml:space="preserve"> célja az azonos régióba tartozó, hasonló kihívásokkal szembenéző és prioritásokkal rendelkező TOT-ok közötti együttműködés elősegítése. A regionális allokáció keretében finanszírozott tevékenységek az említett kihívások kezelését célzó átfogó regionális programok és projektek kidolgozását és megvalósítását támogatják. A Bizottság ösztönzi a szomszédos afrikai, karibi és csendes-óceáni (AKCS-) államokkal és/vagy harmadik országokkal, valamint az EU legkülső régióival folytatott együttműködés révén kialakított, más finanszírozási forrásokkal – többek között az Unió más pénzügyi eszközeivel – létrejött partnerségeket.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cs="Times New Roman"/>
          <w:noProof/>
        </w:rPr>
      </w:pPr>
      <w:r>
        <w:rPr>
          <w:rFonts w:ascii="Times New Roman" w:hAnsi="Times New Roman"/>
          <w:noProof/>
        </w:rPr>
        <w:t xml:space="preserve">A területi és a regionális programokon kívül </w:t>
      </w:r>
      <w:r>
        <w:rPr>
          <w:rFonts w:ascii="Times New Roman" w:hAnsi="Times New Roman"/>
          <w:b/>
          <w:bCs/>
          <w:noProof/>
        </w:rPr>
        <w:t>a tematikus program</w:t>
      </w:r>
      <w:r>
        <w:rPr>
          <w:rFonts w:ascii="Times New Roman" w:hAnsi="Times New Roman"/>
          <w:noProof/>
        </w:rPr>
        <w:t xml:space="preserve"> – mely a 11. EFA egyetlen, minden TOT-ra kiterjedő programja – is elő fogja segíteni a TOT-ok közötti együttműködést.</w:t>
      </w:r>
    </w:p>
    <w:p>
      <w:pPr>
        <w:pStyle w:val="Default"/>
        <w:rPr>
          <w:rFonts w:ascii="Times New Roman" w:hAnsi="Times New Roman" w:cs="Times New Roman"/>
          <w:noProof/>
        </w:rPr>
      </w:pPr>
    </w:p>
    <w:p>
      <w:pPr>
        <w:autoSpaceDE w:val="0"/>
        <w:autoSpaceDN w:val="0"/>
        <w:adjustRightInd w:val="0"/>
        <w:spacing w:after="0" w:line="240" w:lineRule="auto"/>
        <w:jc w:val="both"/>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 xml:space="preserve">A 11. EFA TOT-ok számára elkülönített részére vonatkozó programozási folyamat </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A tengerentúli társulási határozat negyedik része a </w:t>
      </w:r>
      <w:r>
        <w:rPr>
          <w:rFonts w:ascii="Times New Roman" w:hAnsi="Times New Roman"/>
          <w:b/>
          <w:bCs/>
          <w:noProof/>
          <w:color w:val="000000"/>
          <w:sz w:val="24"/>
          <w:szCs w:val="24"/>
        </w:rPr>
        <w:t>TOT-okra szabott programozási folyamatot</w:t>
      </w:r>
      <w:r>
        <w:rPr>
          <w:rFonts w:ascii="Times New Roman" w:hAnsi="Times New Roman"/>
          <w:noProof/>
          <w:color w:val="000000"/>
          <w:sz w:val="24"/>
          <w:szCs w:val="24"/>
        </w:rPr>
        <w:t xml:space="preserve"> hoz létre. Az AKCS-államokkal ellentétben a programozás nem nemzeti indikatív programokon alapul, hanem egy egylépcsős folyamat – a programozási dokumentum kidolgozása – alapján történik, amely két elemet foglal magában:</w:t>
      </w:r>
      <w:r>
        <w:rPr>
          <w:rFonts w:ascii="Times New Roman" w:hAnsi="Times New Roman"/>
          <w:bCs/>
          <w:noProof/>
          <w:color w:val="000000"/>
          <w:sz w:val="24"/>
          <w:szCs w:val="24"/>
        </w:rPr>
        <w:t xml:space="preserve"> a) az EU válaszadási stratégiáját (A. rész) és b) a cselekvési dokumentumot (B. rész). </w:t>
      </w:r>
      <w:r>
        <w:rPr>
          <w:rFonts w:ascii="Times New Roman" w:hAnsi="Times New Roman"/>
          <w:noProof/>
          <w:color w:val="000000"/>
          <w:sz w:val="24"/>
          <w:szCs w:val="24"/>
        </w:rPr>
        <w:t xml:space="preserve">Az egyes TOT-okra vonatkozó programozási dokumentum elfogadása egyetlen hivatalos bizottsági határozattal történik, amely a stratégiai iránymutatásokra és a részletes programtervre egyaránt kitér.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A </w:t>
      </w:r>
      <w:r>
        <w:rPr>
          <w:rFonts w:ascii="Times New Roman" w:hAnsi="Times New Roman"/>
          <w:b/>
          <w:bCs/>
          <w:noProof/>
          <w:color w:val="000000"/>
          <w:sz w:val="24"/>
          <w:szCs w:val="24"/>
        </w:rPr>
        <w:t>költségvetés-támogatás</w:t>
      </w:r>
      <w:r>
        <w:rPr>
          <w:rFonts w:ascii="Times New Roman" w:hAnsi="Times New Roman"/>
          <w:noProof/>
          <w:color w:val="000000"/>
          <w:sz w:val="24"/>
          <w:szCs w:val="24"/>
        </w:rPr>
        <w:t xml:space="preserve"> a TOT-oknak (jelenleg az EFA-ból részesülő 16 TOT közül tizenháromnak) nyújtott területi allokációk preferált végrehajtási módja. Ez pozitív eltolódást jelent a számos TOT-ban korábban alkalmazott projekttámogatástól. A költségvetés-támogatás valóban hatékony módszert nyújt ezen átfogó, hosszú távú és strukturális kihívások kezelésére és a konstruktív szakpolitikai párbeszéd fenntartására.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cs="Times New Roman"/>
          <w:noProof/>
        </w:rPr>
      </w:pPr>
      <w:r>
        <w:rPr>
          <w:rFonts w:ascii="Times New Roman" w:hAnsi="Times New Roman"/>
          <w:b/>
          <w:bCs/>
          <w:noProof/>
        </w:rPr>
        <w:t>A programozási dokumentumok kidolgozása a TOT-ok elsődleges felelőssége</w:t>
      </w:r>
      <w:r>
        <w:rPr>
          <w:rFonts w:ascii="Times New Roman" w:hAnsi="Times New Roman"/>
          <w:noProof/>
        </w:rPr>
        <w:t>, ideértve a stratégiáik alapjául szolgáló prioritások meghatározását és a szükséges helyi konzultációk biztosítását is. A TOT-ok kérésére a TOT-okat a programozási folyamat során segítő technikai segítségnyújtást tettek elérhetővé, a tengerentúli társulási határozat 81. cikkének megfelelően.</w:t>
      </w:r>
    </w:p>
    <w:p>
      <w:pPr>
        <w:pStyle w:val="Default"/>
        <w:rPr>
          <w:rFonts w:ascii="Times New Roman" w:hAnsi="Times New Roman" w:cs="Times New Roman"/>
          <w:noProof/>
        </w:rPr>
      </w:pPr>
    </w:p>
    <w:p>
      <w:pPr>
        <w:autoSpaceDE w:val="0"/>
        <w:autoSpaceDN w:val="0"/>
        <w:adjustRightInd w:val="0"/>
        <w:spacing w:after="0" w:line="240" w:lineRule="auto"/>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A 2019. évi helyzet</w:t>
      </w:r>
    </w:p>
    <w:p>
      <w:pPr>
        <w:autoSpaceDE w:val="0"/>
        <w:autoSpaceDN w:val="0"/>
        <w:adjustRightInd w:val="0"/>
        <w:spacing w:after="0" w:line="240" w:lineRule="auto"/>
        <w:rPr>
          <w:rFonts w:ascii="Times New Roman" w:hAnsi="Times New Roman" w:cs="Times New Roman"/>
          <w:noProof/>
          <w:color w:val="000000"/>
          <w:sz w:val="24"/>
          <w:szCs w:val="24"/>
          <w:u w:val="single"/>
          <w:lang w:val="en-US"/>
        </w:rPr>
      </w:pPr>
    </w:p>
    <w:p>
      <w:pPr>
        <w:pStyle w:val="ListParagraph"/>
        <w:numPr>
          <w:ilvl w:val="0"/>
          <w:numId w:val="2"/>
        </w:num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b/>
          <w:bCs/>
          <w:noProof/>
          <w:color w:val="000000"/>
          <w:sz w:val="24"/>
          <w:szCs w:val="24"/>
        </w:rPr>
        <w:t xml:space="preserve">A 11. EFA területi végrehajtása </w:t>
      </w:r>
    </w:p>
    <w:p>
      <w:pPr>
        <w:autoSpaceDE w:val="0"/>
        <w:autoSpaceDN w:val="0"/>
        <w:adjustRightInd w:val="0"/>
        <w:spacing w:after="0" w:line="240" w:lineRule="auto"/>
        <w:rPr>
          <w:rFonts w:ascii="Times New Roman" w:hAnsi="Times New Roman" w:cs="Times New Roman"/>
          <w:noProof/>
          <w:color w:val="000000"/>
          <w:sz w:val="24"/>
          <w:szCs w:val="24"/>
          <w:lang w:val="en-US"/>
        </w:rPr>
      </w:pP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Az összes érintett fél közös elkötelezettségének köszönhetően 2019-ben előrelépés történt a 11. EFA programozása terén a megerősített koordináció és párbeszéd révén. </w:t>
      </w:r>
      <w:r>
        <w:rPr>
          <w:rFonts w:ascii="Times New Roman" w:hAnsi="Times New Roman"/>
          <w:noProof/>
        </w:rPr>
        <w:t xml:space="preserve">Aruba és Bonaire programozási dokumentumának 2019. évi elfogadásával </w:t>
      </w:r>
      <w:r>
        <w:rPr>
          <w:rFonts w:ascii="Times New Roman" w:hAnsi="Times New Roman"/>
          <w:b/>
          <w:noProof/>
        </w:rPr>
        <w:t>az EFA-allokációból részesülő 16 TOT közül 14 lezárta a programozását</w:t>
      </w:r>
      <w:r>
        <w:rPr>
          <w:rFonts w:ascii="Times New Roman" w:hAnsi="Times New Roman" w:cs="Times New Roman"/>
          <w:b/>
          <w:noProof/>
          <w:vertAlign w:val="superscript"/>
        </w:rPr>
        <w:footnoteReference w:id="6"/>
      </w:r>
      <w:r>
        <w:rPr>
          <w:rFonts w:ascii="Times New Roman" w:hAnsi="Times New Roman"/>
          <w:noProof/>
        </w:rPr>
        <w:t>.</w:t>
      </w:r>
      <w:r>
        <w:rPr>
          <w:rFonts w:ascii="Times New Roman" w:hAnsi="Times New Roman"/>
          <w:noProof/>
          <w:color w:val="000000"/>
          <w:sz w:val="24"/>
          <w:szCs w:val="24"/>
        </w:rPr>
        <w:t xml:space="preserve"> </w:t>
      </w:r>
      <w:r>
        <w:rPr>
          <w:rFonts w:ascii="Times New Roman" w:hAnsi="Times New Roman"/>
          <w:noProof/>
          <w:sz w:val="24"/>
          <w:szCs w:val="24"/>
        </w:rPr>
        <w:t>Ami a tényleges pénzügyi támogatást illeti, 2019 folyamán 40,7 millió EUR-t folyósítottak a 11. EFA keretében TOT-oknak (lásd az I. mellékletet).</w:t>
      </w:r>
      <w:r>
        <w:rPr>
          <w:rFonts w:ascii="Times New Roman" w:hAnsi="Times New Roman"/>
          <w:noProof/>
          <w:color w:val="000000"/>
          <w:sz w:val="24"/>
          <w:szCs w:val="24"/>
        </w:rPr>
        <w:t xml:space="preserve"> Curaçao (16,95 millió EUR) és Sint Maarten (7 millió EUR) esetében a programozás folyamata még nem zárult le 2019-ben, az elfogadás 2020-ban várható.  </w:t>
      </w:r>
    </w:p>
    <w:p>
      <w:p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noProof/>
          <w:color w:val="000000"/>
          <w:sz w:val="24"/>
          <w:szCs w:val="24"/>
        </w:rPr>
        <w:t xml:space="preserve">A 2019. évi végrehajtást illetően: </w:t>
      </w:r>
    </w:p>
    <w:p>
      <w:pPr>
        <w:autoSpaceDE w:val="0"/>
        <w:autoSpaceDN w:val="0"/>
        <w:adjustRightInd w:val="0"/>
        <w:spacing w:after="0" w:line="240" w:lineRule="auto"/>
        <w:rPr>
          <w:rFonts w:ascii="Times New Roman" w:hAnsi="Times New Roman" w:cs="Times New Roman"/>
          <w:noProof/>
          <w:color w:val="000000"/>
          <w:sz w:val="24"/>
          <w:szCs w:val="24"/>
          <w:lang w:val="fr-BE"/>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Karib-tengeri térség: </w:t>
      </w:r>
    </w:p>
    <w:p>
      <w:pPr>
        <w:pStyle w:val="Default"/>
        <w:jc w:val="both"/>
        <w:rPr>
          <w:rFonts w:ascii="Times New Roman" w:hAnsi="Times New Roman" w:cs="Times New Roman"/>
          <w:noProof/>
          <w:lang w:val="fr-BE"/>
        </w:rPr>
      </w:pP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Az </w:t>
      </w:r>
      <w:r>
        <w:rPr>
          <w:rFonts w:ascii="Times New Roman" w:hAnsi="Times New Roman"/>
          <w:b/>
          <w:bCs/>
          <w:noProof/>
          <w:color w:val="000000"/>
          <w:sz w:val="24"/>
          <w:szCs w:val="24"/>
        </w:rPr>
        <w:t>oktatási</w:t>
      </w:r>
      <w:r>
        <w:rPr>
          <w:rFonts w:ascii="Times New Roman" w:hAnsi="Times New Roman"/>
          <w:noProof/>
          <w:color w:val="000000"/>
          <w:sz w:val="24"/>
          <w:szCs w:val="24"/>
        </w:rPr>
        <w:t xml:space="preserve"> ágazatban </w:t>
      </w:r>
      <w:r>
        <w:rPr>
          <w:rFonts w:ascii="Times New Roman" w:hAnsi="Times New Roman"/>
          <w:b/>
          <w:bCs/>
          <w:noProof/>
          <w:color w:val="000000"/>
          <w:sz w:val="24"/>
          <w:szCs w:val="24"/>
        </w:rPr>
        <w:t>Anguilla</w:t>
      </w:r>
      <w:r>
        <w:rPr>
          <w:rFonts w:ascii="Times New Roman" w:hAnsi="Times New Roman"/>
          <w:noProof/>
          <w:color w:val="000000"/>
          <w:sz w:val="24"/>
          <w:szCs w:val="24"/>
        </w:rPr>
        <w:t xml:space="preserve"> költségvetés-támogatási programja az ágazat fenntartható finanszírozási tervének jóváhagyását, a nemzeti képesítési keretrendszer kialakítását és hat egyedi iskolafejlesztési terv kidolgozását támogatta (a harmadik fix részlet (2,45 millió EUR), valamint az első és a második változó részlet (0,75 + 1,05 millió EUR) folyósítása). Emellett </w:t>
      </w:r>
      <w:r>
        <w:rPr>
          <w:rFonts w:ascii="Times New Roman" w:hAnsi="Times New Roman"/>
          <w:b/>
          <w:noProof/>
          <w:color w:val="000000"/>
          <w:sz w:val="24"/>
          <w:szCs w:val="24"/>
        </w:rPr>
        <w:t xml:space="preserve">Aruba </w:t>
      </w:r>
      <w:r>
        <w:rPr>
          <w:rFonts w:ascii="Times New Roman" w:hAnsi="Times New Roman"/>
          <w:noProof/>
          <w:color w:val="000000"/>
          <w:sz w:val="24"/>
          <w:szCs w:val="24"/>
        </w:rPr>
        <w:t xml:space="preserve">2019 februárjában elfogadta az innovatív, fenntartható fejlődéshez szükséges műszaki készségek fejlesztését célzó oktatási programra vonatkozó programozási dokumentumát (13,05 millió EUR). </w:t>
      </w:r>
      <w:r>
        <w:rPr>
          <w:rFonts w:ascii="Times New Roman" w:hAnsi="Times New Roman"/>
          <w:noProof/>
          <w:sz w:val="24"/>
          <w:szCs w:val="24"/>
        </w:rPr>
        <w:t xml:space="preserve">A </w:t>
      </w:r>
      <w:r>
        <w:rPr>
          <w:rFonts w:ascii="Times New Roman" w:hAnsi="Times New Roman"/>
          <w:b/>
          <w:noProof/>
          <w:sz w:val="24"/>
          <w:szCs w:val="24"/>
        </w:rPr>
        <w:t>Turks- és Caicos-szigetek</w:t>
      </w:r>
      <w:r>
        <w:rPr>
          <w:rFonts w:ascii="Times New Roman" w:hAnsi="Times New Roman"/>
          <w:noProof/>
          <w:sz w:val="24"/>
          <w:szCs w:val="24"/>
        </w:rPr>
        <w:t xml:space="preserve"> folytatták a műszaki és szakoktatás és képzés munkaerőpiaci igényeknek való jobb megfelelését célzó programjuk megvalósítását.</w:t>
      </w:r>
      <w:r>
        <w:rPr>
          <w:rFonts w:ascii="Times New Roman" w:hAnsi="Times New Roman"/>
          <w:noProof/>
          <w:color w:val="000000"/>
          <w:sz w:val="24"/>
          <w:szCs w:val="24"/>
        </w:rPr>
        <w:t xml:space="preserve"> </w:t>
      </w:r>
    </w:p>
    <w:p>
      <w:pPr>
        <w:pStyle w:val="ListParagraph"/>
        <w:autoSpaceDE w:val="0"/>
        <w:autoSpaceDN w:val="0"/>
        <w:adjustRightInd w:val="0"/>
        <w:spacing w:after="167" w:line="240" w:lineRule="auto"/>
        <w:ind w:left="778"/>
        <w:jc w:val="both"/>
        <w:rPr>
          <w:rFonts w:ascii="Times New Roman" w:hAnsi="Times New Roman" w:cs="Times New Roman"/>
          <w:noProof/>
          <w:color w:val="000000"/>
          <w:sz w:val="24"/>
          <w:szCs w:val="24"/>
        </w:rPr>
      </w:pP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Haladás történt a </w:t>
      </w:r>
      <w:r>
        <w:rPr>
          <w:rFonts w:ascii="Times New Roman" w:hAnsi="Times New Roman"/>
          <w:b/>
          <w:noProof/>
          <w:sz w:val="24"/>
          <w:szCs w:val="24"/>
        </w:rPr>
        <w:t>fenntartható növekedés</w:t>
      </w:r>
      <w:r>
        <w:rPr>
          <w:rFonts w:ascii="Times New Roman" w:hAnsi="Times New Roman"/>
          <w:noProof/>
          <w:sz w:val="24"/>
          <w:szCs w:val="24"/>
        </w:rPr>
        <w:t xml:space="preserve"> terén is, köszönhetően </w:t>
      </w:r>
      <w:r>
        <w:rPr>
          <w:rFonts w:ascii="Times New Roman" w:hAnsi="Times New Roman"/>
          <w:b/>
          <w:noProof/>
          <w:sz w:val="24"/>
          <w:szCs w:val="24"/>
        </w:rPr>
        <w:t>Montserrat</w:t>
      </w:r>
      <w:r>
        <w:rPr>
          <w:rFonts w:ascii="Times New Roman" w:hAnsi="Times New Roman"/>
          <w:noProof/>
          <w:sz w:val="24"/>
          <w:szCs w:val="24"/>
        </w:rPr>
        <w:t xml:space="preserve"> folyamatban lévő költségvetés-támogatási programjának, amelynek keretében sor került a második fix részlet</w:t>
      </w:r>
      <w:r>
        <w:rPr>
          <w:rFonts w:ascii="Times New Roman" w:hAnsi="Times New Roman"/>
          <w:noProof/>
          <w:color w:val="000000"/>
          <w:sz w:val="24"/>
          <w:szCs w:val="24"/>
        </w:rPr>
        <w:t xml:space="preserve"> (2 millió EUR) és az első változó részlet (2 millió EUR) folyósítására. Ez a költségvetés-támogatási program előmozdítja a fejlődést olyan területeken, mint a megújuló energia és a turizmus.</w:t>
      </w:r>
    </w:p>
    <w:p>
      <w:pPr>
        <w:pStyle w:val="ListParagraph"/>
        <w:autoSpaceDE w:val="0"/>
        <w:autoSpaceDN w:val="0"/>
        <w:adjustRightInd w:val="0"/>
        <w:spacing w:after="167" w:line="240" w:lineRule="auto"/>
        <w:ind w:left="778"/>
        <w:jc w:val="both"/>
        <w:rPr>
          <w:rFonts w:ascii="Times New Roman" w:hAnsi="Times New Roman" w:cs="Times New Roman"/>
          <w:noProof/>
          <w:color w:val="000000"/>
          <w:sz w:val="24"/>
          <w:szCs w:val="24"/>
        </w:rPr>
      </w:pPr>
    </w:p>
    <w:p>
      <w:pPr>
        <w:pStyle w:val="ListParagraph"/>
        <w:numPr>
          <w:ilvl w:val="0"/>
          <w:numId w:val="3"/>
        </w:numPr>
        <w:jc w:val="both"/>
        <w:rPr>
          <w:rFonts w:ascii="Times New Roman" w:hAnsi="Times New Roman" w:cs="Times New Roman"/>
          <w:noProof/>
        </w:rPr>
      </w:pPr>
      <w:r>
        <w:rPr>
          <w:rFonts w:ascii="Times New Roman" w:hAnsi="Times New Roman"/>
          <w:noProof/>
          <w:sz w:val="24"/>
          <w:szCs w:val="24"/>
        </w:rPr>
        <w:t xml:space="preserve">A 11. EFA programozási dokumentum elfogadását követően </w:t>
      </w:r>
      <w:r>
        <w:rPr>
          <w:rFonts w:ascii="Times New Roman" w:hAnsi="Times New Roman"/>
          <w:b/>
          <w:noProof/>
          <w:sz w:val="24"/>
          <w:szCs w:val="24"/>
        </w:rPr>
        <w:t>elindult Bonaire</w:t>
      </w:r>
      <w:r>
        <w:rPr>
          <w:rFonts w:ascii="Times New Roman" w:hAnsi="Times New Roman"/>
          <w:noProof/>
          <w:sz w:val="24"/>
          <w:szCs w:val="24"/>
        </w:rPr>
        <w:t xml:space="preserve"> új </w:t>
      </w:r>
      <w:r>
        <w:rPr>
          <w:rFonts w:ascii="Times New Roman" w:hAnsi="Times New Roman"/>
          <w:b/>
          <w:noProof/>
          <w:sz w:val="24"/>
          <w:szCs w:val="24"/>
        </w:rPr>
        <w:t xml:space="preserve">ifjúságpolitikai költségvetés-támogatása </w:t>
      </w:r>
      <w:r>
        <w:rPr>
          <w:rFonts w:ascii="Times New Roman" w:hAnsi="Times New Roman"/>
          <w:noProof/>
          <w:sz w:val="24"/>
          <w:szCs w:val="24"/>
        </w:rPr>
        <w:t>(3,95 millió EUR). A támogatás hozzájárul majd a fiatalok egészségesebbé válásához, foglalkoztathatóságuk növeléséhez és életszínvonaluk javításhoz.</w:t>
      </w:r>
      <w:r>
        <w:rPr>
          <w:rFonts w:ascii="Times New Roman" w:hAnsi="Times New Roman"/>
          <w:noProof/>
        </w:rPr>
        <w:t xml:space="preserve"> </w:t>
      </w:r>
      <w:r>
        <w:rPr>
          <w:noProof/>
        </w:rPr>
        <w:t xml:space="preserve"> </w:t>
      </w:r>
      <w:r>
        <w:rPr>
          <w:noProof/>
        </w:rPr>
        <w:br/>
      </w: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A karibi TOT-okat sújtó 2017-es hurrikánt követő időszakban 2 millió EUR-t különítettek el a B-keretből a</w:t>
      </w:r>
      <w:r>
        <w:rPr>
          <w:rFonts w:ascii="Times New Roman" w:hAnsi="Times New Roman"/>
          <w:b/>
          <w:noProof/>
          <w:color w:val="000000"/>
          <w:sz w:val="24"/>
          <w:szCs w:val="24"/>
        </w:rPr>
        <w:t xml:space="preserve"> Brit Virgin-szigetek</w:t>
      </w:r>
      <w:r>
        <w:rPr>
          <w:rFonts w:ascii="Times New Roman" w:hAnsi="Times New Roman"/>
          <w:noProof/>
          <w:color w:val="000000"/>
          <w:sz w:val="24"/>
          <w:szCs w:val="24"/>
        </w:rPr>
        <w:t xml:space="preserve"> számára</w:t>
      </w:r>
      <w:r>
        <w:rPr>
          <w:rStyle w:val="FootnoteReference"/>
          <w:rFonts w:ascii="Times New Roman" w:hAnsi="Times New Roman" w:cs="Times New Roman"/>
          <w:noProof/>
          <w:color w:val="000000"/>
          <w:sz w:val="24"/>
          <w:szCs w:val="24"/>
          <w:lang w:val="en-US"/>
        </w:rPr>
        <w:footnoteReference w:id="7"/>
      </w:r>
      <w:r>
        <w:rPr>
          <w:rFonts w:ascii="Times New Roman" w:hAnsi="Times New Roman"/>
          <w:noProof/>
          <w:color w:val="000000"/>
          <w:sz w:val="24"/>
          <w:szCs w:val="24"/>
        </w:rPr>
        <w:t xml:space="preserve"> rehabilitációs segítségnyújtás céljára, a </w:t>
      </w:r>
      <w:r>
        <w:rPr>
          <w:rFonts w:ascii="Times New Roman" w:hAnsi="Times New Roman"/>
          <w:b/>
          <w:noProof/>
          <w:color w:val="000000"/>
          <w:sz w:val="24"/>
          <w:szCs w:val="24"/>
        </w:rPr>
        <w:t>reziliencia</w:t>
      </w:r>
      <w:r>
        <w:rPr>
          <w:rFonts w:ascii="Times New Roman" w:hAnsi="Times New Roman"/>
          <w:noProof/>
          <w:color w:val="000000"/>
          <w:sz w:val="24"/>
          <w:szCs w:val="24"/>
        </w:rPr>
        <w:t xml:space="preserve"> növelése érdekében.</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Csendes-óceáni térség: </w:t>
      </w:r>
    </w:p>
    <w:p>
      <w:pPr>
        <w:autoSpaceDE w:val="0"/>
        <w:autoSpaceDN w:val="0"/>
        <w:adjustRightInd w:val="0"/>
        <w:spacing w:after="0" w:line="240" w:lineRule="auto"/>
        <w:rPr>
          <w:rFonts w:ascii="Times New Roman" w:hAnsi="Times New Roman" w:cs="Times New Roman"/>
          <w:noProof/>
          <w:color w:val="000000"/>
          <w:sz w:val="24"/>
          <w:szCs w:val="24"/>
          <w:u w:val="single"/>
          <w:lang w:val="en-US"/>
        </w:rPr>
      </w:pPr>
    </w:p>
    <w:p>
      <w:pPr>
        <w:pStyle w:val="Default"/>
        <w:numPr>
          <w:ilvl w:val="0"/>
          <w:numId w:val="7"/>
        </w:numPr>
        <w:jc w:val="both"/>
        <w:rPr>
          <w:rFonts w:ascii="Times New Roman" w:hAnsi="Times New Roman" w:cs="Times New Roman"/>
          <w:noProof/>
          <w:color w:val="auto"/>
        </w:rPr>
      </w:pPr>
      <w:r>
        <w:rPr>
          <w:rFonts w:ascii="Times New Roman" w:hAnsi="Times New Roman"/>
          <w:noProof/>
          <w:color w:val="auto"/>
        </w:rPr>
        <w:t xml:space="preserve">Ami a fenntartható </w:t>
      </w:r>
      <w:r>
        <w:rPr>
          <w:rFonts w:ascii="Times New Roman" w:hAnsi="Times New Roman"/>
          <w:b/>
          <w:noProof/>
          <w:color w:val="auto"/>
        </w:rPr>
        <w:t>turizmust</w:t>
      </w:r>
      <w:r>
        <w:rPr>
          <w:rFonts w:ascii="Times New Roman" w:hAnsi="Times New Roman"/>
          <w:noProof/>
          <w:color w:val="auto"/>
        </w:rPr>
        <w:t xml:space="preserve"> illeti, </w:t>
      </w:r>
      <w:r>
        <w:rPr>
          <w:rFonts w:ascii="Times New Roman" w:hAnsi="Times New Roman"/>
          <w:b/>
          <w:noProof/>
          <w:color w:val="auto"/>
        </w:rPr>
        <w:t>Francia Polinézia</w:t>
      </w:r>
      <w:r>
        <w:rPr>
          <w:rFonts w:ascii="Times New Roman" w:hAnsi="Times New Roman"/>
          <w:noProof/>
          <w:color w:val="auto"/>
        </w:rPr>
        <w:t xml:space="preserve"> haladást ért el az ágazati politikája terén, és folytatta a fenntartható turizmusra vonatkozó stratégiájának végrehajtását, ami lehetővé tette a második fix részlet folyósítását (7,4 millió EUR). </w:t>
      </w:r>
      <w:r>
        <w:rPr>
          <w:rFonts w:ascii="Times New Roman" w:hAnsi="Times New Roman"/>
          <w:b/>
          <w:noProof/>
          <w:color w:val="auto"/>
        </w:rPr>
        <w:t>Pitcairn</w:t>
      </w:r>
      <w:r>
        <w:rPr>
          <w:rFonts w:ascii="Times New Roman" w:hAnsi="Times New Roman"/>
          <w:noProof/>
          <w:color w:val="auto"/>
        </w:rPr>
        <w:t xml:space="preserve"> szintén folytatta a stratégiai fejlesztési tervének megvalósítását a turizmus előmozdításával, és kifizették számára az első 1 millió EUR összegű fix részletet. Új hajózási szolgáltatás indult, és az utasok száma jelentősen megnőtt. </w:t>
      </w:r>
    </w:p>
    <w:p>
      <w:pPr>
        <w:pStyle w:val="ListParagraph"/>
        <w:autoSpaceDE w:val="0"/>
        <w:autoSpaceDN w:val="0"/>
        <w:adjustRightInd w:val="0"/>
        <w:spacing w:after="167" w:line="240" w:lineRule="auto"/>
        <w:jc w:val="both"/>
        <w:rPr>
          <w:rFonts w:ascii="Times New Roman" w:hAnsi="Times New Roman" w:cs="Times New Roman"/>
          <w:noProof/>
          <w:color w:val="000000"/>
          <w:sz w:val="24"/>
          <w:szCs w:val="24"/>
        </w:rPr>
      </w:pPr>
    </w:p>
    <w:p>
      <w:pPr>
        <w:pStyle w:val="ListParagraph"/>
        <w:numPr>
          <w:ilvl w:val="0"/>
          <w:numId w:val="4"/>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A</w:t>
      </w:r>
      <w:r>
        <w:rPr>
          <w:rFonts w:ascii="Times New Roman" w:hAnsi="Times New Roman"/>
          <w:b/>
          <w:bCs/>
          <w:noProof/>
          <w:sz w:val="24"/>
          <w:szCs w:val="24"/>
        </w:rPr>
        <w:t xml:space="preserve"> foglalkoztatási ágazatban Új-Kaledónia</w:t>
      </w:r>
      <w:r>
        <w:rPr>
          <w:rFonts w:ascii="Times New Roman" w:hAnsi="Times New Roman"/>
          <w:noProof/>
          <w:sz w:val="24"/>
          <w:szCs w:val="24"/>
        </w:rPr>
        <w:t xml:space="preserve"> folytatta a képzési programokhoz való hozzáférés bővítésére, valamint a foglalkoztatási és képzési rátájának növelésére irányuló erőfeszítéseit.</w:t>
      </w:r>
      <w:r>
        <w:rPr>
          <w:rFonts w:ascii="Times New Roman" w:hAnsi="Times New Roman"/>
          <w:noProof/>
          <w:color w:val="000000"/>
          <w:sz w:val="24"/>
          <w:szCs w:val="24"/>
        </w:rPr>
        <w:t xml:space="preserve"> A 2018-ra előirányzott részleteket (második fix részlet 4 millió EUR + első változó részlet 2 millió EUR) 2019 elején folyósították. Emellett 2019 végén sor került a harmadik fix részlet (5 millió EUR) és a második változó részlet (3 millió EUR) folyósítására is. </w:t>
      </w:r>
    </w:p>
    <w:p>
      <w:pPr>
        <w:pStyle w:val="ListParagraph"/>
        <w:autoSpaceDE w:val="0"/>
        <w:autoSpaceDN w:val="0"/>
        <w:adjustRightInd w:val="0"/>
        <w:spacing w:after="167" w:line="240" w:lineRule="auto"/>
        <w:jc w:val="both"/>
        <w:rPr>
          <w:rFonts w:ascii="Times New Roman" w:hAnsi="Times New Roman" w:cs="Times New Roman"/>
          <w:noProof/>
          <w:color w:val="000000"/>
          <w:sz w:val="24"/>
          <w:szCs w:val="24"/>
        </w:rPr>
      </w:pPr>
    </w:p>
    <w:p>
      <w:pPr>
        <w:pStyle w:val="ListParagraph"/>
        <w:numPr>
          <w:ilvl w:val="0"/>
          <w:numId w:val="4"/>
        </w:numPr>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A </w:t>
      </w:r>
      <w:r>
        <w:rPr>
          <w:rFonts w:ascii="Times New Roman" w:hAnsi="Times New Roman"/>
          <w:b/>
          <w:noProof/>
          <w:color w:val="000000"/>
          <w:sz w:val="24"/>
          <w:szCs w:val="24"/>
        </w:rPr>
        <w:t>digitális fejlődés</w:t>
      </w:r>
      <w:r>
        <w:rPr>
          <w:rFonts w:ascii="Times New Roman" w:hAnsi="Times New Roman"/>
          <w:noProof/>
          <w:color w:val="000000"/>
          <w:sz w:val="24"/>
          <w:szCs w:val="24"/>
        </w:rPr>
        <w:t xml:space="preserve"> terén </w:t>
      </w:r>
      <w:r>
        <w:rPr>
          <w:rFonts w:ascii="Times New Roman" w:hAnsi="Times New Roman"/>
          <w:b/>
          <w:noProof/>
          <w:color w:val="000000"/>
          <w:sz w:val="24"/>
          <w:szCs w:val="24"/>
        </w:rPr>
        <w:t>Wallis és Futuna</w:t>
      </w:r>
      <w:r>
        <w:rPr>
          <w:rFonts w:ascii="Times New Roman" w:hAnsi="Times New Roman"/>
          <w:noProof/>
          <w:color w:val="000000"/>
          <w:sz w:val="24"/>
          <w:szCs w:val="24"/>
        </w:rPr>
        <w:t xml:space="preserve"> további előrelépést tett a digitális stratégiájának végrehajtása és a nagy sebességű széles sávú kapcsolatot biztosító Tui-Szamoa szélessávú kábelhez</w:t>
      </w:r>
      <w:r>
        <w:rPr>
          <w:rFonts w:ascii="Times New Roman" w:hAnsi="Times New Roman" w:cs="Times New Roman"/>
          <w:noProof/>
          <w:color w:val="000000"/>
          <w:sz w:val="24"/>
          <w:szCs w:val="24"/>
          <w:vertAlign w:val="superscript"/>
          <w:lang w:val="en-US"/>
        </w:rPr>
        <w:footnoteReference w:id="8"/>
      </w:r>
      <w:r>
        <w:rPr>
          <w:rFonts w:ascii="Times New Roman" w:hAnsi="Times New Roman"/>
          <w:noProof/>
          <w:color w:val="000000"/>
          <w:sz w:val="24"/>
          <w:szCs w:val="24"/>
        </w:rPr>
        <w:t xml:space="preserve"> kapcsolódó szolgáltatások kiépítése felé.</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Egyéb TOT-ok: </w:t>
      </w:r>
    </w:p>
    <w:p>
      <w:pPr>
        <w:autoSpaceDE w:val="0"/>
        <w:autoSpaceDN w:val="0"/>
        <w:adjustRightInd w:val="0"/>
        <w:spacing w:after="0" w:line="240" w:lineRule="auto"/>
        <w:rPr>
          <w:rFonts w:ascii="Times New Roman" w:hAnsi="Times New Roman" w:cs="Times New Roman"/>
          <w:noProof/>
          <w:color w:val="000000"/>
          <w:sz w:val="24"/>
          <w:szCs w:val="24"/>
          <w:u w:val="single"/>
          <w:lang w:val="en-US"/>
        </w:rPr>
      </w:pPr>
    </w:p>
    <w:p>
      <w:pPr>
        <w:pStyle w:val="ListParagraph"/>
        <w:numPr>
          <w:ilvl w:val="0"/>
          <w:numId w:val="5"/>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A</w:t>
      </w:r>
      <w:r>
        <w:rPr>
          <w:rFonts w:ascii="Times New Roman" w:hAnsi="Times New Roman"/>
          <w:b/>
          <w:noProof/>
          <w:color w:val="000000"/>
          <w:sz w:val="24"/>
          <w:szCs w:val="24"/>
        </w:rPr>
        <w:t xml:space="preserve"> Falkland-szigetek</w:t>
      </w:r>
      <w:r>
        <w:rPr>
          <w:rFonts w:ascii="Times New Roman" w:hAnsi="Times New Roman"/>
          <w:noProof/>
          <w:color w:val="000000"/>
          <w:sz w:val="24"/>
          <w:szCs w:val="24"/>
        </w:rPr>
        <w:t xml:space="preserve"> részesültek </w:t>
      </w:r>
      <w:r>
        <w:rPr>
          <w:rFonts w:ascii="Times New Roman" w:hAnsi="Times New Roman"/>
          <w:b/>
          <w:noProof/>
          <w:color w:val="000000"/>
          <w:sz w:val="24"/>
          <w:szCs w:val="24"/>
        </w:rPr>
        <w:t>összeköttetést</w:t>
      </w:r>
      <w:r>
        <w:rPr>
          <w:rFonts w:ascii="Times New Roman" w:hAnsi="Times New Roman"/>
          <w:noProof/>
          <w:color w:val="000000"/>
          <w:sz w:val="24"/>
          <w:szCs w:val="24"/>
        </w:rPr>
        <w:t xml:space="preserve"> célzó programból a 11. EFA keretében. 2019-ben kielégítő előrehaladás történt a nemzeti infrastruktúrára vonatkozó tervük végrehajtása és a légi járművek rehabilitációja terén. Megtörtént a második fix részlet (1 millió EUR) és az első változó részlet (0,75 millió EUR) folyósítása. </w:t>
      </w:r>
      <w:r>
        <w:rPr>
          <w:rFonts w:ascii="Times New Roman" w:hAnsi="Times New Roman"/>
          <w:b/>
          <w:noProof/>
          <w:color w:val="000000"/>
          <w:sz w:val="24"/>
          <w:szCs w:val="24"/>
        </w:rPr>
        <w:t>Szent Ilona</w:t>
      </w:r>
      <w:r>
        <w:rPr>
          <w:rFonts w:ascii="Times New Roman" w:hAnsi="Times New Roman"/>
          <w:noProof/>
          <w:color w:val="000000"/>
          <w:sz w:val="24"/>
          <w:szCs w:val="24"/>
        </w:rPr>
        <w:t xml:space="preserve"> – amely szintén részesült összeköttetést célzó programból a 11. EFA keretében – 2019-ben jelentős előrehaladást ért el a digitális stratégiájának végrehajtása terén.</w:t>
      </w:r>
      <w:r>
        <w:rPr>
          <w:noProof/>
        </w:rPr>
        <w:t xml:space="preserve"> </w:t>
      </w:r>
      <w:r>
        <w:rPr>
          <w:noProof/>
        </w:rPr>
        <w:br/>
      </w:r>
    </w:p>
    <w:p>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Ami a </w:t>
      </w:r>
      <w:r>
        <w:rPr>
          <w:rFonts w:ascii="Times New Roman" w:hAnsi="Times New Roman"/>
          <w:b/>
          <w:bCs/>
          <w:noProof/>
          <w:sz w:val="24"/>
          <w:szCs w:val="24"/>
        </w:rPr>
        <w:t>turizmust</w:t>
      </w:r>
      <w:r>
        <w:rPr>
          <w:rFonts w:ascii="Times New Roman" w:hAnsi="Times New Roman"/>
          <w:noProof/>
          <w:sz w:val="24"/>
          <w:szCs w:val="24"/>
        </w:rPr>
        <w:t xml:space="preserve"> illeti, a negyedik fix részlet (3,25 millió EUR) és a második változó részlet (3,25 millió EUR) maradéktalan folyósításával 2019-ben lezárult </w:t>
      </w:r>
      <w:r>
        <w:rPr>
          <w:rFonts w:ascii="Times New Roman" w:hAnsi="Times New Roman"/>
          <w:b/>
          <w:bCs/>
          <w:noProof/>
          <w:sz w:val="24"/>
          <w:szCs w:val="24"/>
        </w:rPr>
        <w:t>Saint Pierre és Miquelon</w:t>
      </w:r>
      <w:r>
        <w:rPr>
          <w:rFonts w:ascii="Times New Roman" w:hAnsi="Times New Roman"/>
          <w:noProof/>
          <w:sz w:val="24"/>
          <w:szCs w:val="24"/>
        </w:rPr>
        <w:t xml:space="preserve"> költségvetés-támogatási programja. Látható az előrehaladás a turisztikai és a tengeri szállítási ágazatban, amelyet jól mutat a szálláshelyek befogadóképességének jelentős növekedése, valamint a Saint-Pierre, Miquelon és Új-Fundland (Kanada) közötti tengeri szolgáltatás megerősítése.</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A költségvetés-támogatási programok általában és az egész év során a TOT-partnerekkel folytatott rendszeres szakpolitikai párbeszédeket eredményeztek a makrogazdasági helyzetről, az államháztartási gazdálkodásról és az ágazati politikákról. </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spacing w:line="240" w:lineRule="auto"/>
        <w:jc w:val="both"/>
        <w:rPr>
          <w:rFonts w:ascii="Times New Roman" w:hAnsi="Times New Roman" w:cs="Times New Roman"/>
          <w:iCs/>
          <w:noProof/>
          <w:color w:val="000000"/>
          <w:sz w:val="24"/>
          <w:szCs w:val="24"/>
        </w:rPr>
      </w:pPr>
      <w:r>
        <w:rPr>
          <w:rFonts w:ascii="Times New Roman" w:hAnsi="Times New Roman"/>
          <w:iCs/>
          <w:noProof/>
          <w:color w:val="000000"/>
          <w:sz w:val="24"/>
          <w:szCs w:val="24"/>
        </w:rPr>
        <w:t xml:space="preserve">2019-ben mozgósították a </w:t>
      </w:r>
      <w:r>
        <w:rPr>
          <w:rFonts w:ascii="Times New Roman" w:hAnsi="Times New Roman"/>
          <w:b/>
          <w:bCs/>
          <w:iCs/>
          <w:noProof/>
          <w:color w:val="000000"/>
          <w:sz w:val="24"/>
          <w:szCs w:val="24"/>
        </w:rPr>
        <w:t>technikai segítségnyújtást</w:t>
      </w:r>
      <w:r>
        <w:rPr>
          <w:rFonts w:ascii="Times New Roman" w:hAnsi="Times New Roman"/>
          <w:iCs/>
          <w:noProof/>
          <w:color w:val="000000"/>
          <w:sz w:val="24"/>
          <w:szCs w:val="24"/>
        </w:rPr>
        <w:t>, hogy támogassák az engedélyezésre jogosult területi és regionális tisztviselők tevékenységét a programozási folyamat során. 2019 végére a 11. EFA II. és III. technikai együttműködési eszköze keretében összesen 1 592 672,72 EUR-t folyósítottak olyan technikai segítségnyújtási szerződésekre vagy tanulmányokra, amelyek segítettek meghatározni a TOT-ok programozási, ágazati stratégiáit, vagy megállapítani a TOT-ok költségvetés-támogatásra való jogosultságát.</w:t>
      </w:r>
    </w:p>
    <w:p>
      <w:pPr>
        <w:autoSpaceDE w:val="0"/>
        <w:autoSpaceDN w:val="0"/>
        <w:adjustRightInd w:val="0"/>
        <w:spacing w:after="0" w:line="240" w:lineRule="auto"/>
        <w:rPr>
          <w:rFonts w:ascii="Times New Roman" w:hAnsi="Times New Roman" w:cs="Times New Roman"/>
          <w:noProof/>
          <w:color w:val="000000"/>
          <w:sz w:val="24"/>
          <w:szCs w:val="24"/>
        </w:rPr>
      </w:pPr>
    </w:p>
    <w:p>
      <w:pPr>
        <w:pStyle w:val="ListParagraph"/>
        <w:numPr>
          <w:ilvl w:val="0"/>
          <w:numId w:val="2"/>
        </w:num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b/>
          <w:bCs/>
          <w:noProof/>
          <w:color w:val="000000"/>
          <w:sz w:val="24"/>
          <w:szCs w:val="24"/>
        </w:rPr>
        <w:t xml:space="preserve">Regionális együttműködés a 11. EFA keretében </w:t>
      </w:r>
    </w:p>
    <w:p>
      <w:pPr>
        <w:pStyle w:val="ListParagraph"/>
        <w:autoSpaceDE w:val="0"/>
        <w:autoSpaceDN w:val="0"/>
        <w:adjustRightInd w:val="0"/>
        <w:spacing w:after="0" w:line="240" w:lineRule="auto"/>
        <w:rPr>
          <w:rFonts w:ascii="Times New Roman" w:hAnsi="Times New Roman" w:cs="Times New Roman"/>
          <w:noProof/>
          <w:color w:val="000000"/>
          <w:sz w:val="24"/>
          <w:szCs w:val="24"/>
          <w:lang w:val="en-US"/>
        </w:rPr>
      </w:pPr>
    </w:p>
    <w:p>
      <w:pPr>
        <w:autoSpaceDE w:val="0"/>
        <w:autoSpaceDN w:val="0"/>
        <w:adjustRightInd w:val="0"/>
        <w:spacing w:after="0" w:line="240" w:lineRule="auto"/>
        <w:rPr>
          <w:rFonts w:ascii="Times New Roman" w:hAnsi="Times New Roman" w:cs="Times New Roman"/>
          <w:noProof/>
          <w:color w:val="000000"/>
          <w:sz w:val="24"/>
          <w:szCs w:val="24"/>
        </w:rPr>
      </w:pPr>
      <w:r>
        <w:rPr>
          <w:rFonts w:ascii="Times New Roman" w:hAnsi="Times New Roman"/>
          <w:noProof/>
          <w:color w:val="000000"/>
          <w:sz w:val="24"/>
          <w:szCs w:val="24"/>
        </w:rPr>
        <w:t xml:space="preserve">2019-ben jelentős előrelépés történt a 11. EFA keretébe tartozó regionális TOT-programok terén: </w:t>
      </w:r>
    </w:p>
    <w:p>
      <w:pPr>
        <w:autoSpaceDE w:val="0"/>
        <w:autoSpaceDN w:val="0"/>
        <w:adjustRightInd w:val="0"/>
        <w:spacing w:after="0" w:line="240" w:lineRule="auto"/>
        <w:rPr>
          <w:rFonts w:ascii="Times New Roman" w:hAnsi="Times New Roman" w:cs="Times New Roman"/>
          <w:noProof/>
          <w:color w:val="000000"/>
          <w:sz w:val="24"/>
          <w:szCs w:val="24"/>
          <w:lang w:val="en-US"/>
        </w:rPr>
      </w:pPr>
    </w:p>
    <w:p>
      <w:pPr>
        <w:pStyle w:val="ListParagraph"/>
        <w:numPr>
          <w:ilvl w:val="0"/>
          <w:numId w:val="6"/>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A </w:t>
      </w:r>
      <w:r>
        <w:rPr>
          <w:rFonts w:ascii="Times New Roman" w:hAnsi="Times New Roman"/>
          <w:b/>
          <w:bCs/>
          <w:noProof/>
          <w:sz w:val="24"/>
          <w:szCs w:val="24"/>
        </w:rPr>
        <w:t>csendes-óceáni térségben</w:t>
      </w:r>
      <w:r>
        <w:rPr>
          <w:rFonts w:ascii="Times New Roman" w:hAnsi="Times New Roman"/>
          <w:noProof/>
          <w:sz w:val="24"/>
          <w:szCs w:val="24"/>
        </w:rPr>
        <w:t xml:space="preserve"> a „PROTEGE” (</w:t>
      </w:r>
      <w:r>
        <w:rPr>
          <w:rFonts w:ascii="Times New Roman" w:hAnsi="Times New Roman"/>
          <w:i/>
          <w:noProof/>
          <w:sz w:val="24"/>
          <w:szCs w:val="24"/>
        </w:rPr>
        <w:t>Projet régional océanien des territoires pour la gestion durable des écosystèmes</w:t>
      </w:r>
      <w:r>
        <w:rPr>
          <w:rFonts w:ascii="Times New Roman" w:hAnsi="Times New Roman"/>
          <w:noProof/>
          <w:sz w:val="24"/>
          <w:szCs w:val="24"/>
        </w:rPr>
        <w:t>, 36 millió EUR) nevű regionális program a régió fenntartható és reziliens fejlődését támogatja a biológiai sokféleség és a megújuló természeti erőforrások védelme révén. A program a 10. EFA „INTEGRE” (</w:t>
      </w:r>
      <w:r>
        <w:rPr>
          <w:rFonts w:ascii="Times New Roman" w:hAnsi="Times New Roman"/>
          <w:i/>
          <w:iCs/>
          <w:noProof/>
          <w:sz w:val="24"/>
          <w:szCs w:val="24"/>
        </w:rPr>
        <w:t>Initiative des territoires pour la gestion régionale de l’environnement</w:t>
      </w:r>
      <w:r>
        <w:rPr>
          <w:rFonts w:ascii="Times New Roman" w:hAnsi="Times New Roman"/>
          <w:noProof/>
          <w:sz w:val="24"/>
          <w:szCs w:val="24"/>
        </w:rPr>
        <w:t>, 12 millió EUR) nevű regionális programjára épül, amely a tengerparti övezet integrált kezelését és a fenntartható fejlődésre irányuló megerősített regionális együttműködést támogatta. Az első folyósításra (6,8 millió EUR) 2018 decemberében került sor. 2019-ben felvették a csapatot és meghatározták a 4 kiemelt munkaterületet (mezőgazdaság, halászat, víz és invazív fajok), 2019 júliusában pedig megtartották az első irányítóbizottsági megbeszélést.</w:t>
      </w:r>
      <w:r>
        <w:rPr>
          <w:noProof/>
        </w:rPr>
        <w:tab/>
        <w:t xml:space="preserve"> </w:t>
      </w:r>
      <w:r>
        <w:rPr>
          <w:noProof/>
        </w:rPr>
        <w:br/>
      </w:r>
    </w:p>
    <w:p>
      <w:pPr>
        <w:pStyle w:val="ListParagraph"/>
        <w:numPr>
          <w:ilvl w:val="0"/>
          <w:numId w:val="6"/>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A </w:t>
      </w:r>
      <w:r>
        <w:rPr>
          <w:rFonts w:ascii="Times New Roman" w:hAnsi="Times New Roman"/>
          <w:b/>
          <w:bCs/>
          <w:noProof/>
          <w:sz w:val="24"/>
          <w:szCs w:val="24"/>
        </w:rPr>
        <w:t>karib-tengeri térségben</w:t>
      </w:r>
      <w:r>
        <w:rPr>
          <w:rFonts w:ascii="Times New Roman" w:hAnsi="Times New Roman"/>
          <w:noProof/>
          <w:sz w:val="24"/>
          <w:szCs w:val="24"/>
        </w:rPr>
        <w:t xml:space="preserve"> a „Resembid” („</w:t>
      </w:r>
      <w:r>
        <w:rPr>
          <w:rFonts w:ascii="Times New Roman" w:hAnsi="Times New Roman"/>
          <w:i/>
          <w:noProof/>
          <w:sz w:val="24"/>
          <w:szCs w:val="24"/>
        </w:rPr>
        <w:t>Reziliencia, fenntartható energia és tengeri biológiai sokféleség” nevű regionális program</w:t>
      </w:r>
      <w:r>
        <w:rPr>
          <w:rFonts w:ascii="Times New Roman" w:hAnsi="Times New Roman"/>
          <w:noProof/>
          <w:sz w:val="24"/>
          <w:szCs w:val="24"/>
        </w:rPr>
        <w:t>, 40 millió EUR) célja a környezeti szempontból fenntartható gazdasági fejlődés erősítése a rezilienciára, a fenntartható energiára és a tengeri biológiai sokféleségre való összpontosítás révén. A cél az elavult infrastruktúra korszerűsítése és energiahatékonyságának növelése, a tengeri biológiai sokféleség védelmének és az azzal való fenntartható gazdálkodásnak a javítása, valamint a szélsőséges és ismétlődő természeti eseményekkel szembeni reziliencia növelése. 2019-ben 3,62 millió EUR-t folyósítottak.</w:t>
      </w:r>
    </w:p>
    <w:p>
      <w:pPr>
        <w:pStyle w:val="ListParagraph"/>
        <w:spacing w:line="240" w:lineRule="auto"/>
        <w:jc w:val="both"/>
        <w:rPr>
          <w:rFonts w:ascii="Times New Roman" w:hAnsi="Times New Roman" w:cs="Times New Roman"/>
          <w:noProof/>
          <w:sz w:val="24"/>
          <w:szCs w:val="24"/>
        </w:rPr>
      </w:pPr>
    </w:p>
    <w:p>
      <w:pPr>
        <w:pStyle w:val="ListParagraph"/>
        <w:numPr>
          <w:ilvl w:val="0"/>
          <w:numId w:val="6"/>
        </w:numPr>
        <w:spacing w:line="240" w:lineRule="auto"/>
        <w:jc w:val="both"/>
        <w:rPr>
          <w:rFonts w:ascii="Times New Roman" w:hAnsi="Times New Roman" w:cs="Times New Roman"/>
          <w:noProof/>
          <w:sz w:val="24"/>
          <w:szCs w:val="24"/>
        </w:rPr>
      </w:pPr>
      <w:r>
        <w:rPr>
          <w:rFonts w:ascii="Times New Roman" w:hAnsi="Times New Roman"/>
          <w:noProof/>
          <w:sz w:val="24"/>
          <w:szCs w:val="24"/>
        </w:rPr>
        <w:t>Az</w:t>
      </w:r>
      <w:r>
        <w:rPr>
          <w:rFonts w:ascii="Times New Roman" w:hAnsi="Times New Roman"/>
          <w:b/>
          <w:bCs/>
          <w:noProof/>
          <w:sz w:val="24"/>
          <w:szCs w:val="24"/>
        </w:rPr>
        <w:t xml:space="preserve"> indiai-óceáni térségre</w:t>
      </w:r>
      <w:r>
        <w:rPr>
          <w:rFonts w:ascii="Times New Roman" w:hAnsi="Times New Roman"/>
          <w:noProof/>
          <w:sz w:val="24"/>
          <w:szCs w:val="24"/>
        </w:rPr>
        <w:t xml:space="preserve"> vonatkozó regionális program (</w:t>
      </w:r>
      <w:r>
        <w:rPr>
          <w:rFonts w:ascii="Times New Roman" w:hAnsi="Times New Roman"/>
          <w:i/>
          <w:iCs/>
          <w:noProof/>
          <w:sz w:val="24"/>
          <w:szCs w:val="24"/>
        </w:rPr>
        <w:t>Programme Régional d’appui dans le secteur de l’observation, de la gestion et de la préservation des écosystèmes terrestres et marins</w:t>
      </w:r>
      <w:r>
        <w:rPr>
          <w:rFonts w:ascii="Times New Roman" w:hAnsi="Times New Roman"/>
          <w:noProof/>
          <w:sz w:val="24"/>
          <w:szCs w:val="24"/>
        </w:rPr>
        <w:t>; 4 millió EUR) célja a szárazföldi és tengeri ökoszisztéma felügyeletének és megfigyelésének javítása a Francia Déli és Antarktiszi Területeken, továbbá az ökoszisztémák helyreállítása és a hatásmegelőző mechanizmusok megerősítése. 2019 júliusában hatáskör-átruházási megállapodást írtak alá az „Agence Française de Développement”-tel, majd 1,4 millió EUR-t folyósítottak.</w:t>
      </w:r>
      <w:r>
        <w:rPr>
          <w:noProof/>
        </w:rPr>
        <w:tab/>
        <w:t xml:space="preserve"> </w:t>
      </w:r>
      <w:r>
        <w:rPr>
          <w:noProof/>
        </w:rPr>
        <w:br/>
      </w:r>
    </w:p>
    <w:p>
      <w:pPr>
        <w:pStyle w:val="ListParagraph"/>
        <w:numPr>
          <w:ilvl w:val="0"/>
          <w:numId w:val="6"/>
        </w:numPr>
        <w:autoSpaceDE w:val="0"/>
        <w:autoSpaceDN w:val="0"/>
        <w:adjustRightInd w:val="0"/>
        <w:spacing w:after="167" w:line="240" w:lineRule="auto"/>
        <w:jc w:val="both"/>
        <w:rPr>
          <w:rFonts w:ascii="Times New Roman" w:hAnsi="Times New Roman" w:cs="Times New Roman"/>
          <w:noProof/>
          <w:sz w:val="24"/>
          <w:szCs w:val="24"/>
        </w:rPr>
      </w:pPr>
      <w:r>
        <w:rPr>
          <w:rFonts w:ascii="Times New Roman" w:hAnsi="Times New Roman"/>
          <w:noProof/>
          <w:sz w:val="24"/>
          <w:szCs w:val="24"/>
        </w:rPr>
        <w:t xml:space="preserve">A </w:t>
      </w:r>
      <w:r>
        <w:rPr>
          <w:rFonts w:ascii="Times New Roman" w:hAnsi="Times New Roman"/>
          <w:b/>
          <w:noProof/>
          <w:sz w:val="24"/>
          <w:szCs w:val="24"/>
        </w:rPr>
        <w:t>11. EFA összes TOT-ra kiterjedő tematikus programját</w:t>
      </w:r>
      <w:r>
        <w:rPr>
          <w:rFonts w:ascii="Times New Roman" w:hAnsi="Times New Roman"/>
          <w:noProof/>
          <w:sz w:val="24"/>
          <w:szCs w:val="24"/>
        </w:rPr>
        <w:t xml:space="preserve"> (17,8 millió EUR) illetően a programozási dokumentumot 2019 márciusában fogadták el. Ez a program a természeti erőforrások fenntartható hasznosítására összpontosít, a fenntartható energiát és az éghajlatváltozást – beleértve a katasztrófakockázatok csökkentését – pedig alkomponensként határozták meg. A tervek szerint 2020-ban írják alá a szerződést a kiválasztott végrehajtó ügynökséggel.</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Végezetül, az EU 2019-ben </w:t>
      </w:r>
      <w:r>
        <w:rPr>
          <w:rFonts w:ascii="Times New Roman" w:hAnsi="Times New Roman"/>
          <w:b/>
          <w:bCs/>
          <w:noProof/>
          <w:color w:val="000000"/>
          <w:sz w:val="24"/>
          <w:szCs w:val="24"/>
        </w:rPr>
        <w:t>működési támogatás formájában</w:t>
      </w:r>
      <w:r>
        <w:rPr>
          <w:rFonts w:ascii="Times New Roman" w:hAnsi="Times New Roman"/>
          <w:noProof/>
          <w:color w:val="000000"/>
          <w:sz w:val="24"/>
          <w:szCs w:val="24"/>
        </w:rPr>
        <w:t xml:space="preserve"> (550 000 EUR) támogatást nyújtott a </w:t>
      </w:r>
      <w:r>
        <w:rPr>
          <w:rFonts w:ascii="Times New Roman" w:hAnsi="Times New Roman"/>
          <w:b/>
          <w:bCs/>
          <w:noProof/>
          <w:color w:val="000000"/>
          <w:sz w:val="24"/>
          <w:szCs w:val="24"/>
        </w:rPr>
        <w:t>Tengerentúli Országok és Területek Társulásának</w:t>
      </w:r>
      <w:r>
        <w:rPr>
          <w:rFonts w:ascii="Times New Roman" w:hAnsi="Times New Roman"/>
          <w:noProof/>
          <w:color w:val="000000"/>
          <w:sz w:val="24"/>
          <w:szCs w:val="24"/>
        </w:rPr>
        <w:t xml:space="preserve"> (a továbbiakban: </w:t>
      </w:r>
      <w:r>
        <w:rPr>
          <w:rFonts w:ascii="Times New Roman" w:hAnsi="Times New Roman"/>
          <w:b/>
          <w:bCs/>
          <w:noProof/>
          <w:color w:val="000000"/>
          <w:sz w:val="24"/>
          <w:szCs w:val="24"/>
        </w:rPr>
        <w:t>TOTT</w:t>
      </w:r>
      <w:r>
        <w:rPr>
          <w:rFonts w:ascii="Times New Roman" w:hAnsi="Times New Roman"/>
          <w:noProof/>
          <w:color w:val="000000"/>
          <w:sz w:val="24"/>
          <w:szCs w:val="24"/>
        </w:rPr>
        <w:t>). Ez lehetővé tette a társulás számára, hogy felkészültebben hajtsa végre megbízatását, különös tekintettel a TOT-partnerek koordinálására, melynek célja az EU-val folytatott párbeszéd elősegítése, a partnerség előmozdítása, valamint a tagok kollektív munkájának támogatása az EU–TOT társulás közös érdekű számos területén.</w:t>
      </w:r>
    </w:p>
    <w:p>
      <w:pPr>
        <w:autoSpaceDE w:val="0"/>
        <w:autoSpaceDN w:val="0"/>
        <w:adjustRightInd w:val="0"/>
        <w:spacing w:after="0" w:line="240" w:lineRule="auto"/>
        <w:rPr>
          <w:rFonts w:ascii="Times New Roman" w:hAnsi="Times New Roman" w:cs="Times New Roman"/>
          <w:noProof/>
          <w:color w:val="000000"/>
          <w:sz w:val="24"/>
          <w:szCs w:val="24"/>
        </w:rPr>
      </w:pPr>
    </w:p>
    <w:p>
      <w:pPr>
        <w:pStyle w:val="ListParagraph"/>
        <w:numPr>
          <w:ilvl w:val="0"/>
          <w:numId w:val="2"/>
        </w:numPr>
        <w:autoSpaceDE w:val="0"/>
        <w:autoSpaceDN w:val="0"/>
        <w:adjustRightInd w:val="0"/>
        <w:spacing w:after="0" w:line="240" w:lineRule="auto"/>
        <w:rPr>
          <w:rFonts w:ascii="Times New Roman" w:hAnsi="Times New Roman" w:cs="Times New Roman"/>
          <w:b/>
          <w:bCs/>
          <w:noProof/>
          <w:color w:val="000000"/>
          <w:sz w:val="24"/>
          <w:szCs w:val="24"/>
        </w:rPr>
      </w:pPr>
      <w:r>
        <w:rPr>
          <w:rFonts w:ascii="Times New Roman" w:hAnsi="Times New Roman"/>
          <w:b/>
          <w:bCs/>
          <w:noProof/>
          <w:color w:val="000000"/>
          <w:sz w:val="24"/>
          <w:szCs w:val="24"/>
        </w:rPr>
        <w:t xml:space="preserve">Intézményi párbeszéd </w:t>
      </w:r>
    </w:p>
    <w:p>
      <w:pPr>
        <w:pStyle w:val="ListParagraph"/>
        <w:autoSpaceDE w:val="0"/>
        <w:autoSpaceDN w:val="0"/>
        <w:adjustRightInd w:val="0"/>
        <w:spacing w:after="0" w:line="240" w:lineRule="auto"/>
        <w:rPr>
          <w:rFonts w:ascii="Times New Roman" w:hAnsi="Times New Roman" w:cs="Times New Roman"/>
          <w:noProof/>
          <w:color w:val="000000"/>
          <w:sz w:val="24"/>
          <w:szCs w:val="24"/>
          <w:lang w:val="en-US"/>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A társulás a párbeszéd három fórumát határozza meg:</w:t>
      </w:r>
    </w:p>
    <w:p>
      <w:pPr>
        <w:autoSpaceDE w:val="0"/>
        <w:autoSpaceDN w:val="0"/>
        <w:adjustRightInd w:val="0"/>
        <w:spacing w:after="0" w:line="240" w:lineRule="auto"/>
        <w:jc w:val="both"/>
        <w:rPr>
          <w:rFonts w:ascii="Times New Roman" w:hAnsi="Times New Roman" w:cs="Times New Roman"/>
          <w:noProof/>
          <w:color w:val="000000"/>
          <w:sz w:val="24"/>
          <w:szCs w:val="24"/>
          <w:lang w:val="en-US"/>
        </w:rPr>
      </w:pPr>
    </w:p>
    <w:p>
      <w:pPr>
        <w:autoSpaceDE w:val="0"/>
        <w:autoSpaceDN w:val="0"/>
        <w:adjustRightInd w:val="0"/>
        <w:spacing w:after="0" w:line="240" w:lineRule="auto"/>
        <w:jc w:val="both"/>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A TOT–EU fórum </w:t>
      </w:r>
    </w:p>
    <w:p>
      <w:pPr>
        <w:autoSpaceDE w:val="0"/>
        <w:autoSpaceDN w:val="0"/>
        <w:adjustRightInd w:val="0"/>
        <w:spacing w:after="0" w:line="240" w:lineRule="auto"/>
        <w:jc w:val="both"/>
        <w:rPr>
          <w:rFonts w:ascii="Times New Roman" w:hAnsi="Times New Roman" w:cs="Times New Roman"/>
          <w:noProof/>
          <w:color w:val="000000"/>
          <w:sz w:val="24"/>
          <w:szCs w:val="24"/>
          <w:u w:val="single"/>
          <w:lang w:val="fr-BE"/>
        </w:rPr>
      </w:pP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A 17. TOT–EU fórumot 2019 márciusában Francia Polinéziában tartották</w:t>
      </w:r>
      <w:r>
        <w:rPr>
          <w:rFonts w:ascii="Times New Roman" w:hAnsi="Times New Roman"/>
          <w:noProof/>
          <w:sz w:val="24"/>
          <w:szCs w:val="24"/>
        </w:rPr>
        <w:t xml:space="preserve"> a TOT-ok és a tagállamok magas rangú képviselőinek részvételével, valamint Neven Mimica nemzetközi együttműködésért és fejlesztésért felelős európai biztosnak, a fórum elnökének jelenlétében.  </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b/>
          <w:bCs/>
          <w:noProof/>
          <w:sz w:val="24"/>
          <w:szCs w:val="24"/>
        </w:rPr>
        <w:t>A 17. TOT–EU fórum következtetéseiben</w:t>
      </w:r>
      <w:r>
        <w:rPr>
          <w:rFonts w:ascii="Times New Roman" w:hAnsi="Times New Roman"/>
          <w:noProof/>
          <w:sz w:val="24"/>
          <w:szCs w:val="24"/>
        </w:rPr>
        <w:t xml:space="preserve"> az EU, a TOT-ok és a TOT-okkal kapcsolatban álló tagállamok elismerték, hogy 2019 fontos fordulópont volt a TOT-ok és az EU közötti kapcsolatok jövője szempontjából: megtárgyalták az új tengerentúli társulási határozatot, az EU 2021–2027-re szóló többéves pénzügyi keretét, a brexit folyamatát és a Cotonou utáni keretet.</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A fórummal párhuzamosan a TOT-okkal kapcsolatban álló tagállamok képviselői (az előbbiek számítottak a tengerentúli területekért felelős francia miniszter részvételére), a TOT-ok küldöttségvezetői és a biztos </w:t>
      </w:r>
      <w:r>
        <w:rPr>
          <w:rFonts w:ascii="Times New Roman" w:hAnsi="Times New Roman"/>
          <w:b/>
          <w:bCs/>
          <w:noProof/>
          <w:color w:val="000000"/>
          <w:sz w:val="24"/>
          <w:szCs w:val="24"/>
        </w:rPr>
        <w:t>politikai szinten háromoldalú találkozókat tartottak</w:t>
      </w:r>
      <w:r>
        <w:rPr>
          <w:rFonts w:ascii="Times New Roman" w:hAnsi="Times New Roman"/>
          <w:noProof/>
          <w:color w:val="000000"/>
          <w:sz w:val="24"/>
          <w:szCs w:val="24"/>
        </w:rPr>
        <w:t xml:space="preserve"> (2019. március 1.), amelyek lehetőséget nyújtottak a TOT-ok és az EU közötti 2020 utáni partnerség megvitatására. Egy technikai műhelytalálkozót is tartottak </w:t>
      </w:r>
      <w:r>
        <w:rPr>
          <w:rFonts w:ascii="Times New Roman" w:hAnsi="Times New Roman"/>
          <w:b/>
          <w:noProof/>
          <w:color w:val="000000"/>
          <w:sz w:val="24"/>
          <w:szCs w:val="24"/>
        </w:rPr>
        <w:t>„Regionális együttműködés révén megvalósuló fenntartható fejlődés”</w:t>
      </w:r>
      <w:r>
        <w:rPr>
          <w:rFonts w:ascii="Times New Roman" w:hAnsi="Times New Roman"/>
          <w:noProof/>
          <w:color w:val="000000"/>
          <w:sz w:val="24"/>
          <w:szCs w:val="24"/>
        </w:rPr>
        <w:t xml:space="preserve"> címmel. </w:t>
      </w:r>
      <w:r>
        <w:rPr>
          <w:rFonts w:ascii="Times New Roman" w:hAnsi="Times New Roman"/>
          <w:noProof/>
          <w:sz w:val="24"/>
          <w:szCs w:val="24"/>
        </w:rPr>
        <w:t xml:space="preserve">Ez jó lehetőség volt annak megvitatására, hogy a TOT-ok milyen szerepet játszhatnak a szomszédságukban a regionális együttműködés megerősítésében. </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Háromoldalú konzultációk (háromoldalú találkozók)</w:t>
      </w:r>
    </w:p>
    <w:p>
      <w:pPr>
        <w:autoSpaceDE w:val="0"/>
        <w:autoSpaceDN w:val="0"/>
        <w:adjustRightInd w:val="0"/>
        <w:spacing w:after="0" w:line="240" w:lineRule="auto"/>
        <w:rPr>
          <w:rFonts w:ascii="Times New Roman" w:hAnsi="Times New Roman" w:cs="Times New Roman"/>
          <w:noProof/>
          <w:color w:val="000000"/>
          <w:sz w:val="24"/>
          <w:szCs w:val="24"/>
        </w:rPr>
      </w:pPr>
    </w:p>
    <w:p>
      <w:pPr>
        <w:pStyle w:val="Default"/>
        <w:jc w:val="both"/>
        <w:rPr>
          <w:rFonts w:ascii="Times New Roman" w:hAnsi="Times New Roman" w:cs="Times New Roman"/>
          <w:noProof/>
          <w:color w:val="auto"/>
        </w:rPr>
      </w:pPr>
      <w:r>
        <w:rPr>
          <w:rFonts w:ascii="Times New Roman" w:hAnsi="Times New Roman"/>
          <w:b/>
          <w:noProof/>
        </w:rPr>
        <w:t>2019-ben</w:t>
      </w:r>
      <w:r>
        <w:rPr>
          <w:rFonts w:ascii="Times New Roman" w:hAnsi="Times New Roman"/>
          <w:noProof/>
        </w:rPr>
        <w:t xml:space="preserve"> (áprilisban, júliusban és októberben) Brüsszelben </w:t>
      </w:r>
      <w:r>
        <w:rPr>
          <w:rFonts w:ascii="Times New Roman" w:hAnsi="Times New Roman"/>
          <w:b/>
          <w:noProof/>
        </w:rPr>
        <w:t>három háromoldalú találkozóra került sor a Bizottság (elnök), a TOT-ok képviselői és a TOT-okkal kapcsolatban álló tagállamok között</w:t>
      </w:r>
      <w:r>
        <w:rPr>
          <w:rFonts w:ascii="Times New Roman" w:hAnsi="Times New Roman"/>
          <w:noProof/>
        </w:rPr>
        <w:t>, platformot biztosítva a párbeszédhez a lényeges információk megosztása, a közös érdekű kiemelt témákról való egyeztetés és a társulási határozat végrehajtása terén tett előrelépés nyomon követése céljából.</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 xml:space="preserve">Partnerségi munkacsoportok </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2019 júliusában rendezték meg </w:t>
      </w:r>
      <w:r>
        <w:rPr>
          <w:rFonts w:ascii="Times New Roman" w:hAnsi="Times New Roman"/>
          <w:b/>
          <w:noProof/>
          <w:color w:val="000000"/>
          <w:sz w:val="24"/>
          <w:szCs w:val="24"/>
        </w:rPr>
        <w:t>a környezetvédelemmel, éghajlatváltozással és fenntartható energiával</w:t>
      </w:r>
      <w:r>
        <w:rPr>
          <w:rFonts w:ascii="Times New Roman" w:hAnsi="Times New Roman"/>
          <w:noProof/>
          <w:color w:val="000000"/>
          <w:sz w:val="24"/>
          <w:szCs w:val="24"/>
        </w:rPr>
        <w:t xml:space="preserve"> foglalkozó partnerségi munkacsoport találkozóját, melynek keretében elsősorban az EU politikáival, valamint az Oceans, a Best és a LIFE programra vonatkozó kezdeményezésekkel kapcsolatos különböző szempontokról cseréltek véleményt. </w:t>
      </w:r>
    </w:p>
    <w:p>
      <w:pPr>
        <w:pStyle w:val="Default"/>
        <w:jc w:val="both"/>
        <w:rPr>
          <w:rStyle w:val="A0"/>
          <w:rFonts w:ascii="Times New Roman" w:hAnsi="Times New Roman" w:cs="Times New Roman"/>
          <w:noProof/>
          <w:sz w:val="24"/>
          <w:szCs w:val="24"/>
        </w:rPr>
      </w:pPr>
      <w:r>
        <w:rPr>
          <w:rFonts w:ascii="Times New Roman" w:hAnsi="Times New Roman"/>
          <w:noProof/>
        </w:rPr>
        <w:t xml:space="preserve">Az intézményi kereten és a különböző egyeztetéseken kívül </w:t>
      </w:r>
      <w:r>
        <w:rPr>
          <w:rFonts w:ascii="Times New Roman" w:hAnsi="Times New Roman"/>
          <w:b/>
          <w:noProof/>
        </w:rPr>
        <w:t>a TOTT</w:t>
      </w:r>
      <w:r>
        <w:rPr>
          <w:rFonts w:ascii="Times New Roman" w:hAnsi="Times New Roman"/>
          <w:noProof/>
        </w:rPr>
        <w:t xml:space="preserve"> 2019-ben </w:t>
      </w:r>
      <w:r>
        <w:rPr>
          <w:rFonts w:ascii="Times New Roman" w:hAnsi="Times New Roman"/>
          <w:b/>
          <w:noProof/>
        </w:rPr>
        <w:t>három eseményt szervezett a Bizottság támogatásával</w:t>
      </w:r>
      <w:r>
        <w:rPr>
          <w:rFonts w:ascii="Times New Roman" w:hAnsi="Times New Roman"/>
          <w:noProof/>
        </w:rPr>
        <w:t xml:space="preserve">. Októberben Brüsszelben tartották a „From the Poles to the Tropics, OCT’s Blue Landscape” (A sarkköröktől a trópusokig, a TOT-ok kék tájai) elnevezésű </w:t>
      </w:r>
      <w:r>
        <w:rPr>
          <w:rFonts w:ascii="Times New Roman" w:hAnsi="Times New Roman"/>
          <w:b/>
          <w:noProof/>
        </w:rPr>
        <w:t>konferenciát,</w:t>
      </w:r>
      <w:r>
        <w:rPr>
          <w:rFonts w:ascii="Times New Roman" w:hAnsi="Times New Roman"/>
          <w:noProof/>
        </w:rPr>
        <w:t xml:space="preserve"> amelynek eredményeként aláírták a </w:t>
      </w:r>
      <w:r>
        <w:rPr>
          <w:rFonts w:ascii="Times New Roman" w:hAnsi="Times New Roman"/>
          <w:b/>
          <w:noProof/>
        </w:rPr>
        <w:t>TOT-ok óceánokról szóló nyilatkozatát</w:t>
      </w:r>
      <w:r>
        <w:rPr>
          <w:rFonts w:ascii="Times New Roman" w:hAnsi="Times New Roman"/>
          <w:noProof/>
        </w:rPr>
        <w:t xml:space="preserve">, kiemelve az óceánok megőrzése, valamint társadalmi és gazdasági értékeik növelése melletti elkötelezettségüket. 2019 decemberében </w:t>
      </w:r>
      <w:r>
        <w:rPr>
          <w:rFonts w:ascii="Times New Roman" w:hAnsi="Times New Roman"/>
          <w:b/>
          <w:bCs/>
          <w:noProof/>
        </w:rPr>
        <w:t>a fenntartható energiáról szóló műhelytalálkozót</w:t>
      </w:r>
      <w:r>
        <w:rPr>
          <w:rFonts w:ascii="Times New Roman" w:hAnsi="Times New Roman"/>
          <w:noProof/>
        </w:rPr>
        <w:t xml:space="preserve"> szerveztek. A találkozó lehetővé tette, hogy a TOT-ok energetikai szakértői és a Bizottság megvitassák ezt a közös érdekű témát. A TOT-ok ismertették a 2015-ben aláírt energiaügyi ütemterveik végrehajtása terén elért haladást. Végezetül, 2019 decemberében a TOTT </w:t>
      </w:r>
      <w:r>
        <w:rPr>
          <w:rFonts w:ascii="Times New Roman" w:hAnsi="Times New Roman"/>
          <w:b/>
          <w:noProof/>
        </w:rPr>
        <w:t>uniós programokról szóló műhelytalálkozót</w:t>
      </w:r>
      <w:r>
        <w:rPr>
          <w:rFonts w:ascii="Times New Roman" w:hAnsi="Times New Roman"/>
          <w:noProof/>
        </w:rPr>
        <w:t xml:space="preserve"> szervezett, hogy </w:t>
      </w:r>
      <w:r>
        <w:rPr>
          <w:rStyle w:val="A0"/>
          <w:rFonts w:ascii="Times New Roman" w:hAnsi="Times New Roman"/>
          <w:noProof/>
          <w:sz w:val="24"/>
          <w:szCs w:val="24"/>
        </w:rPr>
        <w:t xml:space="preserve">megosszák az uniós programokkal és a TOT-ok finanszírozási lehetőségeivel kapcsolatos információkat. </w:t>
      </w:r>
    </w:p>
    <w:p>
      <w:pPr>
        <w:pStyle w:val="Default"/>
        <w:jc w:val="both"/>
        <w:rPr>
          <w:rFonts w:ascii="Times New Roman" w:hAnsi="Times New Roman" w:cs="Times New Roman"/>
          <w:noProof/>
        </w:rPr>
      </w:pPr>
    </w:p>
    <w:p>
      <w:pPr>
        <w:pStyle w:val="Default"/>
        <w:rPr>
          <w:rFonts w:ascii="Times New Roman" w:hAnsi="Times New Roman" w:cs="Times New Roman"/>
          <w:noProof/>
        </w:rPr>
      </w:pPr>
    </w:p>
    <w:p>
      <w:pPr>
        <w:pStyle w:val="ListParagraph"/>
        <w:numPr>
          <w:ilvl w:val="0"/>
          <w:numId w:val="2"/>
        </w:numPr>
        <w:autoSpaceDE w:val="0"/>
        <w:autoSpaceDN w:val="0"/>
        <w:adjustRightInd w:val="0"/>
        <w:spacing w:after="0" w:line="240" w:lineRule="auto"/>
        <w:rPr>
          <w:rFonts w:ascii="Times New Roman" w:hAnsi="Times New Roman" w:cs="Times New Roman"/>
          <w:b/>
          <w:bCs/>
          <w:noProof/>
          <w:color w:val="000000"/>
          <w:sz w:val="24"/>
          <w:szCs w:val="24"/>
        </w:rPr>
      </w:pPr>
      <w:r>
        <w:rPr>
          <w:rFonts w:ascii="Times New Roman" w:hAnsi="Times New Roman"/>
          <w:b/>
          <w:bCs/>
          <w:noProof/>
          <w:color w:val="000000"/>
          <w:sz w:val="24"/>
          <w:szCs w:val="24"/>
        </w:rPr>
        <w:t xml:space="preserve">Európai Beruházási Bank  </w:t>
      </w:r>
    </w:p>
    <w:p>
      <w:pPr>
        <w:autoSpaceDE w:val="0"/>
        <w:autoSpaceDN w:val="0"/>
        <w:adjustRightInd w:val="0"/>
        <w:spacing w:after="0" w:line="240" w:lineRule="auto"/>
        <w:rPr>
          <w:rFonts w:ascii="Times New Roman" w:hAnsi="Times New Roman" w:cs="Times New Roman"/>
          <w:noProof/>
          <w:color w:val="000000"/>
          <w:sz w:val="24"/>
          <w:szCs w:val="24"/>
          <w:lang w:val="en-US"/>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sz w:val="24"/>
          <w:szCs w:val="24"/>
        </w:rPr>
        <w:t>A tengerentúli társulási határozat az Európai Beruházási Bank (EBB) által kezelt következő pénzügyi mechanizmusok révén nyújt pénzügyi támogatást a TOT-oknak a 2014–2020 közötti időszakban a 3. pénzügyi jegyzőkönyv szerint:</w:t>
      </w:r>
      <w:r>
        <w:rPr>
          <w:rFonts w:ascii="Times New Roman" w:hAnsi="Times New Roman"/>
          <w:noProof/>
          <w:color w:val="000000"/>
          <w:sz w:val="24"/>
          <w:szCs w:val="24"/>
        </w:rPr>
        <w:t xml:space="preserve"> a TOT beruházási eszköz (jelenlegi tőkeellátottság: 48,5 millió EUR), kamattámogatások és a technikai segítségnyújtás finanszírozása (5 millió EUR) és az EBB saját forrásai (legfeljebb 100 millió EUR).</w:t>
      </w:r>
      <w:r>
        <w:rPr>
          <w:rFonts w:ascii="Times New Roman" w:hAnsi="Times New Roman"/>
          <w:noProof/>
        </w:rPr>
        <w:t xml:space="preserve"> </w:t>
      </w:r>
    </w:p>
    <w:p>
      <w:pPr>
        <w:autoSpaceDE w:val="0"/>
        <w:autoSpaceDN w:val="0"/>
        <w:adjustRightInd w:val="0"/>
        <w:spacing w:after="0" w:line="240" w:lineRule="auto"/>
        <w:jc w:val="both"/>
        <w:rPr>
          <w:rFonts w:ascii="Times New Roman" w:hAnsi="Times New Roman" w:cs="Times New Roman"/>
          <w:noProof/>
          <w:color w:val="000000"/>
          <w:sz w:val="24"/>
          <w:szCs w:val="24"/>
          <w:lang w:val="en-US"/>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Az </w:t>
      </w:r>
      <w:r>
        <w:rPr>
          <w:rFonts w:ascii="Times New Roman" w:hAnsi="Times New Roman"/>
          <w:b/>
          <w:noProof/>
          <w:color w:val="000000"/>
          <w:sz w:val="24"/>
          <w:szCs w:val="24"/>
        </w:rPr>
        <w:t>EBB TOT beruházási eszköze</w:t>
      </w:r>
      <w:r>
        <w:rPr>
          <w:rFonts w:ascii="Times New Roman" w:hAnsi="Times New Roman"/>
          <w:noProof/>
          <w:color w:val="000000"/>
          <w:sz w:val="24"/>
          <w:szCs w:val="24"/>
        </w:rPr>
        <w:t xml:space="preserve"> keretében egy új műveletet írtak alá 2019 júliusában Új-Kaledónia vonatkozásában (24 millió EUR), amelynek célja a távoli területeken található vállalkozások és a nagyon kis vállalkozások hitelfelvételének finanszírozása. 2019 végén összesen 85,39 millió EUR összegű egyéb művelet volt folyamatban. Ez az összeg meghaladja az eredeti tőkeellátottság összegét, mert az alap rulírozó, és egyes visszaáramlásokból újra kölcsönöket nyújtottak.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Ami a </w:t>
      </w:r>
      <w:r>
        <w:rPr>
          <w:rFonts w:ascii="Times New Roman" w:hAnsi="Times New Roman"/>
          <w:b/>
          <w:noProof/>
          <w:color w:val="000000"/>
          <w:sz w:val="24"/>
          <w:szCs w:val="24"/>
        </w:rPr>
        <w:t>kamattámogatások és a technikai segítségnyújtás</w:t>
      </w:r>
      <w:r>
        <w:rPr>
          <w:rFonts w:ascii="Times New Roman" w:hAnsi="Times New Roman"/>
          <w:noProof/>
          <w:color w:val="000000"/>
          <w:sz w:val="24"/>
          <w:szCs w:val="24"/>
        </w:rPr>
        <w:t xml:space="preserve"> pénzügyi keretét illeti, az EBB 2019-ben 4,25 millió EUR összeget írt alá a Sint Maarten repülőterével kapcsolatos művelethez (lásd lent).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Az </w:t>
      </w:r>
      <w:r>
        <w:rPr>
          <w:rFonts w:ascii="Times New Roman" w:hAnsi="Times New Roman"/>
          <w:b/>
          <w:noProof/>
          <w:color w:val="000000"/>
          <w:sz w:val="24"/>
          <w:szCs w:val="24"/>
        </w:rPr>
        <w:t xml:space="preserve">EBB TOT-okra elkülönített saját forrásai keretében </w:t>
      </w:r>
      <w:r>
        <w:rPr>
          <w:rFonts w:ascii="Times New Roman" w:hAnsi="Times New Roman"/>
          <w:noProof/>
          <w:color w:val="000000"/>
          <w:sz w:val="24"/>
          <w:szCs w:val="24"/>
        </w:rPr>
        <w:t xml:space="preserve">az EBB 2019 decemberében 44,3 millió EUR összeget írt alá Sint Maarten repülőterének hurrikán utáni újjáépítése céljából.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cs="Times New Roman"/>
          <w:noProof/>
          <w:color w:val="auto"/>
        </w:rPr>
      </w:pPr>
      <w:r>
        <w:rPr>
          <w:rFonts w:ascii="Times New Roman" w:hAnsi="Times New Roman"/>
          <w:noProof/>
          <w:color w:val="auto"/>
        </w:rPr>
        <w:t xml:space="preserve">A fennmaradó források tekintetében a tervezett projekteket nyomon követik a rendelkezésre álló források 2020 végéig történő teljes körű felhasználása céljából. </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p>
    <w:p>
      <w:pPr>
        <w:autoSpaceDE w:val="0"/>
        <w:autoSpaceDN w:val="0"/>
        <w:adjustRightInd w:val="0"/>
        <w:spacing w:after="0" w:line="240" w:lineRule="auto"/>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 xml:space="preserve">Előretekintés </w:t>
      </w:r>
    </w:p>
    <w:p>
      <w:pPr>
        <w:autoSpaceDE w:val="0"/>
        <w:autoSpaceDN w:val="0"/>
        <w:adjustRightInd w:val="0"/>
        <w:spacing w:after="0" w:line="240" w:lineRule="auto"/>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A 2020. év fontos fordulópont lesz a TOT-ok és az EU közötti kapcsolatok jövője szempontjából: az EU 2021–2027-re szóló többéves pénzügyi keretéhez kapcsolódóan várhatóan lezárulnak az új társulási határozatra irányuló javaslatról szóló tárgyalások, ideértve Grönlandot is. Ez az év alapvető fontosságú év lesz a Cotonou utáni keretről és a Szomszédsági, Fejlesztési és Nemzetközi Együttműködési Eszközről szóló tárgyalások szempontjából is. Emellett 2020-ban az Egyesült Királyság ki fog lépni az EU-ból, ami szintén érinti a TOT-csoportot. </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Ebben az összefüggésben különösen fontos a TOT-okkal való párbeszéd megerősítése. Ezt a folyamatot a TOT-társulásnak és a TOT-oknak a technikai együttműködési eszköz keretében nyújtott folyamatos támogatás fogja alátámasztani. </w:t>
      </w:r>
      <w:r>
        <w:rPr>
          <w:noProof/>
        </w:rPr>
        <w:tab/>
      </w:r>
    </w:p>
    <w:p>
      <w:pPr>
        <w:pStyle w:val="Default"/>
        <w:jc w:val="both"/>
        <w:rPr>
          <w:rFonts w:ascii="Times New Roman" w:hAnsi="Times New Roman" w:cs="Times New Roman"/>
          <w:noProof/>
        </w:rPr>
      </w:pPr>
      <w:r>
        <w:rPr>
          <w:rFonts w:ascii="Times New Roman" w:hAnsi="Times New Roman"/>
          <w:noProof/>
        </w:rPr>
        <w:t xml:space="preserve">Végezetül, döntő fontosságú lesz az előrelépés a fent említett két, még folyamatban lévő területi program programozása terén annak biztosítása érdekében, hogy azokat 2020 vége előtt el lehessen fogadni, és le lehessen kötni a 11. EFA keretében a TOT-ok rendelkezésére álló teljes keretösszeget.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246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A Tanács 2013/755/EU határozata az Európai Unió és a tengerentúli országok és területek társulásáról.</w:t>
      </w:r>
    </w:p>
  </w:footnote>
  <w:footnote w:id="2">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2020. január 31-ig az EU tengerentúli országai és területei a következő négy uniós tagállamhoz tartoztak: Dánia, Franciaország, Egyesült Királyság és Hollandia. Az EU 25 tengerentúli országa és területe a következő volt: Anguilla, Aruba, Bermuda, Bonaire, Brit Antarktiszi Terület, Brit Indiai-óceáni Terület, Brit Virgin-szigetek, Kajmán-szigetek, Curaçao, Falkland-szigetek, Francia Polinézia, Francia Déli és Antarktiszi Területek, Grönland, Montserrat, Új-Kaledónia, Pitcairn-szigetek, Saba, Szent Ilona és a hozzátartozó területek, Saint Martin, Saint-Pierre és Miquelon, Saint-Barthélemy, St Eustatius, Déli-Georgia és Déli-Sandwich-szigetek, Turks- és Caicos-szigetek, Wallis- és Futuna-szigetek.</w:t>
      </w:r>
    </w:p>
    <w:p>
      <w:pPr>
        <w:pStyle w:val="FootnoteText"/>
        <w:jc w:val="both"/>
        <w:rPr>
          <w:rFonts w:ascii="Times New Roman" w:hAnsi="Times New Roman" w:cs="Times New Roman"/>
          <w:vertAlign w:val="superscript"/>
        </w:rPr>
      </w:pPr>
      <w:r>
        <w:rPr>
          <w:rFonts w:ascii="Times New Roman" w:hAnsi="Times New Roman"/>
        </w:rPr>
        <w:t>Az Egyesült Királyság 2020. január 31-i kilépését követően az EU-nak 13 tengerentúli országa és területe marad: Grönland (DK), Francia Polinézia (FR), Francia Déli és Antarktiszi Területek (FR), Új-Kaledónia és a hozzátartozó területek (FR), Saint Barthelemy (FR), St. Pierre és Miquelon (FR), Wallis- és Futuna-szigetek (FR), Aruba (NL), Bonaire (NL), Curaçao (NL), Saba (NL), Sint Eustatius (NL), Sint Maarten (NL).</w:t>
      </w:r>
      <w:r>
        <w:rPr>
          <w:rFonts w:ascii="Times New Roman" w:hAnsi="Times New Roman"/>
          <w:vertAlign w:val="superscript"/>
        </w:rPr>
        <w:t xml:space="preserve"> </w:t>
      </w:r>
    </w:p>
  </w:footnote>
  <w:footnote w:id="3">
    <w:p>
      <w:pPr>
        <w:pStyle w:val="FootnoteText"/>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Az Európai Unió működéséről szóló szerződés (EUMSZ) negyedik része (HL C 326., 2012.10.26., 47. o.).</w:t>
      </w:r>
      <w:r>
        <w:rPr>
          <w:rFonts w:ascii="Times New Roman" w:hAnsi="Times New Roman"/>
          <w:vertAlign w:val="superscript"/>
        </w:rPr>
        <w:t xml:space="preserve"> </w:t>
      </w:r>
    </w:p>
  </w:footnote>
  <w:footnote w:id="4">
    <w:p>
      <w:pPr>
        <w:pStyle w:val="FootnoteText"/>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 xml:space="preserve">HL L 210., 2013.8.6., 1. o. – Belső megállapodás az Európai Unió tagállamai kormányainak a Tanács keretében ülésező képviselői között az AKCS–EU partnerségi megállapodással összhangban a 2014–2020 közötti időtartamra szóló többéves pénzügyi keret értelmében nyújtandó európai uniós támogatás finanszírozásáról, valamint az Európai Unió működéséről szóló szerződés negyedik részének hatálya alá tartozó tengerentúli országok és területek számára nyújtandó pénzügyi támogatás elosztásáról. </w:t>
      </w:r>
    </w:p>
  </w:footnote>
  <w:footnote w:id="5">
    <w:p>
      <w:pPr>
        <w:pStyle w:val="FootnoteText"/>
        <w:jc w:val="both"/>
        <w:rPr>
          <w:vertAlign w:val="superscript"/>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Az egyrészről az Európai Unió, másrészről Grönland és a Dán Királyság közötti kapcsolatokról szóló 2014/137/EU tanácsi határozat a 2014–2020 közötti időszakra vonatkozóan 217,8 millió EUR-t különít el az Unió és Grönland közötti, a közös érdekű területeken folytatott együttműködésre.</w:t>
      </w:r>
      <w:r>
        <w:rPr>
          <w:vertAlign w:val="superscript"/>
        </w:rPr>
        <w:t xml:space="preserve"> </w:t>
      </w:r>
    </w:p>
  </w:footnote>
  <w:footnote w:id="6">
    <w:p>
      <w:pPr>
        <w:pStyle w:val="FootnoteText"/>
        <w:jc w:val="both"/>
        <w:rPr>
          <w:vertAlign w:val="superscript"/>
        </w:rPr>
      </w:pPr>
      <w:r>
        <w:rPr>
          <w:rFonts w:ascii="Times New Roman" w:hAnsi="Times New Roman" w:cs="Times New Roman"/>
          <w:vertAlign w:val="superscript"/>
          <w:lang w:val="en-US"/>
        </w:rPr>
        <w:footnoteRef/>
      </w:r>
      <w:r>
        <w:rPr>
          <w:rFonts w:ascii="Times New Roman" w:hAnsi="Times New Roman"/>
          <w:vertAlign w:val="superscript"/>
        </w:rPr>
        <w:t xml:space="preserve"> </w:t>
      </w:r>
      <w:r>
        <w:rPr>
          <w:rFonts w:ascii="Times New Roman" w:hAnsi="Times New Roman"/>
        </w:rPr>
        <w:t>Aruba (13,05 millió EUR) és Bonaire (3,95 millió EUR) területi programját 2019 februárjában fogadták el.</w:t>
      </w:r>
      <w:r>
        <w:rPr>
          <w:rFonts w:ascii="Times New Roman" w:hAnsi="Times New Roman"/>
          <w:sz w:val="13"/>
          <w:szCs w:val="13"/>
          <w:vertAlign w:val="superscript"/>
        </w:rPr>
        <w:t xml:space="preserve"> </w:t>
      </w:r>
    </w:p>
  </w:footnote>
  <w:footnote w:id="7">
    <w:p>
      <w:pPr>
        <w:pStyle w:val="FootnoteText"/>
        <w:rPr>
          <w:vertAlign w:val="superscript"/>
        </w:rPr>
      </w:pPr>
      <w:r>
        <w:rPr>
          <w:rFonts w:ascii="Times New Roman" w:hAnsi="Times New Roman" w:cs="Times New Roman"/>
          <w:vertAlign w:val="superscript"/>
          <w:lang w:val="en-US"/>
        </w:rPr>
        <w:footnoteRef/>
      </w:r>
      <w:r>
        <w:rPr>
          <w:rFonts w:ascii="Times New Roman" w:hAnsi="Times New Roman"/>
          <w:vertAlign w:val="superscript"/>
        </w:rPr>
        <w:t xml:space="preserve"> </w:t>
      </w:r>
      <w:r>
        <w:rPr>
          <w:rFonts w:ascii="Times New Roman" w:hAnsi="Times New Roman"/>
        </w:rPr>
        <w:t>Ezzel az allokációval a B-keret egyenlege (a 2013. évi társulási határozat II. melléklete szerinti kezdeti 21,5 millió EUR támogatással) 6,45 millió EUR 2019 végén.</w:t>
      </w:r>
      <w:r>
        <w:rPr>
          <w:rFonts w:ascii="Times New Roman" w:hAnsi="Times New Roman"/>
          <w:sz w:val="13"/>
          <w:szCs w:val="13"/>
          <w:vertAlign w:val="superscript"/>
        </w:rPr>
        <w:t xml:space="preserve"> </w:t>
      </w:r>
    </w:p>
  </w:footnote>
  <w:footnote w:id="8">
    <w:p>
      <w:pPr>
        <w:pStyle w:val="FootnoteText"/>
        <w:rPr>
          <w:rFonts w:ascii="Times New Roman" w:hAnsi="Times New Roman" w:cs="Times New Roman"/>
          <w:sz w:val="13"/>
          <w:szCs w:val="13"/>
        </w:rPr>
      </w:pPr>
      <w:r>
        <w:rPr>
          <w:rFonts w:ascii="Times New Roman" w:hAnsi="Times New Roman" w:cs="Times New Roman"/>
          <w:vertAlign w:val="superscript"/>
          <w:lang w:val="en-US"/>
        </w:rPr>
        <w:footnoteRef/>
      </w:r>
      <w:r>
        <w:rPr>
          <w:rFonts w:ascii="Times New Roman" w:hAnsi="Times New Roman"/>
          <w:vertAlign w:val="superscript"/>
        </w:rPr>
        <w:t xml:space="preserve"> </w:t>
      </w:r>
      <w:r>
        <w:rPr>
          <w:rFonts w:ascii="Times New Roman" w:hAnsi="Times New Roman"/>
        </w:rPr>
        <w:t>A Tui-Szamoa tengeralatti kábel Apia (Szamoa) és Suva (Fidzsi) között halad, szárazföldi csatlakozóállomása pedig Savai'i (Savusavu), valamint Wallis és Futuna területén található.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7E7"/>
    <w:multiLevelType w:val="hybridMultilevel"/>
    <w:tmpl w:val="D07E1A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9475D04"/>
    <w:multiLevelType w:val="hybridMultilevel"/>
    <w:tmpl w:val="7D86E6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16560F"/>
    <w:multiLevelType w:val="hybridMultilevel"/>
    <w:tmpl w:val="77D0D8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3A505E5"/>
    <w:multiLevelType w:val="hybridMultilevel"/>
    <w:tmpl w:val="854E65FE"/>
    <w:lvl w:ilvl="0" w:tplc="080C0001">
      <w:start w:val="1"/>
      <w:numFmt w:val="bullet"/>
      <w:lvlText w:val=""/>
      <w:lvlJc w:val="left"/>
      <w:pPr>
        <w:ind w:left="778" w:hanging="360"/>
      </w:pPr>
      <w:rPr>
        <w:rFonts w:ascii="Symbol" w:hAnsi="Symbol" w:hint="default"/>
      </w:rPr>
    </w:lvl>
    <w:lvl w:ilvl="1" w:tplc="080C0003" w:tentative="1">
      <w:start w:val="1"/>
      <w:numFmt w:val="bullet"/>
      <w:lvlText w:val="o"/>
      <w:lvlJc w:val="left"/>
      <w:pPr>
        <w:ind w:left="1498" w:hanging="360"/>
      </w:pPr>
      <w:rPr>
        <w:rFonts w:ascii="Courier New" w:hAnsi="Courier New" w:cs="Courier New" w:hint="default"/>
      </w:rPr>
    </w:lvl>
    <w:lvl w:ilvl="2" w:tplc="080C0005" w:tentative="1">
      <w:start w:val="1"/>
      <w:numFmt w:val="bullet"/>
      <w:lvlText w:val=""/>
      <w:lvlJc w:val="left"/>
      <w:pPr>
        <w:ind w:left="2218" w:hanging="360"/>
      </w:pPr>
      <w:rPr>
        <w:rFonts w:ascii="Wingdings" w:hAnsi="Wingdings" w:hint="default"/>
      </w:rPr>
    </w:lvl>
    <w:lvl w:ilvl="3" w:tplc="080C0001" w:tentative="1">
      <w:start w:val="1"/>
      <w:numFmt w:val="bullet"/>
      <w:lvlText w:val=""/>
      <w:lvlJc w:val="left"/>
      <w:pPr>
        <w:ind w:left="2938" w:hanging="360"/>
      </w:pPr>
      <w:rPr>
        <w:rFonts w:ascii="Symbol" w:hAnsi="Symbol" w:hint="default"/>
      </w:rPr>
    </w:lvl>
    <w:lvl w:ilvl="4" w:tplc="080C0003" w:tentative="1">
      <w:start w:val="1"/>
      <w:numFmt w:val="bullet"/>
      <w:lvlText w:val="o"/>
      <w:lvlJc w:val="left"/>
      <w:pPr>
        <w:ind w:left="3658" w:hanging="360"/>
      </w:pPr>
      <w:rPr>
        <w:rFonts w:ascii="Courier New" w:hAnsi="Courier New" w:cs="Courier New" w:hint="default"/>
      </w:rPr>
    </w:lvl>
    <w:lvl w:ilvl="5" w:tplc="080C0005" w:tentative="1">
      <w:start w:val="1"/>
      <w:numFmt w:val="bullet"/>
      <w:lvlText w:val=""/>
      <w:lvlJc w:val="left"/>
      <w:pPr>
        <w:ind w:left="4378" w:hanging="360"/>
      </w:pPr>
      <w:rPr>
        <w:rFonts w:ascii="Wingdings" w:hAnsi="Wingdings" w:hint="default"/>
      </w:rPr>
    </w:lvl>
    <w:lvl w:ilvl="6" w:tplc="080C0001" w:tentative="1">
      <w:start w:val="1"/>
      <w:numFmt w:val="bullet"/>
      <w:lvlText w:val=""/>
      <w:lvlJc w:val="left"/>
      <w:pPr>
        <w:ind w:left="5098" w:hanging="360"/>
      </w:pPr>
      <w:rPr>
        <w:rFonts w:ascii="Symbol" w:hAnsi="Symbol" w:hint="default"/>
      </w:rPr>
    </w:lvl>
    <w:lvl w:ilvl="7" w:tplc="080C0003" w:tentative="1">
      <w:start w:val="1"/>
      <w:numFmt w:val="bullet"/>
      <w:lvlText w:val="o"/>
      <w:lvlJc w:val="left"/>
      <w:pPr>
        <w:ind w:left="5818" w:hanging="360"/>
      </w:pPr>
      <w:rPr>
        <w:rFonts w:ascii="Courier New" w:hAnsi="Courier New" w:cs="Courier New" w:hint="default"/>
      </w:rPr>
    </w:lvl>
    <w:lvl w:ilvl="8" w:tplc="080C0005" w:tentative="1">
      <w:start w:val="1"/>
      <w:numFmt w:val="bullet"/>
      <w:lvlText w:val=""/>
      <w:lvlJc w:val="left"/>
      <w:pPr>
        <w:ind w:left="6538" w:hanging="360"/>
      </w:pPr>
      <w:rPr>
        <w:rFonts w:ascii="Wingdings" w:hAnsi="Wingdings" w:hint="default"/>
      </w:rPr>
    </w:lvl>
  </w:abstractNum>
  <w:abstractNum w:abstractNumId="4">
    <w:nsid w:val="4B135FA2"/>
    <w:multiLevelType w:val="hybridMultilevel"/>
    <w:tmpl w:val="2D0EF0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C5D02DC"/>
    <w:multiLevelType w:val="hybridMultilevel"/>
    <w:tmpl w:val="428E99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B670230"/>
    <w:multiLevelType w:val="hybridMultilevel"/>
    <w:tmpl w:val="DE6A2FA8"/>
    <w:lvl w:ilvl="0" w:tplc="7DDE1A50">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C72EF90-1518-434F-8DB0-B9BA553D12C9"/>
    <w:docVar w:name="LW_COVERPAGE_TYPE" w:val="1"/>
    <w:docVar w:name="LW_CROSSREFERENCE" w:val="&lt;UNUSED&gt;"/>
    <w:docVar w:name="LW_DocType" w:val="NORMAL"/>
    <w:docVar w:name="LW_EMISSION" w:val="2020.7.6."/>
    <w:docVar w:name="LW_EMISSION_ISODATE" w:val="2020-07-06"/>
    <w:docVar w:name="LW_EMISSION_LOCATION" w:val="BRX"/>
    <w:docVar w:name="LW_EMISSION_PREFIX" w:val="Brüsszel, "/>
    <w:docVar w:name="LW_EMISSION_SUFFIX" w:val=" "/>
    <w:docVar w:name="LW_ID_DOCTYPE_NONLW" w:val="CP-004"/>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a tengerentúli országok és területek számára a 11. Európai Fejlesztési Alap keretében 2019-ben nyújtott pénzügyi támogatás végrehajtásáról&lt;/FMT&gt;_x000b_"/>
    <w:docVar w:name="LW_TYPE.DOC.CP" w:val="A BIZOTTSÁG JELENTÉSE A TANÁCSNA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qFormat/>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basedOn w:val="DefaultParagraphFont"/>
    <w:link w:val="BVIfnrCarCarCarCarCharCharCharChar"/>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A0">
    <w:name w:val="A0"/>
    <w:uiPriority w:val="99"/>
    <w:rPr>
      <w:rFonts w:cs="montserrat"/>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VIfnrCarCarCarCarCharCharCharChar">
    <w:name w:val="BVI fnr Car Car Car Car Char Char Char Char"/>
    <w:basedOn w:val="Normal"/>
    <w:link w:val="FootnoteReference"/>
    <w:uiPriority w:val="99"/>
    <w:pPr>
      <w:spacing w:after="160" w:line="240" w:lineRule="exact"/>
      <w:jc w:val="both"/>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Arial" w:hAnsi="Arial" w:cs="Arial"/>
      <w:color w:val="000000"/>
      <w:sz w:val="24"/>
      <w:szCs w:val="24"/>
      <w:lang w:val="hu-HU"/>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hu-HU"/>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hu-HU"/>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hu-HU"/>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hu-HU"/>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qFormat/>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basedOn w:val="DefaultParagraphFont"/>
    <w:link w:val="BVIfnrCarCarCarCarCharCharCharChar"/>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A0">
    <w:name w:val="A0"/>
    <w:uiPriority w:val="99"/>
    <w:rPr>
      <w:rFonts w:cs="montserrat"/>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VIfnrCarCarCarCarCharCharCharChar">
    <w:name w:val="BVI fnr Car Car Car Car Char Char Char Char"/>
    <w:basedOn w:val="Normal"/>
    <w:link w:val="FootnoteReference"/>
    <w:uiPriority w:val="99"/>
    <w:pPr>
      <w:spacing w:after="160" w:line="240" w:lineRule="exact"/>
      <w:jc w:val="both"/>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Arial" w:hAnsi="Arial" w:cs="Arial"/>
      <w:color w:val="000000"/>
      <w:sz w:val="24"/>
      <w:szCs w:val="24"/>
      <w:lang w:val="hu-HU"/>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hu-HU"/>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hu-HU"/>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hu-HU"/>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hu-HU"/>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30D1C55-7F59-42D4-8896-8F93E724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2282</Words>
  <Characters>15842</Characters>
  <Application>Microsoft Office Word</Application>
  <DocSecurity>0</DocSecurity>
  <Lines>304</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16</cp:revision>
  <dcterms:created xsi:type="dcterms:W3CDTF">2020-06-18T13:38:00Z</dcterms:created>
  <dcterms:modified xsi:type="dcterms:W3CDTF">2020-07-06T07:24:00Z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CP-004</vt:lpwstr>
  </property>
  <property fmtid="{D5CDD505-2E9C-101B-9397-08002B2CF9AE}" pid="7" name="Last edited using">
    <vt:lpwstr>LW 7.0, Build 20190717</vt:lpwstr>
  </property>
  <property fmtid="{D5CDD505-2E9C-101B-9397-08002B2CF9AE}" pid="8" name="Created using">
    <vt:lpwstr>LW 7.0, Build 20190717</vt:lpwstr>
  </property>
</Properties>
</file>