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05E040B2-B972-4100-9453-66C957B89AD5" style="width:450.75pt;height:306.75pt">
            <v:imagedata r:id="rId9" o:title=""/>
          </v:shape>
        </w:pict>
      </w:r>
    </w:p>
    <w:bookmarkEnd w:id="0"/>
    <w:p>
      <w:pPr>
        <w:rPr>
          <w:noProof/>
          <w:lang w:val="en-US"/>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rPr>
          <w:rFonts w:ascii="Times New Roman" w:hAnsi="Times New Roman" w:cs="Times New Roman"/>
          <w:b/>
          <w:bCs/>
          <w:noProof/>
          <w:color w:val="auto"/>
          <w:u w:val="single"/>
        </w:rPr>
      </w:pPr>
      <w:bookmarkStart w:id="1" w:name="_GoBack"/>
      <w:bookmarkEnd w:id="1"/>
      <w:r>
        <w:rPr>
          <w:rFonts w:ascii="Times New Roman" w:hAnsi="Times New Roman"/>
          <w:b/>
          <w:bCs/>
          <w:noProof/>
          <w:color w:val="auto"/>
          <w:u w:val="single"/>
        </w:rPr>
        <w:lastRenderedPageBreak/>
        <w:t xml:space="preserve">Sissejuhatus </w:t>
      </w:r>
    </w:p>
    <w:p>
      <w:pPr>
        <w:pStyle w:val="Default"/>
        <w:rPr>
          <w:rFonts w:ascii="Times New Roman" w:hAnsi="Times New Roman" w:cs="Times New Roman"/>
          <w:noProof/>
          <w:color w:val="auto"/>
          <w:u w:val="single"/>
          <w:lang w:val="en-US"/>
        </w:rPr>
      </w:pPr>
    </w:p>
    <w:p>
      <w:pPr>
        <w:pStyle w:val="Default"/>
        <w:jc w:val="both"/>
        <w:rPr>
          <w:rFonts w:ascii="Times New Roman" w:hAnsi="Times New Roman" w:cs="Times New Roman"/>
          <w:noProof/>
          <w:color w:val="auto"/>
        </w:rPr>
      </w:pPr>
      <w:r>
        <w:rPr>
          <w:rFonts w:ascii="Times New Roman" w:hAnsi="Times New Roman"/>
          <w:noProof/>
          <w:color w:val="auto"/>
        </w:rPr>
        <w:t>Ülemeremaade ja -territooriumide assotsieerimise otsusega</w:t>
      </w:r>
      <w:r>
        <w:rPr>
          <w:rStyle w:val="FootnoteReference"/>
          <w:rFonts w:ascii="Times New Roman" w:hAnsi="Times New Roman" w:cs="Times New Roman"/>
          <w:noProof/>
          <w:color w:val="auto"/>
          <w:lang w:val="en-US"/>
        </w:rPr>
        <w:footnoteReference w:id="1"/>
      </w:r>
      <w:r>
        <w:rPr>
          <w:rFonts w:ascii="Times New Roman" w:hAnsi="Times New Roman"/>
          <w:noProof/>
          <w:color w:val="auto"/>
        </w:rPr>
        <w:t xml:space="preserve"> (edaspidi „ÜMTde assotsieerimise otsus“) kehtestatakse ülemeremaade ja -territooriumide,</w:t>
      </w:r>
      <w:r>
        <w:rPr>
          <w:rStyle w:val="FootnoteReference"/>
          <w:rFonts w:ascii="Times New Roman" w:hAnsi="Times New Roman" w:cs="Times New Roman"/>
          <w:noProof/>
          <w:color w:val="auto"/>
          <w:lang w:val="en-US"/>
        </w:rPr>
        <w:footnoteReference w:id="2"/>
      </w:r>
      <w:r>
        <w:rPr>
          <w:rFonts w:ascii="Times New Roman" w:hAnsi="Times New Roman"/>
          <w:noProof/>
          <w:color w:val="auto"/>
        </w:rPr>
        <w:t xml:space="preserve"> nendega seotud liikmesriikide ja Euroopa Liidu vaheliste suhete õigusraamistik. Euroopa Liidu toimimise lepingu (edaspidi „ELi toimimise leping“)</w:t>
      </w:r>
      <w:r>
        <w:rPr>
          <w:rStyle w:val="FootnoteReference"/>
          <w:rFonts w:ascii="Times New Roman" w:hAnsi="Times New Roman" w:cs="Times New Roman"/>
          <w:noProof/>
          <w:color w:val="auto"/>
          <w:lang w:val="en-US"/>
        </w:rPr>
        <w:footnoteReference w:id="3"/>
      </w:r>
      <w:r>
        <w:rPr>
          <w:rFonts w:ascii="Times New Roman" w:hAnsi="Times New Roman"/>
          <w:noProof/>
          <w:color w:val="auto"/>
        </w:rPr>
        <w:t xml:space="preserve"> kohaselt on ÜMTde assotsieerimise otsuse eesmärk toetada ÜMTde kestlikku arengut ja edendada liidu väärtusi maailmas. </w:t>
      </w:r>
    </w:p>
    <w:p>
      <w:pPr>
        <w:pStyle w:val="Default"/>
        <w:jc w:val="both"/>
        <w:rPr>
          <w:rFonts w:ascii="Times New Roman" w:hAnsi="Times New Roman" w:cs="Times New Roman"/>
          <w:noProof/>
          <w:color w:val="auto"/>
        </w:rPr>
      </w:pPr>
      <w:r>
        <w:rPr>
          <w:rFonts w:ascii="Times New Roman" w:hAnsi="Times New Roman"/>
          <w:noProof/>
        </w:rPr>
        <w:t xml:space="preserve"> </w:t>
      </w:r>
    </w:p>
    <w:p>
      <w:pPr>
        <w:pStyle w:val="Default"/>
        <w:jc w:val="both"/>
        <w:rPr>
          <w:rFonts w:ascii="Times New Roman" w:hAnsi="Times New Roman" w:cs="Times New Roman"/>
          <w:noProof/>
          <w:color w:val="auto"/>
        </w:rPr>
      </w:pPr>
      <w:r>
        <w:rPr>
          <w:rFonts w:ascii="Times New Roman" w:hAnsi="Times New Roman"/>
          <w:noProof/>
          <w:color w:val="auto"/>
        </w:rPr>
        <w:t>ÜMTdele antakse rahalist abi peamiselt Euroopa Arengufondi (EAF) kaudu. 11. EAFist eraldatavatest vahenditest on programmitöö perioodiks 2014–2020 ette nähtud 364,5 miljonit eurot</w:t>
      </w:r>
      <w:r>
        <w:rPr>
          <w:rStyle w:val="FootnoteReference"/>
          <w:rFonts w:ascii="Times New Roman" w:hAnsi="Times New Roman" w:cs="Times New Roman"/>
          <w:noProof/>
          <w:color w:val="auto"/>
          <w:lang w:val="en-US"/>
        </w:rPr>
        <w:footnoteReference w:id="4"/>
      </w:r>
      <w:r>
        <w:rPr>
          <w:noProof/>
        </w:rPr>
        <w:t>.</w:t>
      </w:r>
      <w:r>
        <w:rPr>
          <w:rFonts w:ascii="Times New Roman" w:hAnsi="Times New Roman"/>
          <w:noProof/>
          <w:color w:val="auto"/>
        </w:rPr>
        <w:t xml:space="preserve">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 xml:space="preserve">Kooskõlas ÜMTde assotsieerimise otsuse artikliga 91 tõstetakse selles aruandes esile 11. EAFist ÜMTdele eraldatud vahendite rakendamisel 2019. aastal tehtud edusamme.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b/>
          <w:bCs/>
          <w:noProof/>
          <w:color w:val="auto"/>
          <w:u w:val="single"/>
        </w:rPr>
      </w:pPr>
      <w:r>
        <w:rPr>
          <w:rFonts w:ascii="Times New Roman" w:hAnsi="Times New Roman"/>
          <w:b/>
          <w:bCs/>
          <w:noProof/>
          <w:color w:val="auto"/>
          <w:u w:val="single"/>
        </w:rPr>
        <w:t xml:space="preserve">11. EAFist ÜMTdele eraldatavad rahalised vahendid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 xml:space="preserve">11. EAFi raames ÜMTdele kättesaadavad vahendid jaotuvad ajavahemikus 2014–2020 kooskõlas ÜMTde assotsieerimise otsuse II lisaga järgmisteks eraldisteks: </w:t>
      </w:r>
    </w:p>
    <w:p>
      <w:pPr>
        <w:pStyle w:val="Default"/>
        <w:spacing w:after="164"/>
        <w:jc w:val="both"/>
        <w:rPr>
          <w:rFonts w:ascii="Times New Roman" w:hAnsi="Times New Roman" w:cs="Times New Roman"/>
          <w:noProof/>
          <w:color w:val="auto"/>
        </w:rPr>
      </w:pP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229,5 miljonit eurot vahendite territoriaalseks (kahepoolseks) jaotuseks;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100 miljonit eurot piirkondlikule koostööle ja kõiki ÜMTsid hõlmavale koostööle;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21,5 miljonit eurot humanitaar- ja hädaabi rahastamiseks;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5 miljonit eurot intressitoetuste ja tehnilise abi rahastamiseks ÜMTde investeerimisrahastust;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8,5 miljonit eurot uuringuteks või tehnilise abi meetmetele. </w:t>
      </w:r>
    </w:p>
    <w:p>
      <w:pPr>
        <w:pStyle w:val="Default"/>
        <w:jc w:val="both"/>
        <w:rPr>
          <w:rFonts w:ascii="Times New Roman" w:hAnsi="Times New Roman" w:cs="Times New Roman"/>
          <w:noProof/>
          <w:color w:val="auto"/>
        </w:rPr>
      </w:pPr>
    </w:p>
    <w:p>
      <w:pPr>
        <w:jc w:val="both"/>
        <w:rPr>
          <w:rFonts w:ascii="Times New Roman" w:hAnsi="Times New Roman" w:cs="Times New Roman"/>
          <w:noProof/>
          <w:sz w:val="24"/>
          <w:szCs w:val="24"/>
        </w:rPr>
      </w:pPr>
      <w:r>
        <w:rPr>
          <w:rFonts w:ascii="Times New Roman" w:hAnsi="Times New Roman"/>
          <w:b/>
          <w:bCs/>
          <w:noProof/>
          <w:sz w:val="24"/>
          <w:szCs w:val="24"/>
        </w:rPr>
        <w:t>Kooskõlas otsuses kehtestatud kriteeriumidega leitakse, et 16 ÜMTd on 11. EAFist ÜMTdele eraldatavate vahendite territoriaalseks jaotuseks rahastamiskõlblikud.</w:t>
      </w:r>
      <w:r>
        <w:rPr>
          <w:rFonts w:ascii="Times New Roman" w:hAnsi="Times New Roman"/>
          <w:bCs/>
          <w:noProof/>
          <w:sz w:val="24"/>
          <w:szCs w:val="24"/>
        </w:rPr>
        <w:t xml:space="preserve"> </w:t>
      </w:r>
      <w:r>
        <w:rPr>
          <w:rFonts w:ascii="Times New Roman" w:hAnsi="Times New Roman"/>
          <w:noProof/>
          <w:sz w:val="24"/>
          <w:szCs w:val="24"/>
        </w:rPr>
        <w:t>Gröönimaad rahastatakse otse liidu üldeelarvest Gröönimaad käsitleva otsuse alusel</w:t>
      </w:r>
      <w:r>
        <w:rPr>
          <w:rStyle w:val="FootnoteReference"/>
          <w:rFonts w:ascii="Times New Roman" w:hAnsi="Times New Roman" w:cs="Times New Roman"/>
          <w:noProof/>
          <w:sz w:val="24"/>
          <w:szCs w:val="24"/>
          <w:lang w:val="en-US"/>
        </w:rPr>
        <w:footnoteReference w:id="5"/>
      </w:r>
      <w:r>
        <w:rPr>
          <w:rFonts w:ascii="Times New Roman" w:hAnsi="Times New Roman"/>
          <w:noProof/>
          <w:sz w:val="24"/>
          <w:szCs w:val="24"/>
        </w:rPr>
        <w:t>.</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b/>
          <w:bCs/>
          <w:noProof/>
          <w:color w:val="000000"/>
          <w:sz w:val="24"/>
          <w:szCs w:val="24"/>
        </w:rPr>
        <w:t xml:space="preserve">Kolme piirkondliku programmi </w:t>
      </w:r>
      <w:r>
        <w:rPr>
          <w:rFonts w:ascii="Times New Roman" w:hAnsi="Times New Roman"/>
          <w:noProof/>
          <w:color w:val="000000"/>
          <w:sz w:val="24"/>
          <w:szCs w:val="24"/>
        </w:rPr>
        <w:t xml:space="preserve">eesmärk on edendada sama piirkonna ühesuguste probleemide ja prioriteetidega ÜMTde koostööd. Vahendite piirkondliku jaotuse alusel rahastatavate meetmetega toetatakse nimetatud probleeme käsitlevate kõikehõlmavate piirkondlike programmide ja projektide arendamist ning rahastamist. Muude rahastamisallikate, sealhulgas liidu vahendite alusel soodustatakse partnerlust naabruses asuvate Aafrika, Kariibi mere ja Vaikse ookeani piirkonna riikide rühma (AKV) ja/või kolmandate riikide ning ELi äärepoolseimate piirkondadega tehtava koostöö kaudu.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rPr>
      </w:pPr>
      <w:r>
        <w:rPr>
          <w:rFonts w:ascii="Times New Roman" w:hAnsi="Times New Roman"/>
          <w:noProof/>
        </w:rPr>
        <w:t xml:space="preserve">Lisaks territoriaalsetele ja piirkondlikele programmidele toetab </w:t>
      </w:r>
      <w:r>
        <w:rPr>
          <w:rFonts w:ascii="Times New Roman" w:hAnsi="Times New Roman"/>
          <w:b/>
          <w:bCs/>
          <w:noProof/>
        </w:rPr>
        <w:t>valdkondlik programm</w:t>
      </w:r>
      <w:r>
        <w:rPr>
          <w:rFonts w:ascii="Times New Roman" w:hAnsi="Times New Roman"/>
          <w:noProof/>
        </w:rPr>
        <w:t>, mis on 11. EAFi ainus kõiki ÜMTsid hõlmav programm, ÜMTde koostööd.</w:t>
      </w:r>
    </w:p>
    <w:p>
      <w:pPr>
        <w:pStyle w:val="Default"/>
        <w:rPr>
          <w:rFonts w:ascii="Times New Roman" w:hAnsi="Times New Roman" w:cs="Times New Roman"/>
          <w:noProof/>
        </w:rPr>
      </w:pPr>
    </w:p>
    <w:p>
      <w:pPr>
        <w:autoSpaceDE w:val="0"/>
        <w:autoSpaceDN w:val="0"/>
        <w:adjustRightInd w:val="0"/>
        <w:spacing w:after="0" w:line="240" w:lineRule="auto"/>
        <w:jc w:val="both"/>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 xml:space="preserve">Programmitöö protsess 11. EAFi vahendite eraldamisel ÜMTdele </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ÜMTde assotsieerimise otsuse neljanda osaga kehtestatakse </w:t>
      </w:r>
      <w:r>
        <w:rPr>
          <w:rFonts w:ascii="Times New Roman" w:hAnsi="Times New Roman"/>
          <w:b/>
          <w:bCs/>
          <w:noProof/>
          <w:color w:val="000000"/>
          <w:sz w:val="24"/>
          <w:szCs w:val="24"/>
        </w:rPr>
        <w:t>ÜMTdele spetsiaalne programmitöö protsess</w:t>
      </w:r>
      <w:r>
        <w:rPr>
          <w:rFonts w:ascii="Times New Roman" w:hAnsi="Times New Roman"/>
          <w:noProof/>
          <w:color w:val="000000"/>
          <w:sz w:val="24"/>
          <w:szCs w:val="24"/>
        </w:rPr>
        <w:t xml:space="preserve">. Erinevalt AKV riikidest ei ole programmitöö aluseks riiklikud soovituskavad, vaid </w:t>
      </w:r>
      <w:r>
        <w:rPr>
          <w:rFonts w:ascii="Times New Roman" w:hAnsi="Times New Roman"/>
          <w:bCs/>
          <w:noProof/>
          <w:color w:val="000000"/>
          <w:sz w:val="24"/>
          <w:szCs w:val="24"/>
        </w:rPr>
        <w:t xml:space="preserve">üheetapiline protsess – programmidokumendi väljatöötamine. Dokument koosneb kahest osast: a) ELi reageerimisstrateegia (A osa) ja b) tegevusdokument (B osa). </w:t>
      </w:r>
      <w:r>
        <w:rPr>
          <w:rFonts w:ascii="Times New Roman" w:hAnsi="Times New Roman"/>
          <w:noProof/>
          <w:color w:val="000000"/>
          <w:sz w:val="24"/>
          <w:szCs w:val="24"/>
        </w:rPr>
        <w:t xml:space="preserve">ÜMTde programmidokumendid, mis sisaldavad nii strateegilisi suunitlusi kui ka programmi üksikasjalikku kirjeldust, kiidetakse heaks vaid </w:t>
      </w:r>
      <w:r>
        <w:rPr>
          <w:rFonts w:ascii="Times New Roman" w:hAnsi="Times New Roman"/>
          <w:bCs/>
          <w:noProof/>
          <w:color w:val="000000"/>
          <w:sz w:val="24"/>
          <w:szCs w:val="24"/>
        </w:rPr>
        <w:t>komisjoni ühe ametliku otsusega</w:t>
      </w:r>
      <w:r>
        <w:rPr>
          <w:rFonts w:ascii="Times New Roman" w:hAnsi="Times New Roman"/>
          <w:noProof/>
          <w:color w:val="000000"/>
          <w:sz w:val="24"/>
          <w:szCs w:val="24"/>
        </w:rPr>
        <w:t xml:space="preserve">.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b/>
          <w:bCs/>
          <w:noProof/>
          <w:color w:val="000000"/>
          <w:sz w:val="24"/>
          <w:szCs w:val="24"/>
        </w:rPr>
        <w:t>Eelarvetoetus</w:t>
      </w:r>
      <w:r>
        <w:rPr>
          <w:rFonts w:ascii="Times New Roman" w:hAnsi="Times New Roman"/>
          <w:noProof/>
          <w:color w:val="000000"/>
          <w:sz w:val="24"/>
          <w:szCs w:val="24"/>
        </w:rPr>
        <w:t xml:space="preserve"> on ÜMTdes territoriaalse jaotuse puhul endiselt eelistatud rakendamise viis (praeguseni saab EAFist vahendeid 13 ÜMTd 16st). See on positiivne muutus võrreldes varem mitme ÜMT puhul kasutatud projektide rakendamisega. Eelarvetoetus on tõhus viis laiahaardeliste, pikaajaliste ja struktuuriliste probleemidega tegelemiseks ning konstruktiivse poliitilise dialoogi pidamiseks.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rPr>
      </w:pPr>
      <w:r>
        <w:rPr>
          <w:rFonts w:ascii="Times New Roman" w:hAnsi="Times New Roman"/>
          <w:b/>
          <w:bCs/>
          <w:noProof/>
        </w:rPr>
        <w:t>Programmidokumentide, sealhulgas strateegiate aluseks olevate prioriteetide kehtestamise ja vajaliku kohaliku konsulteerimise tagamise eest vastutavad peamiselt ÜMTd</w:t>
      </w:r>
      <w:r>
        <w:rPr>
          <w:rFonts w:ascii="Times New Roman" w:hAnsi="Times New Roman"/>
          <w:noProof/>
        </w:rPr>
        <w:t>. ÜMTde palvel on neile programmitöö protsessi ajal pakutud tehnilist abi kooskõlas ÜMTde assotsieerimise otsuse artikliga 81.</w:t>
      </w:r>
    </w:p>
    <w:p>
      <w:pPr>
        <w:pStyle w:val="Default"/>
        <w:rPr>
          <w:rFonts w:ascii="Times New Roman" w:hAnsi="Times New Roman" w:cs="Times New Roman"/>
          <w:noProof/>
        </w:rPr>
      </w:pPr>
    </w:p>
    <w:p>
      <w:pPr>
        <w:autoSpaceDE w:val="0"/>
        <w:autoSpaceDN w:val="0"/>
        <w:adjustRightInd w:val="0"/>
        <w:spacing w:after="0" w:line="240" w:lineRule="auto"/>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Olukord 2019. aastal</w:t>
      </w:r>
    </w:p>
    <w:p>
      <w:pPr>
        <w:autoSpaceDE w:val="0"/>
        <w:autoSpaceDN w:val="0"/>
        <w:adjustRightInd w:val="0"/>
        <w:spacing w:after="0" w:line="240" w:lineRule="auto"/>
        <w:rPr>
          <w:rFonts w:ascii="Times New Roman" w:hAnsi="Times New Roman" w:cs="Times New Roman"/>
          <w:noProof/>
          <w:color w:val="000000"/>
          <w:sz w:val="24"/>
          <w:szCs w:val="24"/>
          <w:u w:val="single"/>
        </w:rPr>
      </w:pPr>
    </w:p>
    <w:p>
      <w:pPr>
        <w:pStyle w:val="ListParagraph"/>
        <w:numPr>
          <w:ilvl w:val="0"/>
          <w:numId w:val="2"/>
        </w:num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b/>
          <w:bCs/>
          <w:noProof/>
          <w:color w:val="000000"/>
          <w:sz w:val="24"/>
          <w:szCs w:val="24"/>
        </w:rPr>
        <w:t xml:space="preserve">11. EAFi territoriaalne rakendamine </w:t>
      </w:r>
    </w:p>
    <w:p>
      <w:pPr>
        <w:autoSpaceDE w:val="0"/>
        <w:autoSpaceDN w:val="0"/>
        <w:adjustRightInd w:val="0"/>
        <w:spacing w:after="0" w:line="240" w:lineRule="auto"/>
        <w:rPr>
          <w:rFonts w:ascii="Times New Roman" w:hAnsi="Times New Roman" w:cs="Times New Roman"/>
          <w:noProof/>
          <w:color w:val="000000"/>
          <w:sz w:val="24"/>
          <w:szCs w:val="24"/>
          <w:lang w:val="en-US"/>
        </w:rPr>
      </w:pP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Tänu kõigi asjaomaste poolte ühisele pühendumusele on 2019. aastal tehtud edusamme 11. EAFi vahendite kavandamisel, muuhulgas tõhustatud koordineerimise ja dialoogi kaudu. Pärast Aruba ja Bonaire'i programmidokumentide vastuvõtmist 2019. aastal </w:t>
      </w:r>
      <w:r>
        <w:rPr>
          <w:rFonts w:ascii="Times New Roman" w:hAnsi="Times New Roman"/>
          <w:b/>
          <w:noProof/>
          <w:color w:val="000000"/>
          <w:sz w:val="24"/>
          <w:szCs w:val="24"/>
        </w:rPr>
        <w:t>on oma programmitöö lõpule viinud</w:t>
      </w:r>
      <w:r>
        <w:rPr>
          <w:rFonts w:ascii="Times New Roman" w:hAnsi="Times New Roman"/>
          <w:noProof/>
          <w:color w:val="000000"/>
          <w:sz w:val="24"/>
          <w:szCs w:val="24"/>
        </w:rPr>
        <w:t xml:space="preserve"> </w:t>
      </w:r>
      <w:r>
        <w:rPr>
          <w:rFonts w:ascii="Times New Roman" w:hAnsi="Times New Roman"/>
          <w:b/>
          <w:noProof/>
          <w:color w:val="000000"/>
          <w:sz w:val="24"/>
          <w:szCs w:val="24"/>
        </w:rPr>
        <w:t>14 ÜMTd 16st, millele on EAFist vahendeid eraldatud</w:t>
      </w:r>
      <w:r>
        <w:rPr>
          <w:rFonts w:ascii="Times New Roman" w:hAnsi="Times New Roman" w:cs="Times New Roman"/>
          <w:b/>
          <w:noProof/>
          <w:vertAlign w:val="superscript"/>
        </w:rPr>
        <w:footnoteReference w:id="6"/>
      </w:r>
      <w:r>
        <w:rPr>
          <w:rFonts w:ascii="Times New Roman" w:hAnsi="Times New Roman"/>
          <w:noProof/>
          <w:color w:val="000000"/>
          <w:sz w:val="24"/>
          <w:szCs w:val="24"/>
        </w:rPr>
        <w:t>. Tõhusa finantsabi andmiseks maksti 2019. aastal 11. EAFi raames ÜMTdele välja 40,7 miljonit eurot (</w:t>
      </w:r>
      <w:r>
        <w:rPr>
          <w:rFonts w:ascii="Times New Roman" w:hAnsi="Times New Roman"/>
          <w:noProof/>
          <w:sz w:val="24"/>
          <w:szCs w:val="24"/>
        </w:rPr>
        <w:t>vt I lisa</w:t>
      </w:r>
      <w:r>
        <w:rPr>
          <w:rFonts w:ascii="Times New Roman" w:hAnsi="Times New Roman"/>
          <w:noProof/>
          <w:color w:val="000000"/>
          <w:sz w:val="24"/>
          <w:szCs w:val="24"/>
        </w:rPr>
        <w:t>). Curaçao (16,95 miljonit eurot) ja Sint Maarteni (7 miljonit eurot) puhul on programmitöö 2019. aastal pooleli ning kavandatav vastuvõtmise kuupäev jääb 2020. aastasse.</w:t>
      </w:r>
    </w:p>
    <w:p>
      <w:p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noProof/>
          <w:color w:val="000000"/>
          <w:sz w:val="24"/>
          <w:szCs w:val="24"/>
        </w:rPr>
        <w:t>Rakendamine 2019. aastal:</w:t>
      </w:r>
    </w:p>
    <w:p>
      <w:pPr>
        <w:autoSpaceDE w:val="0"/>
        <w:autoSpaceDN w:val="0"/>
        <w:adjustRightInd w:val="0"/>
        <w:spacing w:after="0" w:line="240" w:lineRule="auto"/>
        <w:rPr>
          <w:rFonts w:ascii="Times New Roman" w:hAnsi="Times New Roman" w:cs="Times New Roman"/>
          <w:noProof/>
          <w:color w:val="000000"/>
          <w:sz w:val="24"/>
          <w:szCs w:val="24"/>
          <w:lang w:val="fi-FI"/>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Kariibi mere piirkond: </w:t>
      </w:r>
    </w:p>
    <w:p>
      <w:pPr>
        <w:pStyle w:val="Default"/>
        <w:jc w:val="both"/>
        <w:rPr>
          <w:rFonts w:ascii="Times New Roman" w:hAnsi="Times New Roman" w:cs="Times New Roman"/>
          <w:noProof/>
          <w:lang w:val="fi-FI"/>
        </w:rPr>
      </w:pP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b/>
          <w:bCs/>
          <w:noProof/>
          <w:color w:val="000000"/>
          <w:sz w:val="24"/>
          <w:szCs w:val="24"/>
        </w:rPr>
        <w:t>Haridussektoris</w:t>
      </w:r>
      <w:r>
        <w:rPr>
          <w:rFonts w:ascii="Times New Roman" w:hAnsi="Times New Roman"/>
          <w:noProof/>
          <w:color w:val="000000"/>
          <w:sz w:val="24"/>
          <w:szCs w:val="24"/>
        </w:rPr>
        <w:t xml:space="preserve"> toetas </w:t>
      </w:r>
      <w:r>
        <w:rPr>
          <w:rFonts w:ascii="Times New Roman" w:hAnsi="Times New Roman"/>
          <w:b/>
          <w:bCs/>
          <w:noProof/>
          <w:color w:val="000000"/>
          <w:sz w:val="24"/>
          <w:szCs w:val="24"/>
        </w:rPr>
        <w:t>Anguilla</w:t>
      </w:r>
      <w:r>
        <w:rPr>
          <w:rFonts w:ascii="Times New Roman" w:hAnsi="Times New Roman"/>
          <w:noProof/>
          <w:color w:val="000000"/>
          <w:sz w:val="24"/>
          <w:szCs w:val="24"/>
        </w:rPr>
        <w:t xml:space="preserve"> eelarvetoetusprogramm haridussektori kestliku rahastamiskava heakskiitmist, riikliku kvalifikatsiooniraamistiku väljatöötamist ja kuue individuaalse kooli arengukava kehtestamist (kolmanda fikseeritud osamakse (2,45 miljonit eurot) ning esimese ja teise muutuvsummaga osamakse väljamakse (0,75 miljonit eurot + 1,05 miljonit eurot)). Lisaks võttis 2019. aasta veebruaris </w:t>
      </w:r>
      <w:r>
        <w:rPr>
          <w:rFonts w:ascii="Times New Roman" w:hAnsi="Times New Roman"/>
          <w:b/>
          <w:noProof/>
          <w:color w:val="000000"/>
          <w:sz w:val="24"/>
          <w:szCs w:val="24"/>
        </w:rPr>
        <w:t xml:space="preserve">Aruba </w:t>
      </w:r>
      <w:r>
        <w:rPr>
          <w:rFonts w:ascii="Times New Roman" w:hAnsi="Times New Roman"/>
          <w:noProof/>
          <w:color w:val="000000"/>
          <w:sz w:val="24"/>
          <w:szCs w:val="24"/>
        </w:rPr>
        <w:t xml:space="preserve">vastu oma programmidokumendi (13,05 miljonit eurot) hariduse kohta, et suurendada tehnilisi oskusi uuendusliku kestliku arengu jaoks. </w:t>
      </w:r>
      <w:r>
        <w:rPr>
          <w:rFonts w:ascii="Times New Roman" w:hAnsi="Times New Roman"/>
          <w:b/>
          <w:noProof/>
          <w:sz w:val="24"/>
          <w:szCs w:val="24"/>
        </w:rPr>
        <w:t xml:space="preserve">Turksi ja </w:t>
      </w:r>
      <w:r>
        <w:rPr>
          <w:rFonts w:ascii="Times New Roman" w:hAnsi="Times New Roman"/>
          <w:b/>
          <w:noProof/>
          <w:color w:val="000000"/>
          <w:sz w:val="24"/>
          <w:szCs w:val="24"/>
        </w:rPr>
        <w:t>Caicose saared</w:t>
      </w:r>
      <w:r>
        <w:rPr>
          <w:rFonts w:ascii="Times New Roman" w:hAnsi="Times New Roman"/>
          <w:noProof/>
          <w:color w:val="000000"/>
          <w:sz w:val="24"/>
          <w:szCs w:val="24"/>
        </w:rPr>
        <w:t xml:space="preserve"> jätkasid oma programmi kasutuselevõttu, mille eesmärk on suurendada tehnika- ja kutsehariduse ning -õppe kohandamist tööturu vajadustega. </w:t>
      </w:r>
    </w:p>
    <w:p>
      <w:pPr>
        <w:pStyle w:val="ListParagraph"/>
        <w:autoSpaceDE w:val="0"/>
        <w:autoSpaceDN w:val="0"/>
        <w:adjustRightInd w:val="0"/>
        <w:spacing w:after="167" w:line="240" w:lineRule="auto"/>
        <w:ind w:left="778"/>
        <w:jc w:val="both"/>
        <w:rPr>
          <w:rFonts w:ascii="Times New Roman" w:hAnsi="Times New Roman" w:cs="Times New Roman"/>
          <w:noProof/>
          <w:color w:val="000000"/>
          <w:sz w:val="24"/>
          <w:szCs w:val="24"/>
        </w:rPr>
      </w:pP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b/>
          <w:noProof/>
          <w:sz w:val="24"/>
          <w:szCs w:val="24"/>
        </w:rPr>
        <w:t>Kestliku majanduskasvu</w:t>
      </w:r>
      <w:r>
        <w:rPr>
          <w:rFonts w:ascii="Times New Roman" w:hAnsi="Times New Roman"/>
          <w:noProof/>
          <w:sz w:val="24"/>
          <w:szCs w:val="24"/>
        </w:rPr>
        <w:t xml:space="preserve"> vallas tehti </w:t>
      </w:r>
      <w:r>
        <w:rPr>
          <w:rFonts w:ascii="Times New Roman" w:hAnsi="Times New Roman"/>
          <w:noProof/>
          <w:color w:val="000000"/>
          <w:sz w:val="24"/>
          <w:szCs w:val="24"/>
        </w:rPr>
        <w:t xml:space="preserve">poolelioleva eelarvetoetusprogrammi kaudu märgatavaid edusamme ka </w:t>
      </w:r>
      <w:r>
        <w:rPr>
          <w:rFonts w:ascii="Times New Roman" w:hAnsi="Times New Roman"/>
          <w:b/>
          <w:noProof/>
          <w:color w:val="000000"/>
          <w:sz w:val="24"/>
          <w:szCs w:val="24"/>
        </w:rPr>
        <w:t>Montserrat'</w:t>
      </w:r>
      <w:r>
        <w:rPr>
          <w:rFonts w:ascii="Times New Roman" w:hAnsi="Times New Roman"/>
          <w:noProof/>
          <w:color w:val="000000"/>
          <w:sz w:val="24"/>
          <w:szCs w:val="24"/>
        </w:rPr>
        <w:t xml:space="preserve"> puhul, kus tehti teise fikseeritud osamakse väljamakse: (2 miljon eurot) ja esimene muutuvsummaga osamakse (2 miljon eurot). See eelarvetoetusprogramm toetab muutusi sellistes valdkondades nagu taastuvenergeetika ja turism.</w:t>
      </w:r>
    </w:p>
    <w:p>
      <w:pPr>
        <w:pStyle w:val="ListParagraph"/>
        <w:autoSpaceDE w:val="0"/>
        <w:autoSpaceDN w:val="0"/>
        <w:adjustRightInd w:val="0"/>
        <w:spacing w:after="167" w:line="240" w:lineRule="auto"/>
        <w:ind w:left="778"/>
        <w:jc w:val="both"/>
        <w:rPr>
          <w:rFonts w:ascii="Times New Roman" w:hAnsi="Times New Roman" w:cs="Times New Roman"/>
          <w:noProof/>
          <w:color w:val="000000"/>
          <w:sz w:val="24"/>
          <w:szCs w:val="24"/>
        </w:rPr>
      </w:pPr>
    </w:p>
    <w:p>
      <w:pPr>
        <w:pStyle w:val="ListParagraph"/>
        <w:numPr>
          <w:ilvl w:val="0"/>
          <w:numId w:val="3"/>
        </w:numPr>
        <w:jc w:val="both"/>
        <w:rPr>
          <w:rFonts w:ascii="Times New Roman" w:hAnsi="Times New Roman" w:cs="Times New Roman"/>
          <w:noProof/>
        </w:rPr>
      </w:pPr>
      <w:r>
        <w:rPr>
          <w:rFonts w:ascii="Times New Roman" w:hAnsi="Times New Roman"/>
          <w:noProof/>
          <w:sz w:val="24"/>
          <w:szCs w:val="24"/>
        </w:rPr>
        <w:t xml:space="preserve">Pärast 11. EAFi programmidokumendi vastuvõtmist käivitati uus </w:t>
      </w:r>
      <w:r>
        <w:rPr>
          <w:rFonts w:ascii="Times New Roman" w:hAnsi="Times New Roman"/>
          <w:b/>
          <w:noProof/>
          <w:sz w:val="24"/>
          <w:szCs w:val="24"/>
        </w:rPr>
        <w:t>noorte eelarvetoetus Bonaire'i jaoks</w:t>
      </w:r>
      <w:r>
        <w:rPr>
          <w:rFonts w:ascii="Times New Roman" w:hAnsi="Times New Roman"/>
          <w:noProof/>
          <w:sz w:val="24"/>
          <w:szCs w:val="24"/>
        </w:rPr>
        <w:t xml:space="preserve"> (3,95 miljonit eurot). Sellega aidatakse parandada noorte tervist, suurendada nende tööalast konkurentsivõimet ja tõsta elatustaset</w:t>
      </w:r>
      <w:r>
        <w:rPr>
          <w:rFonts w:ascii="Times New Roman" w:hAnsi="Times New Roman"/>
          <w:noProof/>
        </w:rPr>
        <w:t xml:space="preserve">. </w:t>
      </w:r>
      <w:r>
        <w:rPr>
          <w:noProof/>
        </w:rPr>
        <w:br/>
      </w: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b/>
          <w:noProof/>
          <w:color w:val="000000"/>
          <w:sz w:val="24"/>
          <w:szCs w:val="24"/>
        </w:rPr>
        <w:t>Briti Neitsisaarte</w:t>
      </w:r>
      <w:r>
        <w:rPr>
          <w:rFonts w:ascii="Times New Roman" w:hAnsi="Times New Roman"/>
          <w:noProof/>
          <w:color w:val="000000"/>
          <w:sz w:val="24"/>
          <w:szCs w:val="24"/>
        </w:rPr>
        <w:t xml:space="preserve"> puhul eraldati B-assigneeringu raames 2 miljonit eurot</w:t>
      </w:r>
      <w:r>
        <w:rPr>
          <w:rStyle w:val="FootnoteReference"/>
          <w:rFonts w:ascii="Times New Roman" w:hAnsi="Times New Roman" w:cs="Times New Roman"/>
          <w:noProof/>
          <w:color w:val="000000"/>
          <w:sz w:val="24"/>
          <w:szCs w:val="24"/>
          <w:lang w:val="en-US"/>
        </w:rPr>
        <w:footnoteReference w:id="7"/>
      </w:r>
      <w:r>
        <w:rPr>
          <w:rFonts w:ascii="Times New Roman" w:hAnsi="Times New Roman"/>
          <w:noProof/>
          <w:color w:val="000000"/>
          <w:sz w:val="24"/>
          <w:szCs w:val="24"/>
        </w:rPr>
        <w:t xml:space="preserve"> hädaolukorrajärgseks abiks järelmeetmena Kariibi ülemeremaid 2017. aastal mõjutanud orkaanidele, et suurendada nende </w:t>
      </w:r>
      <w:r>
        <w:rPr>
          <w:rFonts w:ascii="Times New Roman" w:hAnsi="Times New Roman"/>
          <w:b/>
          <w:noProof/>
          <w:color w:val="000000"/>
          <w:sz w:val="24"/>
          <w:szCs w:val="24"/>
        </w:rPr>
        <w:t>vastupanuvõimet</w:t>
      </w:r>
      <w:r>
        <w:rPr>
          <w:rFonts w:ascii="Times New Roman" w:hAnsi="Times New Roman"/>
          <w:noProof/>
          <w:color w:val="000000"/>
          <w:sz w:val="24"/>
          <w:szCs w:val="24"/>
        </w:rPr>
        <w:t>.</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Vaikse ookeani piirkond: </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Default"/>
        <w:numPr>
          <w:ilvl w:val="0"/>
          <w:numId w:val="7"/>
        </w:numPr>
        <w:jc w:val="both"/>
        <w:rPr>
          <w:rFonts w:ascii="Times New Roman" w:hAnsi="Times New Roman" w:cs="Times New Roman"/>
          <w:noProof/>
          <w:color w:val="auto"/>
        </w:rPr>
      </w:pPr>
      <w:r>
        <w:rPr>
          <w:rFonts w:ascii="Times New Roman" w:hAnsi="Times New Roman"/>
          <w:noProof/>
          <w:color w:val="auto"/>
        </w:rPr>
        <w:t xml:space="preserve">Kestliku </w:t>
      </w:r>
      <w:r>
        <w:rPr>
          <w:rFonts w:ascii="Times New Roman" w:hAnsi="Times New Roman"/>
          <w:b/>
          <w:noProof/>
          <w:color w:val="auto"/>
        </w:rPr>
        <w:t>turismi</w:t>
      </w:r>
      <w:r>
        <w:rPr>
          <w:rFonts w:ascii="Times New Roman" w:hAnsi="Times New Roman"/>
          <w:noProof/>
          <w:color w:val="auto"/>
        </w:rPr>
        <w:t xml:space="preserve"> vallas tegi </w:t>
      </w:r>
      <w:r>
        <w:rPr>
          <w:rFonts w:ascii="Times New Roman" w:hAnsi="Times New Roman"/>
          <w:b/>
          <w:noProof/>
          <w:color w:val="auto"/>
        </w:rPr>
        <w:t>Prantsuse Polüneesia</w:t>
      </w:r>
      <w:r>
        <w:rPr>
          <w:rFonts w:ascii="Times New Roman" w:hAnsi="Times New Roman"/>
          <w:noProof/>
          <w:color w:val="auto"/>
        </w:rPr>
        <w:t xml:space="preserve"> edusamme oma valdkondlikus poliitikas, viies ellu oma kestliku turismi strateegiat, mis võimaldas teha teise fikseeritud osamakse väljamakse (7,4 miljonit eurot). </w:t>
      </w:r>
      <w:r>
        <w:rPr>
          <w:rFonts w:ascii="Times New Roman" w:hAnsi="Times New Roman"/>
          <w:b/>
          <w:noProof/>
          <w:color w:val="auto"/>
        </w:rPr>
        <w:t>Pitcairn</w:t>
      </w:r>
      <w:r>
        <w:rPr>
          <w:rFonts w:ascii="Times New Roman" w:hAnsi="Times New Roman"/>
          <w:noProof/>
          <w:color w:val="auto"/>
        </w:rPr>
        <w:t xml:space="preserve"> jätkas samuti oma strateegilise arengukava eluviimist, edendades turismi ja saades kasu esimesest fikseeritud osamaksest summas 1 miljon eurot. Käivitati uus laevandusteenus ja reisijate arv suurenes märkimisväärselt. </w:t>
      </w:r>
    </w:p>
    <w:p>
      <w:pPr>
        <w:pStyle w:val="ListParagraph"/>
        <w:autoSpaceDE w:val="0"/>
        <w:autoSpaceDN w:val="0"/>
        <w:adjustRightInd w:val="0"/>
        <w:spacing w:after="167" w:line="240" w:lineRule="auto"/>
        <w:jc w:val="both"/>
        <w:rPr>
          <w:rFonts w:ascii="Times New Roman" w:hAnsi="Times New Roman" w:cs="Times New Roman"/>
          <w:noProof/>
          <w:color w:val="000000"/>
          <w:sz w:val="24"/>
          <w:szCs w:val="24"/>
          <w:lang w:val="en-US"/>
        </w:rPr>
      </w:pPr>
    </w:p>
    <w:p>
      <w:pPr>
        <w:pStyle w:val="ListParagraph"/>
        <w:numPr>
          <w:ilvl w:val="0"/>
          <w:numId w:val="4"/>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b/>
          <w:bCs/>
          <w:noProof/>
          <w:color w:val="000000"/>
          <w:sz w:val="24"/>
          <w:szCs w:val="24"/>
        </w:rPr>
        <w:t>Tööhõivesektoris</w:t>
      </w:r>
      <w:r>
        <w:rPr>
          <w:rFonts w:ascii="Times New Roman" w:hAnsi="Times New Roman"/>
          <w:noProof/>
          <w:color w:val="000000"/>
          <w:sz w:val="24"/>
          <w:szCs w:val="24"/>
        </w:rPr>
        <w:t xml:space="preserve"> jätkas </w:t>
      </w:r>
      <w:r>
        <w:rPr>
          <w:rFonts w:ascii="Times New Roman" w:hAnsi="Times New Roman"/>
          <w:b/>
          <w:bCs/>
          <w:noProof/>
          <w:color w:val="000000"/>
          <w:sz w:val="24"/>
          <w:szCs w:val="24"/>
        </w:rPr>
        <w:t>Uus-Kaledoonia</w:t>
      </w:r>
      <w:r>
        <w:rPr>
          <w:rFonts w:ascii="Times New Roman" w:hAnsi="Times New Roman"/>
          <w:noProof/>
          <w:sz w:val="24"/>
          <w:szCs w:val="24"/>
        </w:rPr>
        <w:t xml:space="preserve"> jõupingutusi, et suurendada juurdepääsu koolitusprogrammidele ning parandada tööhõives ja koolituses osalemise määrasid.</w:t>
      </w:r>
      <w:r>
        <w:rPr>
          <w:rFonts w:ascii="Times New Roman" w:hAnsi="Times New Roman"/>
          <w:noProof/>
          <w:color w:val="000000"/>
          <w:sz w:val="24"/>
          <w:szCs w:val="24"/>
        </w:rPr>
        <w:t xml:space="preserve"> 2018. aasta kavandatav osamakse (teine fikseeritud osamakse 4 miljonit eurot + esimene muutuvsummaga osamakse 2 miljonit eurot) maksti välja 2019. aasta alguses. Lisaks tehti 2019. aasta lõpus kolmas fikseeritud osamakse (5 miljonit eurot) ja teine muutuvsummaga osamakse (3 miljonit eurot). </w:t>
      </w:r>
    </w:p>
    <w:p>
      <w:pPr>
        <w:pStyle w:val="ListParagraph"/>
        <w:autoSpaceDE w:val="0"/>
        <w:autoSpaceDN w:val="0"/>
        <w:adjustRightInd w:val="0"/>
        <w:spacing w:after="167" w:line="240" w:lineRule="auto"/>
        <w:jc w:val="both"/>
        <w:rPr>
          <w:rFonts w:ascii="Times New Roman" w:hAnsi="Times New Roman" w:cs="Times New Roman"/>
          <w:noProof/>
          <w:color w:val="000000"/>
          <w:sz w:val="24"/>
          <w:szCs w:val="24"/>
        </w:rPr>
      </w:pPr>
    </w:p>
    <w:p>
      <w:pPr>
        <w:pStyle w:val="ListParagraph"/>
        <w:numPr>
          <w:ilvl w:val="0"/>
          <w:numId w:val="4"/>
        </w:numPr>
        <w:jc w:val="both"/>
        <w:rPr>
          <w:rFonts w:ascii="Times New Roman" w:hAnsi="Times New Roman" w:cs="Times New Roman"/>
          <w:noProof/>
          <w:color w:val="000000"/>
          <w:sz w:val="24"/>
          <w:szCs w:val="24"/>
        </w:rPr>
      </w:pPr>
      <w:r>
        <w:rPr>
          <w:rFonts w:ascii="Times New Roman" w:hAnsi="Times New Roman"/>
          <w:b/>
          <w:noProof/>
          <w:color w:val="000000"/>
          <w:sz w:val="24"/>
          <w:szCs w:val="24"/>
        </w:rPr>
        <w:t>Digitaalse arengu</w:t>
      </w:r>
      <w:r>
        <w:rPr>
          <w:rFonts w:ascii="Times New Roman" w:hAnsi="Times New Roman"/>
          <w:noProof/>
          <w:color w:val="000000"/>
          <w:sz w:val="24"/>
          <w:szCs w:val="24"/>
        </w:rPr>
        <w:t xml:space="preserve"> vallas tegid </w:t>
      </w:r>
      <w:r>
        <w:rPr>
          <w:rFonts w:ascii="Times New Roman" w:hAnsi="Times New Roman"/>
          <w:b/>
          <w:noProof/>
          <w:color w:val="000000"/>
          <w:sz w:val="24"/>
          <w:szCs w:val="24"/>
        </w:rPr>
        <w:t>Wallis ja Futuna</w:t>
      </w:r>
      <w:r>
        <w:rPr>
          <w:rFonts w:ascii="Times New Roman" w:hAnsi="Times New Roman"/>
          <w:noProof/>
          <w:color w:val="000000"/>
          <w:sz w:val="24"/>
          <w:szCs w:val="24"/>
        </w:rPr>
        <w:t xml:space="preserve"> jätkuvalt edusamme oma digistrateegia rakendamisel ja kiiret lairibaühendust tagava Tui-Samoa lairibakaabliga</w:t>
      </w:r>
      <w:r>
        <w:rPr>
          <w:rFonts w:ascii="Times New Roman" w:hAnsi="Times New Roman" w:cs="Times New Roman"/>
          <w:noProof/>
          <w:color w:val="000000"/>
          <w:sz w:val="24"/>
          <w:szCs w:val="24"/>
          <w:vertAlign w:val="superscript"/>
          <w:lang w:val="en-US"/>
        </w:rPr>
        <w:footnoteReference w:id="8"/>
      </w:r>
      <w:r>
        <w:rPr>
          <w:rFonts w:ascii="Times New Roman" w:hAnsi="Times New Roman"/>
          <w:noProof/>
          <w:color w:val="000000"/>
          <w:sz w:val="24"/>
          <w:szCs w:val="24"/>
        </w:rPr>
        <w:t xml:space="preserve"> seotud teenuste kasutuselevõtmisel.</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Muud ÜMTd: </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ListParagraph"/>
        <w:numPr>
          <w:ilvl w:val="0"/>
          <w:numId w:val="5"/>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b/>
          <w:noProof/>
          <w:color w:val="000000"/>
          <w:sz w:val="24"/>
          <w:szCs w:val="24"/>
        </w:rPr>
        <w:t>Falklandi saared</w:t>
      </w:r>
      <w:r>
        <w:rPr>
          <w:rFonts w:ascii="Times New Roman" w:hAnsi="Times New Roman"/>
          <w:noProof/>
          <w:color w:val="000000"/>
          <w:sz w:val="24"/>
          <w:szCs w:val="24"/>
        </w:rPr>
        <w:t xml:space="preserve"> on 11. EAFi raames </w:t>
      </w:r>
      <w:r>
        <w:rPr>
          <w:rFonts w:ascii="Times New Roman" w:hAnsi="Times New Roman"/>
          <w:b/>
          <w:noProof/>
          <w:color w:val="000000"/>
          <w:sz w:val="24"/>
          <w:szCs w:val="24"/>
        </w:rPr>
        <w:t>ühenduvusprogrammist</w:t>
      </w:r>
      <w:r>
        <w:rPr>
          <w:rFonts w:ascii="Times New Roman" w:hAnsi="Times New Roman"/>
          <w:noProof/>
          <w:color w:val="000000"/>
          <w:sz w:val="24"/>
          <w:szCs w:val="24"/>
        </w:rPr>
        <w:t xml:space="preserve"> kasu saanud. 2019. aastal</w:t>
      </w:r>
      <w:r>
        <w:rPr>
          <w:rFonts w:ascii="Times New Roman" w:hAnsi="Times New Roman"/>
          <w:noProof/>
          <w:sz w:val="24"/>
          <w:szCs w:val="24"/>
        </w:rPr>
        <w:t xml:space="preserve"> tehti rahuldavaid edusamme riiklike taristuplaanide rakendamisel ja õhusõidukite taastamisel.</w:t>
      </w:r>
      <w:r>
        <w:rPr>
          <w:rFonts w:ascii="Times New Roman" w:hAnsi="Times New Roman"/>
          <w:noProof/>
          <w:color w:val="000000"/>
          <w:sz w:val="24"/>
          <w:szCs w:val="24"/>
        </w:rPr>
        <w:t xml:space="preserve"> Maksti välja teine fikseeritud osamakse (1 miljon eurot) ja teine muutuvsummaga osamakse (0,75 miljonit eurot). </w:t>
      </w:r>
      <w:r>
        <w:rPr>
          <w:rFonts w:ascii="Times New Roman" w:hAnsi="Times New Roman"/>
          <w:b/>
          <w:noProof/>
          <w:color w:val="000000"/>
          <w:sz w:val="24"/>
          <w:szCs w:val="24"/>
        </w:rPr>
        <w:t>Saint Helena</w:t>
      </w:r>
      <w:r>
        <w:rPr>
          <w:rFonts w:ascii="Times New Roman" w:hAnsi="Times New Roman"/>
          <w:noProof/>
          <w:color w:val="000000"/>
          <w:sz w:val="24"/>
          <w:szCs w:val="24"/>
        </w:rPr>
        <w:t>, kes sai 11 EAFi raames samuti kasu ühenduvusprogrammist, tegi 2019. aastal märkimisväärseid edusamme oma digistrateegia elluviimisel.</w:t>
      </w:r>
      <w:r>
        <w:rPr>
          <w:noProof/>
        </w:rPr>
        <w:t xml:space="preserve"> </w:t>
      </w:r>
      <w:r>
        <w:rPr>
          <w:noProof/>
        </w:rPr>
        <w:br/>
      </w:r>
    </w:p>
    <w:p>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b/>
          <w:bCs/>
          <w:noProof/>
          <w:sz w:val="24"/>
          <w:szCs w:val="24"/>
        </w:rPr>
        <w:t>Turismi</w:t>
      </w:r>
      <w:r>
        <w:rPr>
          <w:rFonts w:ascii="Times New Roman" w:hAnsi="Times New Roman"/>
          <w:noProof/>
          <w:sz w:val="24"/>
          <w:szCs w:val="24"/>
        </w:rPr>
        <w:t xml:space="preserve"> vallas viidi </w:t>
      </w:r>
      <w:r>
        <w:rPr>
          <w:rFonts w:ascii="Times New Roman" w:hAnsi="Times New Roman"/>
          <w:b/>
          <w:bCs/>
          <w:noProof/>
          <w:sz w:val="24"/>
          <w:szCs w:val="24"/>
        </w:rPr>
        <w:t>Saint-Pierre'is ja Miquelonis</w:t>
      </w:r>
      <w:r>
        <w:rPr>
          <w:rFonts w:ascii="Times New Roman" w:hAnsi="Times New Roman"/>
          <w:noProof/>
          <w:sz w:val="24"/>
          <w:szCs w:val="24"/>
        </w:rPr>
        <w:t xml:space="preserve"> 2019. aastal lõpule eelarvetoetusprogramm neljanda fikseeritud osamakse (3,25 miljonit eurot) ja teise muutuvsummaga osamakse täies mahus (3,25 miljonit eurot) väljamaksmisega. Turismi ja meretranspordi sektoris tehti märkimisväärseid edusamme, nagu näitas oluline kasv majutuskohtade arvus ja merendusteenuste tugevdamine Saint-Pierre'i ja Miqueloni ning Kanadas asuva Newfoundlandi saare vahel.</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Kokkuvõttes on tänu eelarvetoetusprogrammidele terve aasta vältel toimunud ÜMTdega poliitilised dialoogid makromajandusliku olukorra, avaliku sektori finantshalduse ja valdkondade tegevuskavade üle. </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spacing w:line="240" w:lineRule="auto"/>
        <w:jc w:val="both"/>
        <w:rPr>
          <w:rFonts w:ascii="Times New Roman" w:hAnsi="Times New Roman" w:cs="Times New Roman"/>
          <w:iCs/>
          <w:noProof/>
          <w:color w:val="000000"/>
          <w:sz w:val="24"/>
          <w:szCs w:val="24"/>
        </w:rPr>
      </w:pPr>
      <w:r>
        <w:rPr>
          <w:rFonts w:ascii="Times New Roman" w:hAnsi="Times New Roman"/>
          <w:iCs/>
          <w:noProof/>
          <w:color w:val="000000"/>
          <w:sz w:val="24"/>
          <w:szCs w:val="24"/>
        </w:rPr>
        <w:t xml:space="preserve">2019. aastal võeti kasutusse </w:t>
      </w:r>
      <w:r>
        <w:rPr>
          <w:rFonts w:ascii="Times New Roman" w:hAnsi="Times New Roman"/>
          <w:b/>
          <w:bCs/>
          <w:iCs/>
          <w:noProof/>
          <w:color w:val="000000"/>
          <w:sz w:val="24"/>
          <w:szCs w:val="24"/>
        </w:rPr>
        <w:t>tehniline abi</w:t>
      </w:r>
      <w:r>
        <w:rPr>
          <w:rFonts w:ascii="Times New Roman" w:hAnsi="Times New Roman"/>
          <w:iCs/>
          <w:noProof/>
          <w:color w:val="000000"/>
          <w:sz w:val="24"/>
          <w:szCs w:val="24"/>
        </w:rPr>
        <w:t>, et toetada territoriaalsete ja piirkondlike eelarvevahendite käsutajaid programmitöö käigus. 2019. aasta lõpuks oli 11. EAFi tehnilise koostöö rahastu II ja III raames tehtud tehnilise abi lepinguid ja uuringuid ÜMTde programmitöö, valdkonnapõhiste strateegiate määratlemisele või ÜMTde eelarvetoetuse saamise kõlblikkuse kindlakstegemisele kaasa aitamiseks kogumahus 1 592 672,72 eurot.</w:t>
      </w:r>
    </w:p>
    <w:p>
      <w:pPr>
        <w:autoSpaceDE w:val="0"/>
        <w:autoSpaceDN w:val="0"/>
        <w:adjustRightInd w:val="0"/>
        <w:spacing w:after="0" w:line="240" w:lineRule="auto"/>
        <w:rPr>
          <w:rFonts w:ascii="Times New Roman" w:hAnsi="Times New Roman" w:cs="Times New Roman"/>
          <w:noProof/>
          <w:color w:val="000000"/>
          <w:sz w:val="24"/>
          <w:szCs w:val="24"/>
        </w:rPr>
      </w:pPr>
    </w:p>
    <w:p>
      <w:pPr>
        <w:pStyle w:val="ListParagraph"/>
        <w:numPr>
          <w:ilvl w:val="0"/>
          <w:numId w:val="2"/>
        </w:num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b/>
          <w:bCs/>
          <w:noProof/>
          <w:color w:val="000000"/>
          <w:sz w:val="24"/>
          <w:szCs w:val="24"/>
        </w:rPr>
        <w:t xml:space="preserve">Piirkondlik koostöö 11. EAFi raames </w:t>
      </w:r>
    </w:p>
    <w:p>
      <w:pPr>
        <w:pStyle w:val="ListParagraph"/>
        <w:autoSpaceDE w:val="0"/>
        <w:autoSpaceDN w:val="0"/>
        <w:adjustRightInd w:val="0"/>
        <w:spacing w:after="0" w:line="240" w:lineRule="auto"/>
        <w:rPr>
          <w:rFonts w:ascii="Times New Roman" w:hAnsi="Times New Roman" w:cs="Times New Roman"/>
          <w:noProof/>
          <w:color w:val="000000"/>
          <w:sz w:val="24"/>
          <w:szCs w:val="24"/>
          <w:lang w:val="en-US"/>
        </w:rPr>
      </w:pPr>
    </w:p>
    <w:p>
      <w:p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noProof/>
          <w:color w:val="000000"/>
          <w:sz w:val="24"/>
          <w:szCs w:val="24"/>
        </w:rPr>
        <w:t xml:space="preserve">2019. aastal tehti olulisi edusamme 11. EAFi piirkondlike ÜMT programmidega: </w:t>
      </w:r>
    </w:p>
    <w:p>
      <w:pPr>
        <w:autoSpaceDE w:val="0"/>
        <w:autoSpaceDN w:val="0"/>
        <w:adjustRightInd w:val="0"/>
        <w:spacing w:after="0" w:line="240" w:lineRule="auto"/>
        <w:rPr>
          <w:rFonts w:ascii="Times New Roman" w:hAnsi="Times New Roman" w:cs="Times New Roman"/>
          <w:noProof/>
          <w:color w:val="000000"/>
          <w:sz w:val="24"/>
          <w:szCs w:val="24"/>
          <w:lang w:val="en-US"/>
        </w:rPr>
      </w:pPr>
    </w:p>
    <w:p>
      <w:pPr>
        <w:pStyle w:val="ListParagraph"/>
        <w:numPr>
          <w:ilvl w:val="0"/>
          <w:numId w:val="6"/>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b/>
          <w:bCs/>
          <w:noProof/>
          <w:sz w:val="24"/>
          <w:szCs w:val="24"/>
        </w:rPr>
        <w:t>Vaikse ookeani piirkonnas</w:t>
      </w:r>
      <w:r>
        <w:rPr>
          <w:rFonts w:ascii="Times New Roman" w:hAnsi="Times New Roman"/>
          <w:noProof/>
          <w:sz w:val="24"/>
          <w:szCs w:val="24"/>
        </w:rPr>
        <w:t xml:space="preserve"> piirkondlik programm „PROTEGE“ </w:t>
      </w:r>
      <w:r>
        <w:rPr>
          <w:rFonts w:ascii="Times New Roman" w:hAnsi="Times New Roman"/>
          <w:iCs/>
          <w:noProof/>
          <w:sz w:val="24"/>
          <w:szCs w:val="24"/>
        </w:rPr>
        <w:t>(</w:t>
      </w:r>
      <w:r>
        <w:rPr>
          <w:rFonts w:ascii="Times New Roman" w:hAnsi="Times New Roman"/>
          <w:i/>
          <w:iCs/>
          <w:noProof/>
          <w:sz w:val="24"/>
          <w:szCs w:val="24"/>
        </w:rPr>
        <w:t>Projet régional océanien des territoires pour la gestion durable des écosystèmes</w:t>
      </w:r>
      <w:r>
        <w:rPr>
          <w:rFonts w:ascii="Times New Roman" w:hAnsi="Times New Roman"/>
          <w:noProof/>
          <w:sz w:val="24"/>
          <w:szCs w:val="24"/>
        </w:rPr>
        <w:t xml:space="preserve"> – 36 miljonit eurot), mis toetab elurikkuse ja taastuvate loodusvarade kaitsmise kaudu piirkonna kestlikku ning vastupanuvõimelist arengut. See toetub 10. EAFi piirkondlikule programmile „INTEGRE“ (</w:t>
      </w:r>
      <w:r>
        <w:rPr>
          <w:rFonts w:ascii="Times New Roman" w:hAnsi="Times New Roman"/>
          <w:i/>
          <w:iCs/>
          <w:noProof/>
          <w:sz w:val="24"/>
          <w:szCs w:val="24"/>
        </w:rPr>
        <w:t>Initiative des territoires pour la gestion régionale de l’environnement</w:t>
      </w:r>
      <w:r>
        <w:rPr>
          <w:rFonts w:ascii="Times New Roman" w:hAnsi="Times New Roman"/>
          <w:noProof/>
          <w:sz w:val="24"/>
          <w:szCs w:val="24"/>
        </w:rPr>
        <w:t>, 12 miljonit eurot), mis toetas rannikuala integreeritud majandamist ja tugevdatud piirkondlikku koostööd kestliku arengu vallas. Esimene osamakse (6,8 miljonit eurot) maksti välja 2018. aasta detsembris. 2019. aastal värvati meeskond ja määratleti neli peamist prioriteeti (põllumajandus, kalandus, vesi ja invasiivsed võõrliigid) ning esimene juhtkomitee kohtumine toimus 2019. aasta juulis.</w:t>
      </w:r>
      <w:r>
        <w:rPr>
          <w:noProof/>
        </w:rPr>
        <w:tab/>
        <w:t xml:space="preserve"> </w:t>
      </w:r>
      <w:r>
        <w:rPr>
          <w:noProof/>
        </w:rPr>
        <w:br/>
      </w:r>
    </w:p>
    <w:p>
      <w:pPr>
        <w:pStyle w:val="ListParagraph"/>
        <w:numPr>
          <w:ilvl w:val="0"/>
          <w:numId w:val="6"/>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b/>
          <w:bCs/>
          <w:noProof/>
          <w:sz w:val="24"/>
          <w:szCs w:val="24"/>
        </w:rPr>
        <w:t>Kariibi mere</w:t>
      </w:r>
      <w:r>
        <w:rPr>
          <w:rFonts w:ascii="Times New Roman" w:hAnsi="Times New Roman"/>
          <w:noProof/>
          <w:sz w:val="24"/>
          <w:szCs w:val="24"/>
        </w:rPr>
        <w:t xml:space="preserve"> piirkondlik programm „Resembid“ (</w:t>
      </w:r>
      <w:r>
        <w:rPr>
          <w:rFonts w:ascii="Times New Roman" w:hAnsi="Times New Roman"/>
          <w:i/>
          <w:noProof/>
          <w:sz w:val="24"/>
          <w:szCs w:val="24"/>
        </w:rPr>
        <w:t>Resilience Sustainable Energy and Marine Biodiversity</w:t>
      </w:r>
      <w:r>
        <w:rPr>
          <w:rFonts w:ascii="Times New Roman" w:hAnsi="Times New Roman"/>
          <w:noProof/>
          <w:sz w:val="24"/>
          <w:szCs w:val="24"/>
        </w:rPr>
        <w:t>, 40 miljonit eurot), mille eesmärk on tugevdada keskkonnaalaselt kestlikku majandusarengut sellega, et keskendutakse vastupanuvõimele, säästvale energiale ja mere elurikkusele. Eesmärk on uuendada aegunud taristut ja parandada selle energiatõhusust, tõhustada mere elurikkuse kaitset ja kestlikku majandamist ning suurendada vastupanuvõimet äärmuslikele ja korduvatele loodusnähtustele. 2019. aastal maksti välja kokku 3,62 miljonit eurot.</w:t>
      </w:r>
    </w:p>
    <w:p>
      <w:pPr>
        <w:pStyle w:val="ListParagraph"/>
        <w:spacing w:line="240" w:lineRule="auto"/>
        <w:jc w:val="both"/>
        <w:rPr>
          <w:rFonts w:ascii="Times New Roman" w:hAnsi="Times New Roman" w:cs="Times New Roman"/>
          <w:noProof/>
          <w:sz w:val="24"/>
          <w:szCs w:val="24"/>
        </w:rPr>
      </w:pPr>
    </w:p>
    <w:p>
      <w:pPr>
        <w:pStyle w:val="ListParagraph"/>
        <w:numPr>
          <w:ilvl w:val="0"/>
          <w:numId w:val="6"/>
        </w:numPr>
        <w:spacing w:line="240" w:lineRule="auto"/>
        <w:jc w:val="both"/>
        <w:rPr>
          <w:rFonts w:ascii="Times New Roman" w:hAnsi="Times New Roman" w:cs="Times New Roman"/>
          <w:noProof/>
          <w:sz w:val="24"/>
          <w:szCs w:val="24"/>
        </w:rPr>
      </w:pPr>
      <w:r>
        <w:rPr>
          <w:rFonts w:ascii="Times New Roman" w:hAnsi="Times New Roman"/>
          <w:b/>
          <w:bCs/>
          <w:noProof/>
          <w:sz w:val="24"/>
          <w:szCs w:val="24"/>
        </w:rPr>
        <w:t>India ookeani</w:t>
      </w:r>
      <w:r>
        <w:rPr>
          <w:rFonts w:ascii="Times New Roman" w:hAnsi="Times New Roman"/>
          <w:noProof/>
          <w:sz w:val="24"/>
          <w:szCs w:val="24"/>
        </w:rPr>
        <w:t xml:space="preserve"> piirkondlik programm (</w:t>
      </w:r>
      <w:r>
        <w:rPr>
          <w:rFonts w:ascii="Times New Roman" w:hAnsi="Times New Roman"/>
          <w:i/>
          <w:iCs/>
          <w:noProof/>
          <w:sz w:val="24"/>
          <w:szCs w:val="24"/>
        </w:rPr>
        <w:t>Programme Régional d’appui dans le secteur de l’observation, de la gestion et de la préservation des écosystèmes terrestres et marins</w:t>
      </w:r>
      <w:r>
        <w:rPr>
          <w:rFonts w:ascii="Times New Roman" w:hAnsi="Times New Roman"/>
          <w:noProof/>
          <w:sz w:val="24"/>
          <w:szCs w:val="24"/>
        </w:rPr>
        <w:t>; 4 miljonit eurot), mille eesmärk on parandada maismaa ja mere ökosüsteemide jälgimist ja seiret Prantsuse Antarktilistel ja Lõunaaladel, taastada ökosüsteemid ning tugevdada mõju ennetamise mehhanisme. Rahalist toetust käsitlev leping asutusega Agence Française de Développement allkirjastati 2019. aasta juulis ja välja on makstud 1,4 miljonit eurot.</w:t>
      </w:r>
      <w:r>
        <w:rPr>
          <w:noProof/>
        </w:rPr>
        <w:tab/>
        <w:t xml:space="preserve"> </w:t>
      </w:r>
      <w:r>
        <w:rPr>
          <w:noProof/>
        </w:rPr>
        <w:br/>
      </w:r>
    </w:p>
    <w:p>
      <w:pPr>
        <w:pStyle w:val="ListParagraph"/>
        <w:numPr>
          <w:ilvl w:val="0"/>
          <w:numId w:val="6"/>
        </w:numPr>
        <w:autoSpaceDE w:val="0"/>
        <w:autoSpaceDN w:val="0"/>
        <w:adjustRightInd w:val="0"/>
        <w:spacing w:after="167" w:line="240" w:lineRule="auto"/>
        <w:jc w:val="both"/>
        <w:rPr>
          <w:rFonts w:ascii="Times New Roman" w:hAnsi="Times New Roman" w:cs="Times New Roman"/>
          <w:noProof/>
          <w:sz w:val="24"/>
          <w:szCs w:val="24"/>
        </w:rPr>
      </w:pPr>
      <w:r>
        <w:rPr>
          <w:rFonts w:ascii="Times New Roman" w:hAnsi="Times New Roman"/>
          <w:b/>
          <w:noProof/>
          <w:sz w:val="24"/>
          <w:szCs w:val="24"/>
        </w:rPr>
        <w:t>11. EAFi kõiki ÜMTsid puudutava valdkondliku programmi</w:t>
      </w:r>
      <w:r>
        <w:rPr>
          <w:rFonts w:ascii="Times New Roman" w:hAnsi="Times New Roman"/>
          <w:noProof/>
          <w:sz w:val="24"/>
          <w:szCs w:val="24"/>
        </w:rPr>
        <w:t xml:space="preserve"> (17,8 miljonit eurot) puhul võeti programmidokument vastu 2019. aasta märtsis. Programm keskendub loodusvarade säästvale kasutamisele ning allosadena on määratletud säästev energia ja kliimamuutused, sealhulgas katastroofiohu vähendamine. Lepingu allkirjastamine valitud rakendusasutusega on kavandatud 2020. aastasse.</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Lisaks toetas EL 2019. aastal </w:t>
      </w:r>
      <w:r>
        <w:rPr>
          <w:rFonts w:ascii="Times New Roman" w:hAnsi="Times New Roman"/>
          <w:b/>
          <w:bCs/>
          <w:noProof/>
          <w:color w:val="000000"/>
          <w:sz w:val="24"/>
          <w:szCs w:val="24"/>
        </w:rPr>
        <w:t xml:space="preserve">ülemeremaade ja -territooriumide ühendust (OCTA) tegevustoetuse kaudu </w:t>
      </w:r>
      <w:r>
        <w:rPr>
          <w:rFonts w:ascii="Times New Roman" w:hAnsi="Times New Roman"/>
          <w:noProof/>
          <w:color w:val="000000"/>
          <w:sz w:val="24"/>
          <w:szCs w:val="24"/>
        </w:rPr>
        <w:t>(550 000 eurot). See aitas ühendusel suurendada oma ülesannete täitmise suutlikkust, mis puudutas eeskätt ÜMT partnerite koordineerimist, et hõlbustada dialoogi ELiga, edendada partnerlust ja toetada EL-ÜMT ühenduse raames liikmete kollektiivset tööd mitmes vastastikust huvi pakkuvas valdkonnas.</w:t>
      </w:r>
    </w:p>
    <w:p>
      <w:pPr>
        <w:autoSpaceDE w:val="0"/>
        <w:autoSpaceDN w:val="0"/>
        <w:adjustRightInd w:val="0"/>
        <w:spacing w:after="0" w:line="240" w:lineRule="auto"/>
        <w:rPr>
          <w:rFonts w:ascii="Times New Roman" w:hAnsi="Times New Roman" w:cs="Times New Roman"/>
          <w:noProof/>
          <w:color w:val="000000"/>
          <w:sz w:val="24"/>
          <w:szCs w:val="24"/>
        </w:rPr>
      </w:pPr>
    </w:p>
    <w:p>
      <w:pPr>
        <w:pStyle w:val="ListParagraph"/>
        <w:numPr>
          <w:ilvl w:val="0"/>
          <w:numId w:val="2"/>
        </w:numPr>
        <w:autoSpaceDE w:val="0"/>
        <w:autoSpaceDN w:val="0"/>
        <w:adjustRightInd w:val="0"/>
        <w:spacing w:after="0" w:line="240" w:lineRule="auto"/>
        <w:rPr>
          <w:rFonts w:ascii="Times New Roman" w:hAnsi="Times New Roman" w:cs="Times New Roman"/>
          <w:b/>
          <w:bCs/>
          <w:noProof/>
          <w:color w:val="000000"/>
          <w:sz w:val="24"/>
          <w:szCs w:val="24"/>
        </w:rPr>
      </w:pPr>
      <w:r>
        <w:rPr>
          <w:rFonts w:ascii="Times New Roman" w:hAnsi="Times New Roman"/>
          <w:b/>
          <w:bCs/>
          <w:noProof/>
          <w:color w:val="000000"/>
          <w:sz w:val="24"/>
          <w:szCs w:val="24"/>
        </w:rPr>
        <w:t xml:space="preserve">Institutsionaalne dialoog </w:t>
      </w:r>
    </w:p>
    <w:p>
      <w:pPr>
        <w:pStyle w:val="ListParagraph"/>
        <w:autoSpaceDE w:val="0"/>
        <w:autoSpaceDN w:val="0"/>
        <w:adjustRightInd w:val="0"/>
        <w:spacing w:after="0" w:line="240" w:lineRule="auto"/>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Ühenduses on määratletud kolm dialoogifoorumit:</w:t>
      </w:r>
    </w:p>
    <w:p>
      <w:pPr>
        <w:autoSpaceDE w:val="0"/>
        <w:autoSpaceDN w:val="0"/>
        <w:adjustRightInd w:val="0"/>
        <w:spacing w:after="0" w:line="240" w:lineRule="auto"/>
        <w:jc w:val="both"/>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ÜMTde ja ELi foorum </w:t>
      </w:r>
    </w:p>
    <w:p>
      <w:pPr>
        <w:autoSpaceDE w:val="0"/>
        <w:autoSpaceDN w:val="0"/>
        <w:adjustRightInd w:val="0"/>
        <w:spacing w:after="0" w:line="240" w:lineRule="auto"/>
        <w:jc w:val="both"/>
        <w:rPr>
          <w:rFonts w:ascii="Times New Roman" w:hAnsi="Times New Roman" w:cs="Times New Roman"/>
          <w:noProof/>
          <w:color w:val="000000"/>
          <w:sz w:val="24"/>
          <w:szCs w:val="24"/>
          <w:u w:val="single"/>
          <w:lang w:val="en-US"/>
        </w:rPr>
      </w:pP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17. ÜMTde ja ELi foorum toimus 2019. aasta märtsis Prantsuse Polüneesias</w:t>
      </w:r>
      <w:r>
        <w:rPr>
          <w:rFonts w:ascii="Times New Roman" w:hAnsi="Times New Roman"/>
          <w:noProof/>
          <w:sz w:val="24"/>
          <w:szCs w:val="24"/>
        </w:rPr>
        <w:t xml:space="preserve"> koos ÜMTde ja liikmesriikide kõrgetasemeliste esindajatega ning foorumi esimees oli </w:t>
      </w:r>
      <w:r>
        <w:rPr>
          <w:rFonts w:ascii="Times New Roman" w:hAnsi="Times New Roman"/>
          <w:noProof/>
          <w:color w:val="000000"/>
          <w:sz w:val="24"/>
          <w:szCs w:val="24"/>
        </w:rPr>
        <w:t>Euroopa Komisjoni rahvusvahelise koostöö ja arengu volinik Neven Mimica</w:t>
      </w:r>
      <w:r>
        <w:rPr>
          <w:rFonts w:ascii="Times New Roman" w:hAnsi="Times New Roman"/>
          <w:noProof/>
          <w:sz w:val="24"/>
          <w:szCs w:val="24"/>
        </w:rPr>
        <w:t>.</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b/>
          <w:bCs/>
          <w:noProof/>
          <w:color w:val="000000"/>
          <w:sz w:val="24"/>
          <w:szCs w:val="24"/>
        </w:rPr>
        <w:t>17. ÜMTde ja ELi foorumi</w:t>
      </w:r>
      <w:r>
        <w:rPr>
          <w:rFonts w:ascii="Times New Roman" w:hAnsi="Times New Roman"/>
          <w:noProof/>
          <w:color w:val="000000"/>
          <w:sz w:val="24"/>
          <w:szCs w:val="24"/>
        </w:rPr>
        <w:t xml:space="preserve"> järeldustes kinnitasid EL, ÜMTd ja nende liikmesriigid, </w:t>
      </w:r>
      <w:r>
        <w:rPr>
          <w:rFonts w:ascii="Times New Roman" w:hAnsi="Times New Roman"/>
          <w:noProof/>
          <w:sz w:val="24"/>
          <w:szCs w:val="24"/>
        </w:rPr>
        <w:t>et 2019. aasta oli ÜMTde ja ELi suhete tuleviku seisukohast otsustav pöördepunkt, sest peeti läbirääkimisi uue ÜMTde assotsieerimise otsuse, ELi mitmeaastase finantsraamistiku 2021–2027, Brexiti protsessi ja Cotonou-järgse raamistiku üle.</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Foorumi raames </w:t>
      </w:r>
      <w:r>
        <w:rPr>
          <w:rFonts w:ascii="Times New Roman" w:hAnsi="Times New Roman"/>
          <w:b/>
          <w:bCs/>
          <w:noProof/>
          <w:color w:val="000000"/>
          <w:sz w:val="24"/>
          <w:szCs w:val="24"/>
        </w:rPr>
        <w:t>toimusid poliitilisel tasandil kolmepoolsed kohtumised</w:t>
      </w:r>
      <w:r>
        <w:rPr>
          <w:rFonts w:ascii="Times New Roman" w:hAnsi="Times New Roman"/>
          <w:noProof/>
          <w:color w:val="000000"/>
          <w:sz w:val="24"/>
          <w:szCs w:val="24"/>
        </w:rPr>
        <w:t xml:space="preserve"> (1. märts 2019) ÜMTde delegatsioonide juhtide, nende liikmesriikide esindajate (sh Prantsusmaa ülemeremaade minister) ja voliniku vahel ning see oli hea võimalus arutada ÜMTde ja ELi vahelisi suhteid pärast 2020. aastat. Korraldati ka tehniline </w:t>
      </w:r>
      <w:r>
        <w:rPr>
          <w:rFonts w:ascii="Times New Roman" w:hAnsi="Times New Roman"/>
          <w:b/>
          <w:noProof/>
          <w:color w:val="000000"/>
          <w:sz w:val="24"/>
          <w:szCs w:val="24"/>
        </w:rPr>
        <w:t>õpikoda</w:t>
      </w:r>
      <w:r>
        <w:rPr>
          <w:rFonts w:ascii="Times New Roman" w:hAnsi="Times New Roman"/>
          <w:noProof/>
          <w:color w:val="000000"/>
          <w:sz w:val="24"/>
          <w:szCs w:val="24"/>
        </w:rPr>
        <w:t xml:space="preserve"> </w:t>
      </w:r>
      <w:r>
        <w:rPr>
          <w:rFonts w:ascii="Times New Roman" w:hAnsi="Times New Roman"/>
          <w:b/>
          <w:noProof/>
          <w:color w:val="000000"/>
          <w:sz w:val="24"/>
          <w:szCs w:val="24"/>
        </w:rPr>
        <w:t>„Sustainable development through regional cooperation“ (kestlik areng piirkondliku koostöö kaudu)</w:t>
      </w:r>
      <w:r>
        <w:rPr>
          <w:rFonts w:ascii="Times New Roman" w:hAnsi="Times New Roman"/>
          <w:noProof/>
          <w:color w:val="000000"/>
          <w:sz w:val="24"/>
          <w:szCs w:val="24"/>
        </w:rPr>
        <w:t>. See oli hea võimalus arutada selle üle, millist rolli võiksid ÜMTd mängida piirkondliku koostöö tugevdamisel</w:t>
      </w:r>
      <w:r>
        <w:rPr>
          <w:rFonts w:ascii="Times New Roman" w:hAnsi="Times New Roman"/>
          <w:noProof/>
          <w:sz w:val="24"/>
          <w:szCs w:val="24"/>
        </w:rPr>
        <w:t xml:space="preserve"> oma naabruskonnas. </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Kolmepoolsed konsultatsioonid (kolmepoolsed kohtumised)</w:t>
      </w:r>
    </w:p>
    <w:p>
      <w:pPr>
        <w:autoSpaceDE w:val="0"/>
        <w:autoSpaceDN w:val="0"/>
        <w:adjustRightInd w:val="0"/>
        <w:spacing w:after="0" w:line="240" w:lineRule="auto"/>
        <w:rPr>
          <w:rFonts w:ascii="Times New Roman" w:hAnsi="Times New Roman" w:cs="Times New Roman"/>
          <w:noProof/>
          <w:color w:val="000000"/>
          <w:sz w:val="24"/>
          <w:szCs w:val="24"/>
        </w:rPr>
      </w:pPr>
    </w:p>
    <w:p>
      <w:pPr>
        <w:pStyle w:val="Default"/>
        <w:jc w:val="both"/>
        <w:rPr>
          <w:rFonts w:ascii="Times New Roman" w:hAnsi="Times New Roman" w:cs="Times New Roman"/>
          <w:noProof/>
          <w:color w:val="auto"/>
        </w:rPr>
      </w:pPr>
      <w:r>
        <w:rPr>
          <w:rFonts w:ascii="Times New Roman" w:hAnsi="Times New Roman"/>
          <w:b/>
          <w:bCs/>
          <w:noProof/>
        </w:rPr>
        <w:t>2019. aastal korraldati Brüsselis kolm kolmepoolset kohtumist (aprillis, juulis, oktoobris) komisjoni (eesistuja), ÜMTde esindajate ja seotud liikmesriikide vahel</w:t>
      </w:r>
      <w:r>
        <w:rPr>
          <w:rFonts w:ascii="Times New Roman" w:hAnsi="Times New Roman"/>
          <w:noProof/>
        </w:rPr>
        <w:t>, et pakkuda platvormi, kus vahetada asjakohast teavet, arutada ühist huvi pakkuvate prioriteetsete teemade üle ja jälgida assotsieerimise otsuse rakendamisel tehtavaid edusamme.</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Partnerlustöörühmad </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b/>
          <w:noProof/>
          <w:color w:val="000000"/>
          <w:sz w:val="24"/>
          <w:szCs w:val="24"/>
        </w:rPr>
        <w:t>Keskkonna, kliimamuutuste ja säästva energia</w:t>
      </w:r>
      <w:r>
        <w:rPr>
          <w:rFonts w:ascii="Times New Roman" w:hAnsi="Times New Roman"/>
          <w:noProof/>
          <w:color w:val="000000"/>
          <w:sz w:val="24"/>
          <w:szCs w:val="24"/>
        </w:rPr>
        <w:t xml:space="preserve"> partnerluskoostöörühm kogunes 2019. aasta juulis eeskätt selleks, et vahetada teavet ELi poliitika erinevate aspektide üle ja programmidega Oceans, Best ja LIFE seotud algatuste üle. </w:t>
      </w:r>
    </w:p>
    <w:p>
      <w:pPr>
        <w:pStyle w:val="Default"/>
        <w:jc w:val="both"/>
        <w:rPr>
          <w:rStyle w:val="A0"/>
          <w:rFonts w:ascii="Times New Roman" w:hAnsi="Times New Roman" w:cs="Times New Roman"/>
          <w:noProof/>
          <w:sz w:val="24"/>
          <w:szCs w:val="24"/>
        </w:rPr>
      </w:pPr>
      <w:r>
        <w:rPr>
          <w:rFonts w:ascii="Times New Roman" w:hAnsi="Times New Roman"/>
          <w:noProof/>
        </w:rPr>
        <w:t xml:space="preserve">Lisaks institutsioonilisele raamistikule ja dialoogifoorumitele toimus 2019. aastal veel </w:t>
      </w:r>
      <w:r>
        <w:rPr>
          <w:rFonts w:ascii="Times New Roman" w:hAnsi="Times New Roman"/>
          <w:b/>
          <w:noProof/>
        </w:rPr>
        <w:t>kolm üritust, mille korraldas OCTA komisjoni toetusel</w:t>
      </w:r>
      <w:r>
        <w:rPr>
          <w:rFonts w:ascii="Times New Roman" w:hAnsi="Times New Roman"/>
          <w:noProof/>
        </w:rPr>
        <w:t xml:space="preserve">. Oktoobris toimus Brüsselis </w:t>
      </w:r>
      <w:r>
        <w:rPr>
          <w:rFonts w:ascii="Times New Roman" w:hAnsi="Times New Roman"/>
          <w:b/>
          <w:noProof/>
        </w:rPr>
        <w:t>konverents</w:t>
      </w:r>
      <w:r>
        <w:rPr>
          <w:rFonts w:ascii="Times New Roman" w:hAnsi="Times New Roman"/>
          <w:noProof/>
        </w:rPr>
        <w:t xml:space="preserve"> </w:t>
      </w:r>
      <w:r>
        <w:rPr>
          <w:rFonts w:ascii="Times New Roman" w:hAnsi="Times New Roman"/>
          <w:bCs/>
          <w:noProof/>
        </w:rPr>
        <w:t>„From the Poles to the Tropics, OCT’s Blue Landscape“ ning selle tulemusel allkirjastati ÜMT deklaratsioon „</w:t>
      </w:r>
      <w:r>
        <w:rPr>
          <w:rFonts w:ascii="Times New Roman" w:hAnsi="Times New Roman"/>
          <w:b/>
          <w:i/>
          <w:noProof/>
        </w:rPr>
        <w:t>OCT Declaration on Ocean</w:t>
      </w:r>
      <w:r>
        <w:rPr>
          <w:rFonts w:ascii="Times New Roman" w:hAnsi="Times New Roman"/>
          <w:noProof/>
        </w:rPr>
        <w:t xml:space="preserve">“, milles rõhutati pühendumist ookeanide säilitamisele ning nende sotsiaalsete ja majanduslike väärtuste toetamisele. </w:t>
      </w:r>
      <w:r>
        <w:rPr>
          <w:rFonts w:ascii="Times New Roman" w:hAnsi="Times New Roman"/>
          <w:b/>
          <w:bCs/>
          <w:noProof/>
        </w:rPr>
        <w:t>Säästva energia õpikoda korraldati</w:t>
      </w:r>
      <w:r>
        <w:rPr>
          <w:rFonts w:ascii="Times New Roman" w:hAnsi="Times New Roman"/>
          <w:noProof/>
        </w:rPr>
        <w:t xml:space="preserve"> 2019. aasta detsembris. Õpikojas arutlesid ÜMTde energiavaldkonna tehnilised eksperdid ja komisjon selle ühist huvi pakkuva teema üle. ÜMTd andsid ülevaate 2015. aastal allkirjastatud energia tegevuskava rakendamisel tehtud edusammudest. Lisaks korraldas OCTA 2019. aasta detsembris </w:t>
      </w:r>
      <w:r>
        <w:rPr>
          <w:rFonts w:ascii="Times New Roman" w:hAnsi="Times New Roman"/>
          <w:b/>
          <w:noProof/>
        </w:rPr>
        <w:t>õpikoja ELi programmide kohta</w:t>
      </w:r>
      <w:r>
        <w:rPr>
          <w:rFonts w:ascii="Times New Roman" w:hAnsi="Times New Roman"/>
          <w:noProof/>
        </w:rPr>
        <w:t xml:space="preserve">, et </w:t>
      </w:r>
      <w:r>
        <w:rPr>
          <w:rStyle w:val="A0"/>
          <w:rFonts w:ascii="Times New Roman" w:hAnsi="Times New Roman"/>
          <w:noProof/>
          <w:sz w:val="24"/>
          <w:szCs w:val="24"/>
        </w:rPr>
        <w:t xml:space="preserve">jagada teavet ELi programmide ja ÜMTde rahastamise võimaluste kohta. </w:t>
      </w:r>
    </w:p>
    <w:p>
      <w:pPr>
        <w:pStyle w:val="Default"/>
        <w:jc w:val="both"/>
        <w:rPr>
          <w:rFonts w:ascii="Times New Roman" w:hAnsi="Times New Roman" w:cs="Times New Roman"/>
          <w:noProof/>
        </w:rPr>
      </w:pPr>
    </w:p>
    <w:p>
      <w:pPr>
        <w:pStyle w:val="Default"/>
        <w:rPr>
          <w:rFonts w:ascii="Times New Roman" w:hAnsi="Times New Roman" w:cs="Times New Roman"/>
          <w:noProof/>
        </w:rPr>
      </w:pPr>
    </w:p>
    <w:p>
      <w:pPr>
        <w:pStyle w:val="ListParagraph"/>
        <w:numPr>
          <w:ilvl w:val="0"/>
          <w:numId w:val="2"/>
        </w:numPr>
        <w:autoSpaceDE w:val="0"/>
        <w:autoSpaceDN w:val="0"/>
        <w:adjustRightInd w:val="0"/>
        <w:spacing w:after="0" w:line="240" w:lineRule="auto"/>
        <w:rPr>
          <w:rFonts w:ascii="Times New Roman" w:hAnsi="Times New Roman" w:cs="Times New Roman"/>
          <w:b/>
          <w:bCs/>
          <w:noProof/>
          <w:color w:val="000000"/>
          <w:sz w:val="24"/>
          <w:szCs w:val="24"/>
        </w:rPr>
      </w:pPr>
      <w:r>
        <w:rPr>
          <w:rFonts w:ascii="Times New Roman" w:hAnsi="Times New Roman"/>
          <w:b/>
          <w:bCs/>
          <w:noProof/>
          <w:color w:val="000000"/>
          <w:sz w:val="24"/>
          <w:szCs w:val="24"/>
        </w:rPr>
        <w:t>Euroopa Investeerimispank</w:t>
      </w:r>
    </w:p>
    <w:p>
      <w:pPr>
        <w:autoSpaceDE w:val="0"/>
        <w:autoSpaceDN w:val="0"/>
        <w:adjustRightInd w:val="0"/>
        <w:spacing w:after="0" w:line="240" w:lineRule="auto"/>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ÜMTde assotsieerimise otsusega antakse ÜMTdele finantsabi Euroopa Investeerimispanga (EIP) hallatavate finantsmehhanismide kaudu </w:t>
      </w:r>
      <w:r>
        <w:rPr>
          <w:rFonts w:ascii="Times New Roman" w:hAnsi="Times New Roman"/>
          <w:noProof/>
          <w:sz w:val="24"/>
          <w:szCs w:val="24"/>
        </w:rPr>
        <w:t>ajavahemikul 2014–2020, 3. finantsprotokolli alusel</w:t>
      </w:r>
      <w:r>
        <w:rPr>
          <w:rFonts w:ascii="Times New Roman" w:hAnsi="Times New Roman"/>
          <w:noProof/>
          <w:color w:val="000000"/>
          <w:sz w:val="24"/>
          <w:szCs w:val="24"/>
        </w:rPr>
        <w:t>: ÜMTde investeerimisrahastu (praegune rahaline toetus: 48,5 miljonit eurot), intressitoetuste ja tehnilise abi rahastamine (5 miljonit eurot) ja EIP omavahendid (kuni 100 miljonit eurot).</w:t>
      </w:r>
      <w:r>
        <w:rPr>
          <w:rFonts w:ascii="Times New Roman" w:hAnsi="Times New Roman"/>
          <w:noProof/>
        </w:rPr>
        <w:t xml:space="preserve"> </w:t>
      </w:r>
    </w:p>
    <w:p>
      <w:pPr>
        <w:autoSpaceDE w:val="0"/>
        <w:autoSpaceDN w:val="0"/>
        <w:adjustRightInd w:val="0"/>
        <w:spacing w:after="0" w:line="240" w:lineRule="auto"/>
        <w:jc w:val="both"/>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b/>
          <w:noProof/>
          <w:color w:val="000000"/>
          <w:sz w:val="24"/>
          <w:szCs w:val="24"/>
        </w:rPr>
        <w:t>Euroopa Investeerimispanga ÜMTde investeerimisrahastu</w:t>
      </w:r>
      <w:r>
        <w:rPr>
          <w:rFonts w:ascii="Times New Roman" w:hAnsi="Times New Roman"/>
          <w:noProof/>
          <w:color w:val="000000"/>
          <w:sz w:val="24"/>
          <w:szCs w:val="24"/>
        </w:rPr>
        <w:t xml:space="preserve"> alusel sõlmiti üks uus leping 2019. aasta juulis Uus-Kaledoonia kohta (24 miljonit eurot), et rahastada äärealadel asuvate ettevõtete ja väga väikeste ettevõtete laenusid. Muud lepingud on pooleli, nende maht ulatub 2019. aasta lõpuks 85,39 miljoni euroni. See summa ületab algkapitali, sest fondi tehakse tagasimakseid ja osa tagasi saadud rahast on uuesti välja laenatud.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b/>
          <w:noProof/>
          <w:color w:val="000000"/>
          <w:sz w:val="24"/>
          <w:szCs w:val="24"/>
        </w:rPr>
        <w:t>Intressitoetuste ja tehnilise abi jaoks mõeldud assigneeringuteks</w:t>
      </w:r>
      <w:r>
        <w:rPr>
          <w:rFonts w:ascii="Times New Roman" w:hAnsi="Times New Roman"/>
          <w:noProof/>
          <w:color w:val="000000"/>
          <w:sz w:val="24"/>
          <w:szCs w:val="24"/>
        </w:rPr>
        <w:t xml:space="preserve"> kasutas EIP 2019. aastal 4,25 miljonit eurot Sint Maarteni lennujaama lepingu jaoks (vt allpool).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b/>
          <w:noProof/>
          <w:color w:val="000000"/>
          <w:sz w:val="24"/>
          <w:szCs w:val="24"/>
        </w:rPr>
        <w:t>EIP allkirjastas 2019. aasta detsembris ÜMTdele suunatud omavahendite alusel</w:t>
      </w:r>
      <w:r>
        <w:rPr>
          <w:rFonts w:ascii="Times New Roman" w:hAnsi="Times New Roman"/>
          <w:noProof/>
          <w:color w:val="000000"/>
          <w:sz w:val="24"/>
          <w:szCs w:val="24"/>
        </w:rPr>
        <w:t xml:space="preserve"> 44,3 miljoni euro suuruse eraldise Sint Maarteni lennujaama ülesehitamiseks.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color w:val="auto"/>
        </w:rPr>
      </w:pPr>
      <w:r>
        <w:rPr>
          <w:rFonts w:ascii="Times New Roman" w:hAnsi="Times New Roman"/>
          <w:noProof/>
          <w:color w:val="auto"/>
        </w:rPr>
        <w:t xml:space="preserve">Alles olevate vahendite kogumahtu jälgitakse, et need 2020. aasta lõpuks täielikult kasutusse võtta.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p>
    <w:p>
      <w:pPr>
        <w:autoSpaceDE w:val="0"/>
        <w:autoSpaceDN w:val="0"/>
        <w:adjustRightInd w:val="0"/>
        <w:spacing w:after="0" w:line="240" w:lineRule="auto"/>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 xml:space="preserve">Tulevikuplaanid </w:t>
      </w:r>
    </w:p>
    <w:p>
      <w:pPr>
        <w:autoSpaceDE w:val="0"/>
        <w:autoSpaceDN w:val="0"/>
        <w:adjustRightInd w:val="0"/>
        <w:spacing w:after="0" w:line="240" w:lineRule="auto"/>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color w:val="000000"/>
          <w:sz w:val="24"/>
          <w:szCs w:val="24"/>
        </w:rPr>
        <w:t>2020. aasta on</w:t>
      </w:r>
      <w:r>
        <w:rPr>
          <w:rFonts w:ascii="Times New Roman" w:hAnsi="Times New Roman"/>
          <w:noProof/>
          <w:sz w:val="24"/>
          <w:szCs w:val="24"/>
        </w:rPr>
        <w:t xml:space="preserve"> ÜMTde ja ELi suhete tuleviku seisukohast otsustav pöördepunkt, sest eeldatavasti viiakse lõpule läbirääkimised ettepaneku üle võtta vastu uus assotsieerimise otsus (sealhulgas Gröönimaa), mis on seotud ELi mitmeaastase finantsraamistikuga 2021–2027. Samuti on see oluline aasta läbirääkimiste jaoks Cotonou-järgse raamistiku üle ning naabruspoliitika, arengu ja rahvusvahelise koostöö rahastamisvahendi üle. 2020. aasta tähistab ka Ühendkuningriigi EList lahkumist, mis mõjutab ÜMTde rühma.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Seoses sellega on dialoogi tõhustumine ÜMTdega eriti asjakohane. Selle protsessi aluseks on jätkuv toetus ÜMTde ühendusele ning ÜMTdele tehnilise koostöö rahastu kaudu. </w:t>
      </w:r>
      <w:r>
        <w:rPr>
          <w:noProof/>
        </w:rPr>
        <w:tab/>
      </w:r>
    </w:p>
    <w:p>
      <w:pPr>
        <w:pStyle w:val="Default"/>
        <w:jc w:val="both"/>
        <w:rPr>
          <w:rFonts w:ascii="Times New Roman" w:hAnsi="Times New Roman" w:cs="Times New Roman"/>
          <w:noProof/>
        </w:rPr>
      </w:pPr>
      <w:r>
        <w:rPr>
          <w:rFonts w:ascii="Times New Roman" w:hAnsi="Times New Roman"/>
          <w:noProof/>
        </w:rPr>
        <w:t xml:space="preserve">Kokkuvõttes on edusammud kahe eespool nimetatud ülejäänud territoriaalse programmi programmitöö vallas esmatähtsad, et tagada nende vastuvõtmine enne 2020. aasta lõppu ja ÜMTdele 11. EAFi raames kättesaadavate assigneeringute kasutamine täies mahus.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246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Nõukogu otsus 2013/755/EL ülemeremaade ja -territooriumide Euroopa Liiduga assotsieerimise kohta.</w:t>
      </w:r>
    </w:p>
  </w:footnote>
  <w:footnote w:id="2">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Kuni 31. jaanuarini 2020 olid ELi ÜMTd seotud nelja ELi liikmesriigiga: Taani, Prantsusmaa, Ühendkuningriigi ja Madalmaadega. 25 ELi ÜMTd olid: Anguilla, Aruba, Bermuda, Bonaire, Briti Antarktise ala, Briti India ookeani ala, Briti Neitsisaared, Kaimanisaared, Curaçao, Falklandi saared, Prantsuse Polüneesia, Prantsuse Antarktilised ja Lõunaalad, Gröönimaa, Montserrat, Uus-Kaledoonia, Pitcairni saared, Saba, Saint Helena, Saint-Martin, Saint-Pierre ja Miquelon, Saint-Barthélemy, Sint Eustatius, Lõuna-Georgia ja Lõuna-Sandwichi saared, Turksi ja Caicose saared ning Wallis ja Futuna.</w:t>
      </w:r>
    </w:p>
    <w:p>
      <w:pPr>
        <w:pStyle w:val="FootnoteText"/>
        <w:jc w:val="both"/>
        <w:rPr>
          <w:rFonts w:ascii="Times New Roman" w:hAnsi="Times New Roman" w:cs="Times New Roman"/>
          <w:vertAlign w:val="superscript"/>
        </w:rPr>
      </w:pPr>
      <w:r>
        <w:rPr>
          <w:rFonts w:ascii="Times New Roman" w:hAnsi="Times New Roman"/>
        </w:rPr>
        <w:t>Pärast Ühendkuningriigi EList lahkumist 31. jaanuaril 2020 jääb alles 13 ELi ÜMTd: Gröönimaa (DK), Prantsuse Polüneesia (FR), Prantsuse Antarktilised ja Lõunaalad (FR), Uus-Kaledoonia (FR), Saint-Barthélemy (FR), Saint-Pierre ja Miquelon (FR), Wallis ja Futuna (FR), Aruba (NL), Bonaire (NL), Curaçao (NL), Saba (NL), Sint Eustatius (NL), Sint Maarten (NL).</w:t>
      </w:r>
      <w:r>
        <w:rPr>
          <w:rFonts w:ascii="Times New Roman" w:hAnsi="Times New Roman"/>
          <w:vertAlign w:val="superscript"/>
        </w:rPr>
        <w:t xml:space="preserve"> </w:t>
      </w:r>
    </w:p>
  </w:footnote>
  <w:footnote w:id="3">
    <w:p>
      <w:pPr>
        <w:pStyle w:val="FootnoteText"/>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Euroopa Liidu toimimise lepingu neljas osa (C 326/47, 26.10.2012).</w:t>
      </w:r>
      <w:r>
        <w:rPr>
          <w:rFonts w:ascii="Times New Roman" w:hAnsi="Times New Roman"/>
          <w:vertAlign w:val="superscript"/>
        </w:rPr>
        <w:t xml:space="preserve"> </w:t>
      </w:r>
    </w:p>
  </w:footnote>
  <w:footnote w:id="4">
    <w:p>
      <w:pPr>
        <w:pStyle w:val="FootnoteText"/>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 xml:space="preserve">Sisekokkulepe nõukogus kokku tulnud liikmesriikide valitsuste esindajate vahel Euroopa Liidu abi rahastamise kohta mitmeaastase finantsraamistiku (2014–2020) alusel vastavalt AKV–ELi partnerluslepingule ning finantsabi eraldamise kohta nendele ülemeremaadele ja -territooriumidele, mille suhtes kohaldatakse Euroopa Liidu toimimise lepingu neljandat osa (ELT L 210, 6.8.2013, lk 1). </w:t>
      </w:r>
    </w:p>
  </w:footnote>
  <w:footnote w:id="5">
    <w:p>
      <w:pPr>
        <w:pStyle w:val="FootnoteText"/>
        <w:jc w:val="both"/>
        <w:rPr>
          <w:vertAlign w:val="superscript"/>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Nõukogu otsusega 2014/137/EL, mis käsitleb ühelt poolt Euroopa Liidu ning teiselt poolt Gröönimaa ja Taani Kuningriigi vahelisi suhteid, eraldatakse liidu ja Gröönimaa koostööks ühiste huvide valdkonnas 2014.–2020. aastaks 217,8 miljonit eurot.</w:t>
      </w:r>
      <w:r>
        <w:rPr>
          <w:vertAlign w:val="superscript"/>
        </w:rPr>
        <w:t xml:space="preserve"> </w:t>
      </w:r>
    </w:p>
  </w:footnote>
  <w:footnote w:id="6">
    <w:p>
      <w:pPr>
        <w:pStyle w:val="FootnoteText"/>
        <w:jc w:val="both"/>
        <w:rPr>
          <w:vertAlign w:val="superscript"/>
        </w:rPr>
      </w:pPr>
      <w:r>
        <w:rPr>
          <w:rFonts w:ascii="Times New Roman" w:hAnsi="Times New Roman" w:cs="Times New Roman"/>
          <w:vertAlign w:val="superscript"/>
          <w:lang w:val="en-US"/>
        </w:rPr>
        <w:footnoteRef/>
      </w:r>
      <w:r>
        <w:rPr>
          <w:rFonts w:ascii="Times New Roman" w:hAnsi="Times New Roman"/>
          <w:vertAlign w:val="superscript"/>
        </w:rPr>
        <w:t xml:space="preserve"> </w:t>
      </w:r>
      <w:r>
        <w:rPr>
          <w:rFonts w:ascii="Times New Roman" w:hAnsi="Times New Roman"/>
        </w:rPr>
        <w:t>Territoriaalsed programmid Aruba (13,05 miljonit eurot) ja Bonaire'i (3,95 miljonit eurot) kohta võeti vastu 2019. aasta veebruaris.</w:t>
      </w:r>
      <w:r>
        <w:rPr>
          <w:rFonts w:ascii="Times New Roman" w:hAnsi="Times New Roman"/>
          <w:sz w:val="13"/>
          <w:szCs w:val="13"/>
          <w:vertAlign w:val="superscript"/>
        </w:rPr>
        <w:t xml:space="preserve"> </w:t>
      </w:r>
    </w:p>
  </w:footnote>
  <w:footnote w:id="7">
    <w:p>
      <w:pPr>
        <w:pStyle w:val="FootnoteText"/>
        <w:rPr>
          <w:vertAlign w:val="superscript"/>
        </w:rPr>
      </w:pPr>
      <w:r>
        <w:rPr>
          <w:rFonts w:ascii="Times New Roman" w:hAnsi="Times New Roman" w:cs="Times New Roman"/>
          <w:vertAlign w:val="superscript"/>
          <w:lang w:val="en-US"/>
        </w:rPr>
        <w:footnoteRef/>
      </w:r>
      <w:r>
        <w:rPr>
          <w:rFonts w:ascii="Times New Roman" w:hAnsi="Times New Roman"/>
          <w:vertAlign w:val="superscript"/>
        </w:rPr>
        <w:t xml:space="preserve"> </w:t>
      </w:r>
      <w:r>
        <w:rPr>
          <w:rFonts w:ascii="Times New Roman" w:hAnsi="Times New Roman"/>
        </w:rPr>
        <w:t>Selle eraldisega on B-assigneeringu saldo (algne rahaline toetus 21,5 miljonit eurot 2013. aasta assotsieerimise otsuse II lisa kohaselt) 2019. aasta lõpus 6,45 miljonit eurot.</w:t>
      </w:r>
      <w:r>
        <w:rPr>
          <w:rFonts w:ascii="Times New Roman" w:hAnsi="Times New Roman"/>
          <w:sz w:val="13"/>
          <w:szCs w:val="13"/>
          <w:vertAlign w:val="superscript"/>
        </w:rPr>
        <w:t xml:space="preserve"> </w:t>
      </w:r>
    </w:p>
  </w:footnote>
  <w:footnote w:id="8">
    <w:p>
      <w:pPr>
        <w:pStyle w:val="FootnoteText"/>
        <w:rPr>
          <w:rFonts w:ascii="Times New Roman" w:hAnsi="Times New Roman" w:cs="Times New Roman"/>
          <w:sz w:val="13"/>
          <w:szCs w:val="13"/>
        </w:rPr>
      </w:pPr>
      <w:r>
        <w:rPr>
          <w:rFonts w:ascii="Times New Roman" w:hAnsi="Times New Roman" w:cs="Times New Roman"/>
          <w:vertAlign w:val="superscript"/>
          <w:lang w:val="en-US"/>
        </w:rPr>
        <w:footnoteRef/>
      </w:r>
      <w:r>
        <w:rPr>
          <w:rFonts w:ascii="Times New Roman" w:hAnsi="Times New Roman"/>
          <w:vertAlign w:val="superscript"/>
        </w:rPr>
        <w:t xml:space="preserve"> </w:t>
      </w:r>
      <w:r>
        <w:rPr>
          <w:rFonts w:ascii="Times New Roman" w:hAnsi="Times New Roman"/>
        </w:rPr>
        <w:t>Tui-Samoa veealune kaabel paikneb Apia, Samoa ja Suva (Fidži) vahel ning maabumispunktid on Savai’is, Savusavus ning Wallises ja Futunas.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7E7"/>
    <w:multiLevelType w:val="hybridMultilevel"/>
    <w:tmpl w:val="D07E1A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9475D04"/>
    <w:multiLevelType w:val="hybridMultilevel"/>
    <w:tmpl w:val="7D86E6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16560F"/>
    <w:multiLevelType w:val="hybridMultilevel"/>
    <w:tmpl w:val="77D0D8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3A505E5"/>
    <w:multiLevelType w:val="hybridMultilevel"/>
    <w:tmpl w:val="854E65FE"/>
    <w:lvl w:ilvl="0" w:tplc="080C0001">
      <w:start w:val="1"/>
      <w:numFmt w:val="bullet"/>
      <w:lvlText w:val=""/>
      <w:lvlJc w:val="left"/>
      <w:pPr>
        <w:ind w:left="778" w:hanging="360"/>
      </w:pPr>
      <w:rPr>
        <w:rFonts w:ascii="Symbol" w:hAnsi="Symbol" w:hint="default"/>
      </w:rPr>
    </w:lvl>
    <w:lvl w:ilvl="1" w:tplc="080C0003" w:tentative="1">
      <w:start w:val="1"/>
      <w:numFmt w:val="bullet"/>
      <w:lvlText w:val="o"/>
      <w:lvlJc w:val="left"/>
      <w:pPr>
        <w:ind w:left="1498" w:hanging="360"/>
      </w:pPr>
      <w:rPr>
        <w:rFonts w:ascii="Courier New" w:hAnsi="Courier New" w:cs="Courier New" w:hint="default"/>
      </w:rPr>
    </w:lvl>
    <w:lvl w:ilvl="2" w:tplc="080C0005" w:tentative="1">
      <w:start w:val="1"/>
      <w:numFmt w:val="bullet"/>
      <w:lvlText w:val=""/>
      <w:lvlJc w:val="left"/>
      <w:pPr>
        <w:ind w:left="2218" w:hanging="360"/>
      </w:pPr>
      <w:rPr>
        <w:rFonts w:ascii="Wingdings" w:hAnsi="Wingdings" w:hint="default"/>
      </w:rPr>
    </w:lvl>
    <w:lvl w:ilvl="3" w:tplc="080C0001" w:tentative="1">
      <w:start w:val="1"/>
      <w:numFmt w:val="bullet"/>
      <w:lvlText w:val=""/>
      <w:lvlJc w:val="left"/>
      <w:pPr>
        <w:ind w:left="2938" w:hanging="360"/>
      </w:pPr>
      <w:rPr>
        <w:rFonts w:ascii="Symbol" w:hAnsi="Symbol" w:hint="default"/>
      </w:rPr>
    </w:lvl>
    <w:lvl w:ilvl="4" w:tplc="080C0003" w:tentative="1">
      <w:start w:val="1"/>
      <w:numFmt w:val="bullet"/>
      <w:lvlText w:val="o"/>
      <w:lvlJc w:val="left"/>
      <w:pPr>
        <w:ind w:left="3658" w:hanging="360"/>
      </w:pPr>
      <w:rPr>
        <w:rFonts w:ascii="Courier New" w:hAnsi="Courier New" w:cs="Courier New" w:hint="default"/>
      </w:rPr>
    </w:lvl>
    <w:lvl w:ilvl="5" w:tplc="080C0005" w:tentative="1">
      <w:start w:val="1"/>
      <w:numFmt w:val="bullet"/>
      <w:lvlText w:val=""/>
      <w:lvlJc w:val="left"/>
      <w:pPr>
        <w:ind w:left="4378" w:hanging="360"/>
      </w:pPr>
      <w:rPr>
        <w:rFonts w:ascii="Wingdings" w:hAnsi="Wingdings" w:hint="default"/>
      </w:rPr>
    </w:lvl>
    <w:lvl w:ilvl="6" w:tplc="080C0001" w:tentative="1">
      <w:start w:val="1"/>
      <w:numFmt w:val="bullet"/>
      <w:lvlText w:val=""/>
      <w:lvlJc w:val="left"/>
      <w:pPr>
        <w:ind w:left="5098" w:hanging="360"/>
      </w:pPr>
      <w:rPr>
        <w:rFonts w:ascii="Symbol" w:hAnsi="Symbol" w:hint="default"/>
      </w:rPr>
    </w:lvl>
    <w:lvl w:ilvl="7" w:tplc="080C0003" w:tentative="1">
      <w:start w:val="1"/>
      <w:numFmt w:val="bullet"/>
      <w:lvlText w:val="o"/>
      <w:lvlJc w:val="left"/>
      <w:pPr>
        <w:ind w:left="5818" w:hanging="360"/>
      </w:pPr>
      <w:rPr>
        <w:rFonts w:ascii="Courier New" w:hAnsi="Courier New" w:cs="Courier New" w:hint="default"/>
      </w:rPr>
    </w:lvl>
    <w:lvl w:ilvl="8" w:tplc="080C0005" w:tentative="1">
      <w:start w:val="1"/>
      <w:numFmt w:val="bullet"/>
      <w:lvlText w:val=""/>
      <w:lvlJc w:val="left"/>
      <w:pPr>
        <w:ind w:left="6538" w:hanging="360"/>
      </w:pPr>
      <w:rPr>
        <w:rFonts w:ascii="Wingdings" w:hAnsi="Wingdings" w:hint="default"/>
      </w:rPr>
    </w:lvl>
  </w:abstractNum>
  <w:abstractNum w:abstractNumId="4">
    <w:nsid w:val="4B135FA2"/>
    <w:multiLevelType w:val="hybridMultilevel"/>
    <w:tmpl w:val="2D0EF0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C5D02DC"/>
    <w:multiLevelType w:val="hybridMultilevel"/>
    <w:tmpl w:val="428E99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B670230"/>
    <w:multiLevelType w:val="hybridMultilevel"/>
    <w:tmpl w:val="DE6A2FA8"/>
    <w:lvl w:ilvl="0" w:tplc="7DDE1A50">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5E040B2-B972-4100-9453-66C957B89AD5"/>
    <w:docVar w:name="LW_COVERPAGE_TYPE" w:val="1"/>
    <w:docVar w:name="LW_CROSSREFERENCE" w:val="&lt;UNUSED&gt;"/>
    <w:docVar w:name="LW_DocType" w:val="NORMAL"/>
    <w:docVar w:name="LW_EMISSION" w:val="6.7.2020"/>
    <w:docVar w:name="LW_EMISSION_ISODATE" w:val="2020-07-06"/>
    <w:docVar w:name="LW_EMISSION_LOCATION" w:val="BRX"/>
    <w:docVar w:name="LW_EMISSION_PREFIX" w:val="Brüssel,"/>
    <w:docVar w:name="LW_EMISSION_SUFFIX" w:val=" "/>
    <w:docVar w:name="LW_ID_DOCTYPE_NONLW" w:val="CP-004"/>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2019. aastal ülemeremaadele ja -territooriumidele 11. Euroopa Arengufondi raames antud rahalise abi rakendamise kohta"/>
    <w:docVar w:name="LW_TYPE.DOC.CP" w:val="KOMISJONI ARUANNE NÕUKOGU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qFormat/>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basedOn w:val="DefaultParagraphFont"/>
    <w:link w:val="BVIfnrCarCarCarCarCharCharCharChar"/>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0">
    <w:name w:val="A0"/>
    <w:uiPriority w:val="99"/>
    <w:rPr>
      <w:rFonts w:cs="montserrat"/>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VIfnrCarCarCarCarCharCharCharChar">
    <w:name w:val="BVI fnr Car Car Car Car Char Char Char Char"/>
    <w:basedOn w:val="Normal"/>
    <w:link w:val="FootnoteReference"/>
    <w:uiPriority w:val="99"/>
    <w:pPr>
      <w:spacing w:after="160" w:line="240" w:lineRule="exact"/>
      <w:jc w:val="both"/>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Arial" w:hAnsi="Arial" w:cs="Arial"/>
      <w:color w:val="000000"/>
      <w:sz w:val="24"/>
      <w:szCs w:val="24"/>
      <w:lang w:val="et-EE"/>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et-E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et-EE"/>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et-E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et-EE"/>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qFormat/>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basedOn w:val="DefaultParagraphFont"/>
    <w:link w:val="BVIfnrCarCarCarCarCharCharCharChar"/>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0">
    <w:name w:val="A0"/>
    <w:uiPriority w:val="99"/>
    <w:rPr>
      <w:rFonts w:cs="montserrat"/>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VIfnrCarCarCarCarCharCharCharChar">
    <w:name w:val="BVI fnr Car Car Car Car Char Char Char Char"/>
    <w:basedOn w:val="Normal"/>
    <w:link w:val="FootnoteReference"/>
    <w:uiPriority w:val="99"/>
    <w:pPr>
      <w:spacing w:after="160" w:line="240" w:lineRule="exact"/>
      <w:jc w:val="both"/>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Arial" w:hAnsi="Arial" w:cs="Arial"/>
      <w:color w:val="000000"/>
      <w:sz w:val="24"/>
      <w:szCs w:val="24"/>
      <w:lang w:val="et-EE"/>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et-E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et-EE"/>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et-E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et-EE"/>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3856D2D-5FAD-413E-A8F4-28BE1F41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1913</Words>
  <Characters>14233</Characters>
  <Application>Microsoft Office Word</Application>
  <DocSecurity>0</DocSecurity>
  <Lines>279</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dcterms:created xsi:type="dcterms:W3CDTF">2020-06-18T13:38:00Z</dcterms:created>
  <dcterms:modified xsi:type="dcterms:W3CDTF">2020-06-29T07:15:00Z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CP-004</vt:lpwstr>
  </property>
  <property fmtid="{D5CDD505-2E9C-101B-9397-08002B2CF9AE}" pid="7" name="Last edited using">
    <vt:lpwstr>LW 7.0.1, Build 20190916</vt:lpwstr>
  </property>
  <property fmtid="{D5CDD505-2E9C-101B-9397-08002B2CF9AE}" pid="8" name="Created using">
    <vt:lpwstr>LW 7.0, Build 20190717</vt:lpwstr>
  </property>
</Properties>
</file>