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A9B2DCC-DDC9-4799-B4D2-A82632058F73" style="width:450.3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widowControl w:val="0"/>
        <w:shd w:val="clear" w:color="auto" w:fill="FFFFFF"/>
        <w:autoSpaceDE w:val="0"/>
        <w:autoSpaceDN w:val="0"/>
        <w:adjustRightInd w:val="0"/>
        <w:spacing w:before="230" w:after="0" w:line="269" w:lineRule="exact"/>
        <w:rPr>
          <w:noProof/>
        </w:rPr>
      </w:pPr>
      <w:r>
        <w:rPr>
          <w:noProof/>
        </w:rPr>
        <w:t>Enligt artikel 395.1 i rådets direktiv 2006/112/EG av den 28 november 2006 om ett gemensamt system för mervärdesskatt</w:t>
      </w:r>
      <w:r>
        <w:rPr>
          <w:rStyle w:val="FootnoteReference"/>
          <w:noProof/>
        </w:rPr>
        <w:footnoteReference w:id="1"/>
      </w:r>
      <w:r>
        <w:rPr>
          <w:noProof/>
        </w:rPr>
        <w:t xml:space="preserve"> (nedan kallat </w:t>
      </w:r>
      <w:r>
        <w:rPr>
          <w:i/>
          <w:iCs/>
          <w:noProof/>
        </w:rPr>
        <w:t>mervärdesskattedirektivet</w:t>
      </w:r>
      <w:r>
        <w:rPr>
          <w:noProof/>
        </w:rPr>
        <w:t>) får rådet enhälligt på kommissionens förslag bemyndiga varje medlemsstat att genomföra särskilda åtgärder som avviker från bestämmelserna i det direktivet, för att förenkla uppbörden av mervärdesskatt eller för att förhindra vissa slag av skatteundandragande eller skatteflykt.</w:t>
      </w:r>
    </w:p>
    <w:p>
      <w:pPr>
        <w:widowControl w:val="0"/>
        <w:shd w:val="clear" w:color="auto" w:fill="FFFFFF"/>
        <w:autoSpaceDE w:val="0"/>
        <w:autoSpaceDN w:val="0"/>
        <w:adjustRightInd w:val="0"/>
        <w:spacing w:before="230" w:after="0" w:line="269" w:lineRule="exact"/>
        <w:rPr>
          <w:noProof/>
        </w:rPr>
      </w:pPr>
      <w:r>
        <w:rPr>
          <w:noProof/>
        </w:rPr>
        <w:t xml:space="preserve">Genom en skrivelse som registrerades hos kommissionen den 14 januari 2020 ansökte Rumänien om att, efter den 31 december 2020, få fortsätta bevilja beskattningsbara personer vars årsomsättning inte överstiger motvärdet i nationell valuta av 88 500 EUR befrielse från mervärdesskatt. </w:t>
      </w:r>
    </w:p>
    <w:p>
      <w:pPr>
        <w:widowControl w:val="0"/>
        <w:shd w:val="clear" w:color="auto" w:fill="FFFFFF"/>
        <w:autoSpaceDE w:val="0"/>
        <w:autoSpaceDN w:val="0"/>
        <w:adjustRightInd w:val="0"/>
        <w:spacing w:before="230" w:after="0" w:line="269" w:lineRule="exact"/>
        <w:rPr>
          <w:noProof/>
        </w:rPr>
      </w:pPr>
      <w:r>
        <w:rPr>
          <w:noProof/>
        </w:rPr>
        <w:t xml:space="preserve">Genom en skrivelse av den 18 februari 2020 underrättade kommissionen, i enlighet med artikel 395.2 i mervärdesskattedirektivet, övriga medlemsstater om Rumäniens ansökan. Genom en skrivelse av den 19 februari 2020 underrättade kommissionen Rumänien om att den hade alla uppgifter som den ansåg vara nödvändiga för att bedöma ansökan. </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 xml:space="preserve">Bestämmelserna i avdelning XII kapitel 1 i mervärdesskattedirektivet ger medlemsstaterna möjlighet att tillämpa en särskild ordning för små företag, bland annat möjligheten att befria beskattningsbara personer vars årsomsättning understiger ett visst tröskelvärde från mervärdesskatt. Beskattningsbara personer som omfattas av detta undantag behöver inte ta ut mervärdesskatt på sina leveranser och har följaktligen inte rätt att göra avdrag för ingående mervärdesskatt. </w:t>
      </w:r>
    </w:p>
    <w:p>
      <w:pPr>
        <w:pBdr>
          <w:top w:val="nil"/>
          <w:left w:val="nil"/>
          <w:bottom w:val="nil"/>
          <w:right w:val="nil"/>
          <w:between w:val="nil"/>
          <w:bar w:val="nil"/>
        </w:pBdr>
        <w:spacing w:before="0" w:after="240"/>
        <w:rPr>
          <w:rFonts w:eastAsia="Arial Unicode MS"/>
          <w:noProof/>
        </w:rPr>
      </w:pPr>
      <w:r>
        <w:rPr>
          <w:noProof/>
        </w:rPr>
        <w:t>Enligt artikel 287.18 i mervärdesskattedirektivet får Rumänien bevilja beskattningsbara personer vars årsomsättning inte överstiger motvärdet i nationell valuta av 35 000 EUR befrielse från mervärdesskatt.</w:t>
      </w:r>
    </w:p>
    <w:p>
      <w:pPr>
        <w:rPr>
          <w:noProof/>
        </w:rPr>
      </w:pPr>
      <w:r>
        <w:rPr>
          <w:noProof/>
        </w:rPr>
        <w:t>Genom rådets genomförandebeslut 2012/181/EU</w:t>
      </w:r>
      <w:r>
        <w:rPr>
          <w:rStyle w:val="FootnoteReference"/>
          <w:noProof/>
        </w:rPr>
        <w:footnoteReference w:id="2"/>
      </w:r>
      <w:r>
        <w:rPr>
          <w:noProof/>
        </w:rPr>
        <w:t xml:space="preserve"> bemyndigades Rumänien att till och med den 31 december 2014 bevilja beskattningsbara personer vars årsomsättning inte överstiger motvärdet i nationell valuta av 65 000 EUR enligt omräkningskursen på dagen för landets anslutning till Europeiska unionen befrielse från mervärdesskatt. Genom rådets genomförandebeslut 2014/931/EU</w:t>
      </w:r>
      <w:r>
        <w:rPr>
          <w:rStyle w:val="FootnoteReference"/>
          <w:noProof/>
        </w:rPr>
        <w:footnoteReference w:id="3"/>
      </w:r>
      <w:r>
        <w:rPr>
          <w:noProof/>
        </w:rPr>
        <w:t xml:space="preserve"> bemyndigades Rumänien att fortsätta tillämpa den särskilda åtgärden som avviker från artikel 287.18 i mervärdesskattedirektivet till och med den 31 december 2017. Rumänien bemyndigades därefter genom rådets genomförandebeslut (EU) 2017/1855</w:t>
      </w:r>
      <w:r>
        <w:rPr>
          <w:rStyle w:val="FootnoteReference"/>
          <w:noProof/>
        </w:rPr>
        <w:footnoteReference w:id="4"/>
      </w:r>
      <w:r>
        <w:rPr>
          <w:noProof/>
        </w:rPr>
        <w:t xml:space="preserve"> att höja tröskelvärdet för undantag till motsvarande 88 500 EUR i nationell valuta och att förlänga giltighetstiden för den avvikande åtgärden till och med den 31 december 2020 eller fram till ikraftträdandet av ett direktiv om ändring av bestämmelserna i </w:t>
      </w:r>
      <w:r>
        <w:rPr>
          <w:noProof/>
        </w:rPr>
        <w:lastRenderedPageBreak/>
        <w:t>artiklarna 281–294 i mervärdesskattedirektivet, beroende på vilken dag som infaller först. Åtgärden är frivillig, vilket gör det möjligt för små företag att välja de normala mervärdesskattereglerna.</w:t>
      </w:r>
    </w:p>
    <w:p>
      <w:pPr>
        <w:pBdr>
          <w:top w:val="nil"/>
          <w:left w:val="nil"/>
          <w:bottom w:val="nil"/>
          <w:right w:val="nil"/>
          <w:between w:val="nil"/>
          <w:bar w:val="nil"/>
        </w:pBdr>
        <w:spacing w:before="0" w:after="240"/>
        <w:rPr>
          <w:noProof/>
        </w:rPr>
      </w:pPr>
      <w:r>
        <w:rPr>
          <w:noProof/>
        </w:rPr>
        <w:t>Rumäniens nuvarande ansökan om förlängning av giltighetstiden för avvikelsen, utan att höja det nuvarande tröskelvärdet på 88 500 EUR, grundar sig på samma skäl som i de tidigare ansökningarna.</w:t>
      </w:r>
      <w:r>
        <w:rPr>
          <w:noProof/>
        </w:rPr>
        <w:tab/>
        <w:t xml:space="preserve"> </w:t>
      </w:r>
    </w:p>
    <w:p>
      <w:pPr>
        <w:pBdr>
          <w:top w:val="nil"/>
          <w:left w:val="nil"/>
          <w:bottom w:val="nil"/>
          <w:right w:val="nil"/>
          <w:between w:val="nil"/>
          <w:bar w:val="nil"/>
        </w:pBdr>
        <w:spacing w:before="0" w:after="240"/>
        <w:rPr>
          <w:noProof/>
        </w:rPr>
      </w:pPr>
      <w:r>
        <w:rPr>
          <w:noProof/>
        </w:rPr>
        <w:t xml:space="preserve">Rumänien vidhåller att förlängningen av den avvikande åtgärden samt det nuvarande taket för undantag är motiverade, med hänsyn till den nationella ekonomins struktur. Små och medelstora företag bär oproportionerliga kostnader för efterlevnad av mervärdesskattereglerna jämfört med stora företag. Undantaget från mervärdesskatt minskar små företags mervärdesskatteskyldigheter avsevärt, samtidigt som skattemyndigheterna befrias från bördan att övervaka uppbörden av en liten volym av intäkter från små och medelstora företag med en årsomsättning under 88 500 EUR. </w:t>
      </w:r>
    </w:p>
    <w:p>
      <w:pPr>
        <w:pBdr>
          <w:top w:val="nil"/>
          <w:left w:val="nil"/>
          <w:bottom w:val="nil"/>
          <w:right w:val="nil"/>
          <w:between w:val="nil"/>
          <w:bar w:val="nil"/>
        </w:pBdr>
        <w:spacing w:before="0" w:after="240"/>
        <w:rPr>
          <w:noProof/>
        </w:rPr>
      </w:pPr>
      <w:r>
        <w:rPr>
          <w:noProof/>
        </w:rPr>
        <w:t xml:space="preserve">I detta avseende uppskattar Rumänien att den mervärdesskatt som under 2019 betalats till statsbudgeten av beskattningsbara personer som är registrerade för mervärdesskatt med en årsomsättning på mindre än 88 500 EUR utgjorde 2,52 % av de totala intäkterna från mervärdesskatt och 1,09 % av de totala statliga inkomsterna. För samma år lämnade beskattningsbara personer med en årsomsättning på över 88 500 EUR (motsvarande 42,85 % av det totala antalet beskattningsbara personer som är registrerade för mervärdesskatt) ett bidrag på 97,48 % till de totala inkomsterna från mervärdesskatt. Det verkar således som att effekten av den avvikande åtgärden på skatteintäkter som uppbärs i det sista konsumtionsledet kommer att bli försumbar, medan dess inverkan kommer att bli betydande när det gäller att förenkla såväl de berörda beskattningsbara personernas skattskyldigheter som förfarandet för uppbörd av mervärdesskatt för skatteförvaltningen. </w:t>
      </w:r>
    </w:p>
    <w:p>
      <w:pPr>
        <w:autoSpaceDE w:val="0"/>
        <w:autoSpaceDN w:val="0"/>
        <w:adjustRightInd w:val="0"/>
        <w:spacing w:before="0" w:after="0"/>
        <w:rPr>
          <w:noProof/>
        </w:rPr>
      </w:pPr>
      <w:r>
        <w:rPr>
          <w:noProof/>
        </w:rPr>
        <w:t xml:space="preserve">På grundval av de uppgifter som Rumänien lämnat framgår det att syftet med ansökan om förlängning av den avvikande åtgärden är att befria små företag från många av mervärdesskatteskyldigheterna enligt de normala mervärdesskattereglerna samt minska skatteförvaltningarnas börda när det gäller skatteuppbörd, och på så vis göra den effektivare, samtidigt som man sparar på administrativa resurser och minskar skatteundandragande. Den avvikande åtgärden är således förenlig med artikel 395.1 första stycket i mervärdesskattedirektivet, enligt vilken medlemsstaterna får införa särskilda åtgärder som avviker från dess bestämmelser för att förenkla förfarandet för uppbörd av mervärdesskatt eller för att förhindra skatteundandragande. I detta sammanhang upprepas att åtgärden är och kommer att förbli frivillig för beskattningsbara personer, som har rätt att välja de normala mervärdesskattereglerna.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color w:val="000000"/>
          <w:szCs w:val="24"/>
        </w:rPr>
        <w:t>Rumänien har påvisat att den avvikande åtgärden inte i någon större utsträckning förväntas påverka de totala skatteintäkter som landet uppbär i det sista konsumtionsledet. Avvikelsen förefaller därför vara förenlig med artikel 395.1 andra stycket i mervärdesskattedirektivet.</w:t>
      </w:r>
      <w:r>
        <w:rPr>
          <w:noProof/>
        </w:rPr>
        <w:t xml:space="preserve"> </w:t>
      </w:r>
    </w:p>
    <w:p>
      <w:pPr>
        <w:pBdr>
          <w:top w:val="nil"/>
          <w:left w:val="nil"/>
          <w:bottom w:val="nil"/>
          <w:right w:val="nil"/>
          <w:between w:val="nil"/>
          <w:bar w:val="nil"/>
        </w:pBdr>
        <w:spacing w:before="0" w:after="240"/>
        <w:rPr>
          <w:noProof/>
          <w:color w:val="000000"/>
          <w:szCs w:val="24"/>
        </w:rPr>
      </w:pPr>
      <w:r>
        <w:rPr>
          <w:noProof/>
          <w:color w:val="000000"/>
          <w:szCs w:val="24"/>
        </w:rPr>
        <w:t xml:space="preserve">Mot bakgrund av vad som anges ovan och med tanke på att EU:s rättsliga ram och den faktiska situationen inte har ändrats förefaller ansökan om förlängning av giltighetstiden för den avvikande åtgärden vara motiverad. Det föreslås därför att Rumäniens ansökan beviljas. </w:t>
      </w:r>
    </w:p>
    <w:p>
      <w:pPr>
        <w:widowControl w:val="0"/>
        <w:shd w:val="clear" w:color="auto" w:fill="FFFFFF"/>
        <w:autoSpaceDE w:val="0"/>
        <w:autoSpaceDN w:val="0"/>
        <w:adjustRightInd w:val="0"/>
        <w:spacing w:before="230" w:after="0" w:line="269" w:lineRule="exact"/>
        <w:rPr>
          <w:noProof/>
        </w:rPr>
      </w:pPr>
      <w:r>
        <w:rPr>
          <w:noProof/>
          <w:color w:val="000000"/>
          <w:szCs w:val="24"/>
        </w:rPr>
        <w:t xml:space="preserve">Vanligtvis beviljas avvikelser för en begränsad tidsperiod för att man ska kunna göra en bedömning av om den avvikande åtgärden är lämplig och ändamålsenlig. </w:t>
      </w:r>
      <w:r>
        <w:rPr>
          <w:noProof/>
        </w:rPr>
        <w:t xml:space="preserve">Dessutom antog rådet den 18 februari 2020 ett direktiv om ändring av bestämmelserna i artiklarna 281–294 i </w:t>
      </w:r>
      <w:r>
        <w:rPr>
          <w:noProof/>
        </w:rPr>
        <w:lastRenderedPageBreak/>
        <w:t>mervärdesskattedirektivet om den särskilda ordningen för små företag</w:t>
      </w:r>
      <w:r>
        <w:rPr>
          <w:rStyle w:val="FootnoteReference"/>
          <w:noProof/>
        </w:rPr>
        <w:footnoteReference w:id="5"/>
      </w:r>
      <w:r>
        <w:rPr>
          <w:noProof/>
        </w:rPr>
        <w:t>. I det nya direktivet om enklare mervärdesskatteregler för små företag krävs att medlemsstaterna senast den 31 december 2024 antar och offentliggör de lagar och andra författningar som är nödvändiga för att följa de nya reglerna.</w:t>
      </w:r>
      <w:r>
        <w:rPr>
          <w:noProof/>
          <w:color w:val="000000"/>
          <w:szCs w:val="24"/>
        </w:rPr>
        <w:t xml:space="preserve"> </w:t>
      </w:r>
      <w:r>
        <w:rPr>
          <w:noProof/>
        </w:rPr>
        <w:t xml:space="preserve">Medlemsstaterna måste tillämpa dessa nationella bestämmelser från och med den 1 januari 2025. </w:t>
      </w:r>
    </w:p>
    <w:p>
      <w:pPr>
        <w:autoSpaceDE w:val="0"/>
        <w:autoSpaceDN w:val="0"/>
        <w:adjustRightInd w:val="0"/>
        <w:spacing w:before="0" w:after="0"/>
        <w:rPr>
          <w:noProof/>
        </w:rPr>
      </w:pPr>
    </w:p>
    <w:p>
      <w:pPr>
        <w:autoSpaceDE w:val="0"/>
        <w:autoSpaceDN w:val="0"/>
        <w:adjustRightInd w:val="0"/>
        <w:spacing w:before="0" w:after="0"/>
        <w:rPr>
          <w:noProof/>
        </w:rPr>
      </w:pPr>
      <w:r>
        <w:rPr>
          <w:noProof/>
        </w:rPr>
        <w:t xml:space="preserve">Rumänien bör därför bemyndigas att få fortsätta att tillämpa den avvikande åtgärden fram till och med den 31 december 2024.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color w:val="000000"/>
          <w:szCs w:val="24"/>
        </w:rPr>
      </w:pPr>
      <w:r>
        <w:rPr>
          <w:noProof/>
        </w:rPr>
        <w:t>Den avvikande åtgärden ligger i linje med filosofin i det ovannämnda direktivet om ändring av artiklarna 281–294 i mervärdesskattedirektivet om en särskild ordning för små företag, som antogs den 18 februari 2020, till följd av handlingsplanen för mervärdesskatt</w:t>
      </w:r>
      <w:r>
        <w:rPr>
          <w:rStyle w:val="FootnoteReference"/>
          <w:noProof/>
        </w:rPr>
        <w:footnoteReference w:id="6"/>
      </w:r>
      <w:r>
        <w:rPr>
          <w:noProof/>
        </w:rPr>
        <w:t>och syftar till att skapa ett modernt, förenklat system för dessa företag.</w:t>
      </w:r>
      <w:r>
        <w:rPr>
          <w:noProof/>
          <w:color w:val="000000" w:themeColor="text1"/>
          <w:szCs w:val="24"/>
        </w:rPr>
        <w:t xml:space="preserve"> </w:t>
      </w:r>
      <w:r>
        <w:rPr>
          <w:noProof/>
          <w:szCs w:val="24"/>
        </w:rPr>
        <w:t>Den syftar särskilt till att minska kostnaderna för efterlevnad av mervärdesskattereglerna och snedvridning av konkurrensen både på den inhemska marknaden och på EU-nivå, minska tröskelvärdets negativa effekter och underlätta företagens efterlevnad av reglerna och skatteförvaltningarnas övervakning.</w:t>
      </w:r>
    </w:p>
    <w:p>
      <w:pPr>
        <w:pStyle w:val="Default"/>
        <w:jc w:val="both"/>
        <w:rPr>
          <w:noProof/>
          <w:lang w:val="sv-SE"/>
        </w:rPr>
      </w:pPr>
      <w:r>
        <w:rPr>
          <w:noProof/>
          <w:lang w:val="sv-SE"/>
        </w:rPr>
        <w:t>Liknande avvikelser som befriar beskattningsbara personer vars årsomsättning understiger ett visst tröskelvärde från mervärdesskatt, såsom föreskrivs i artikel 285 i mervärdesskattedirektivet, har beviljats andra medlemsstater. Malta</w:t>
      </w:r>
      <w:r>
        <w:rPr>
          <w:rStyle w:val="FootnoteReference"/>
          <w:noProof/>
        </w:rPr>
        <w:footnoteReference w:id="7"/>
      </w:r>
      <w:r>
        <w:rPr>
          <w:noProof/>
          <w:lang w:val="sv-SE"/>
        </w:rPr>
        <w:t xml:space="preserve"> har beviljats ett tröskelvärde på 20 000 EUR. Nederländerna</w:t>
      </w:r>
      <w:r>
        <w:rPr>
          <w:rStyle w:val="FootnoteReference"/>
          <w:noProof/>
        </w:rPr>
        <w:footnoteReference w:id="8"/>
      </w:r>
      <w:r>
        <w:rPr>
          <w:noProof/>
          <w:lang w:val="sv-SE"/>
        </w:rPr>
        <w:t xml:space="preserve"> har ett tröskelvärde på 25 000 EUR. Luxemburg har ett tröskelvärde på 35 000 EUR</w:t>
      </w:r>
      <w:r>
        <w:rPr>
          <w:rStyle w:val="FootnoteReference"/>
          <w:noProof/>
        </w:rPr>
        <w:footnoteReference w:id="9"/>
      </w:r>
      <w:r>
        <w:rPr>
          <w:noProof/>
          <w:lang w:val="sv-SE"/>
        </w:rPr>
        <w:t>. Polen</w:t>
      </w:r>
      <w:r>
        <w:rPr>
          <w:rStyle w:val="FootnoteReference"/>
          <w:noProof/>
        </w:rPr>
        <w:footnoteReference w:id="10"/>
      </w:r>
      <w:r>
        <w:rPr>
          <w:noProof/>
          <w:lang w:val="sv-SE"/>
        </w:rPr>
        <w:t>, Estland</w:t>
      </w:r>
      <w:r>
        <w:rPr>
          <w:rStyle w:val="FootnoteReference"/>
          <w:noProof/>
        </w:rPr>
        <w:footnoteReference w:id="11"/>
      </w:r>
      <w:r>
        <w:rPr>
          <w:noProof/>
          <w:lang w:val="sv-SE"/>
        </w:rPr>
        <w:t xml:space="preserve"> och Lettland</w:t>
      </w:r>
      <w:r>
        <w:rPr>
          <w:rStyle w:val="FootnoteReference"/>
          <w:noProof/>
        </w:rPr>
        <w:footnoteReference w:id="12"/>
      </w:r>
      <w:r>
        <w:rPr>
          <w:noProof/>
          <w:lang w:val="sv-SE"/>
        </w:rPr>
        <w:t xml:space="preserve"> har beviljats ett tröskelvärde på 40 000 euro. Kroatien</w:t>
      </w:r>
      <w:r>
        <w:rPr>
          <w:rStyle w:val="FootnoteReference"/>
          <w:noProof/>
        </w:rPr>
        <w:footnoteReference w:id="13"/>
      </w:r>
      <w:r>
        <w:rPr>
          <w:noProof/>
          <w:lang w:val="sv-SE"/>
        </w:rPr>
        <w:t xml:space="preserve"> och Litauen</w:t>
      </w:r>
      <w:r>
        <w:rPr>
          <w:rStyle w:val="FootnoteReference"/>
          <w:noProof/>
        </w:rPr>
        <w:footnoteReference w:id="14"/>
      </w:r>
      <w:r>
        <w:rPr>
          <w:noProof/>
          <w:lang w:val="sv-SE"/>
        </w:rPr>
        <w:t xml:space="preserve"> har ett tröskelvärde på 45 000 EUR. Ungern har ett tröskelvärde på 48 000 EUR</w:t>
      </w:r>
      <w:r>
        <w:rPr>
          <w:rStyle w:val="FootnoteReference"/>
          <w:noProof/>
        </w:rPr>
        <w:footnoteReference w:id="15"/>
      </w:r>
      <w:r>
        <w:rPr>
          <w:noProof/>
          <w:lang w:val="sv-SE"/>
        </w:rPr>
        <w:t>. Slovenien</w:t>
      </w:r>
      <w:r>
        <w:rPr>
          <w:rStyle w:val="FootnoteReference"/>
          <w:noProof/>
        </w:rPr>
        <w:footnoteReference w:id="16"/>
      </w:r>
      <w:r>
        <w:rPr>
          <w:noProof/>
          <w:lang w:val="sv-SE"/>
        </w:rPr>
        <w:t xml:space="preserve"> har ett tröskelvärde på 50 000 EUR Italien</w:t>
      </w:r>
      <w:r>
        <w:rPr>
          <w:rStyle w:val="FootnoteReference"/>
          <w:noProof/>
        </w:rPr>
        <w:footnoteReference w:id="17"/>
      </w:r>
      <w:r>
        <w:rPr>
          <w:noProof/>
          <w:lang w:val="sv-SE"/>
        </w:rPr>
        <w:t xml:space="preserve"> har ett tröskelvärde på 65 000 euro.</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Som tidigare nämnts bör avvikelser från mervärdesskattedirektivet alltid vara tidsbegränsade så att deras effekter kan utvärderas. Förlängningen av giltighetstiden för den avvikande åtgärden till och med den 31 december 2024 överensstämmer med kraven i det nya direktivet om enklare mervärdesskatteregler för små och medelstora företag.</w:t>
      </w:r>
      <w:r>
        <w:rPr>
          <w:noProof/>
          <w:color w:val="000000" w:themeColor="text1"/>
          <w:szCs w:val="24"/>
        </w:rPr>
        <w:t xml:space="preserve"> </w:t>
      </w:r>
      <w:r>
        <w:rPr>
          <w:noProof/>
          <w:szCs w:val="24"/>
        </w:rPr>
        <w:t>I det direktivet föreskrivs att medlemsstaterna från och med den 1 januari 2025 ska tillämpa de nationella bestämmelser som de ska anta för att följa direktivet.</w:t>
      </w:r>
      <w:r>
        <w:rPr>
          <w:noProof/>
          <w:color w:val="000000"/>
          <w:szCs w:val="24"/>
        </w:rPr>
        <w:t xml:space="preserve">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Den föreslagna åtgärden är därför förenlig med bestämmelserna i mervärdesskattedirektivet.</w:t>
      </w:r>
    </w:p>
    <w:p>
      <w:pPr>
        <w:pStyle w:val="Text1"/>
        <w:rPr>
          <w:b/>
          <w:noProof/>
        </w:rPr>
      </w:pPr>
      <w:r>
        <w:rPr>
          <w:b/>
          <w:noProof/>
        </w:rPr>
        <w:t xml:space="preserve">Förenlighet med unionens politik inom andra områden </w:t>
      </w:r>
    </w:p>
    <w:p>
      <w:pPr>
        <w:pBdr>
          <w:top w:val="nil"/>
          <w:left w:val="nil"/>
          <w:bottom w:val="nil"/>
          <w:right w:val="nil"/>
          <w:between w:val="nil"/>
          <w:bar w:val="nil"/>
        </w:pBdr>
        <w:spacing w:before="0" w:after="240"/>
        <w:rPr>
          <w:noProof/>
        </w:rPr>
      </w:pPr>
      <w:r>
        <w:rPr>
          <w:noProof/>
          <w:color w:val="000000"/>
          <w:szCs w:val="24"/>
        </w:rPr>
        <w:t xml:space="preserve">Kommissionen har i sina årliga arbetsprogram konsekvent framhållit behovet av enklare regler för små företag. </w:t>
      </w:r>
      <w:r>
        <w:rPr>
          <w:noProof/>
        </w:rPr>
        <w:t>I detta avseende hänvisar kommissionens arbetsprogram för 2020</w:t>
      </w:r>
      <w:r>
        <w:rPr>
          <w:rStyle w:val="FootnoteReference"/>
          <w:noProof/>
        </w:rPr>
        <w:footnoteReference w:id="18"/>
      </w:r>
      <w:r>
        <w:rPr>
          <w:noProof/>
        </w:rPr>
        <w:t xml:space="preserve"> till ”en särskild strategi för små och medelstora företag som kommer att göra det lättare för små och medelstora företag att verka, växa och expandera”. </w:t>
      </w:r>
      <w:r>
        <w:rPr>
          <w:noProof/>
          <w:color w:val="000000"/>
          <w:szCs w:val="24"/>
        </w:rPr>
        <w:t xml:space="preserve">Den avvikande åtgärden ligger i linje med dessa mål, i den mån finanspolitiska regler avses. </w:t>
      </w:r>
      <w:r>
        <w:rPr>
          <w:noProof/>
        </w:rPr>
        <w:t>Åtgärden ligger i linje med kommissionens arbetsprogram för 2017</w:t>
      </w:r>
      <w:r>
        <w:rPr>
          <w:rStyle w:val="FootnoteReference"/>
          <w:noProof/>
          <w:szCs w:val="23"/>
        </w:rPr>
        <w:footnoteReference w:id="19"/>
      </w:r>
      <w:r>
        <w:rPr>
          <w:noProof/>
        </w:rPr>
        <w:t>, som uttryckligen hänvisade till mervärdesskatt, där det påpekas att den administrativa bördan för efterlevnaden av mervärdesskattereglerna för små företag är hög och att tekniska innovationer innebär nya utmaningar för en effektiv skatteuppbörd och där man betonar behovet av att förenkla mervärdesskatten för mindre företag.</w:t>
      </w:r>
      <w:r>
        <w:rPr>
          <w:noProof/>
          <w:color w:val="000000"/>
          <w:szCs w:val="24"/>
        </w:rPr>
        <w:t xml:space="preserve"> </w:t>
      </w:r>
    </w:p>
    <w:p>
      <w:pPr>
        <w:pBdr>
          <w:top w:val="nil"/>
          <w:left w:val="nil"/>
          <w:bottom w:val="nil"/>
          <w:right w:val="nil"/>
          <w:between w:val="nil"/>
          <w:bar w:val="nil"/>
        </w:pBdr>
        <w:spacing w:before="0" w:after="240"/>
        <w:rPr>
          <w:noProof/>
          <w:color w:val="000000"/>
          <w:szCs w:val="24"/>
        </w:rPr>
      </w:pPr>
      <w:r>
        <w:rPr>
          <w:noProof/>
        </w:rPr>
        <w:t>Åtgärden är också förenlig med 2015 års strategi för den inre marknaden</w:t>
      </w:r>
      <w:r>
        <w:rPr>
          <w:rStyle w:val="FootnoteReference"/>
          <w:noProof/>
          <w:szCs w:val="24"/>
        </w:rPr>
        <w:footnoteReference w:id="20"/>
      </w:r>
      <w:r>
        <w:rPr>
          <w:noProof/>
        </w:rPr>
        <w:t>, där kommissionen har föresatt sig att hjälpa små och medelstora företag att växa, bland annat genom att minska de administrativa bördor som hindrar dem från att fullt ut utnyttja fördelarna med den inre marknaden. Den följer också filosofin i kommissionens meddelande från 2013 ”Handlingsplan för företagande 2020:</w:t>
      </w:r>
      <w:r>
        <w:rPr>
          <w:noProof/>
          <w:color w:val="000000"/>
          <w:szCs w:val="24"/>
        </w:rPr>
        <w:t xml:space="preserve"> Stärka företagarandan i EU</w:t>
      </w:r>
      <w:r>
        <w:rPr>
          <w:rStyle w:val="FootnoteReference"/>
          <w:noProof/>
          <w:color w:val="000000"/>
          <w:szCs w:val="24"/>
        </w:rPr>
        <w:footnoteReference w:id="21"/>
      </w:r>
      <w:r>
        <w:rPr>
          <w:noProof/>
          <w:color w:val="000000"/>
          <w:szCs w:val="24"/>
        </w:rPr>
        <w:t>, som underströk behovet av att förenkla skattelagstiftningen för små företag.</w:t>
      </w:r>
    </w:p>
    <w:p>
      <w:pPr>
        <w:pBdr>
          <w:top w:val="nil"/>
          <w:left w:val="nil"/>
          <w:bottom w:val="nil"/>
          <w:right w:val="nil"/>
          <w:between w:val="nil"/>
          <w:bar w:val="nil"/>
        </w:pBdr>
        <w:spacing w:before="0" w:after="240"/>
        <w:rPr>
          <w:noProof/>
          <w:color w:val="000000"/>
          <w:szCs w:val="24"/>
        </w:rPr>
      </w:pPr>
      <w:r>
        <w:rPr>
          <w:noProof/>
        </w:rPr>
        <w:t>Slutligen är åtgärden i linje med unionens mål för små och medelstora företag som beskrivs i kommissionens meddelande från 2016 om uppstartsföretag</w:t>
      </w:r>
      <w:r>
        <w:rPr>
          <w:rStyle w:val="FootnoteReference"/>
          <w:noProof/>
          <w:szCs w:val="24"/>
        </w:rPr>
        <w:footnoteReference w:id="22"/>
      </w:r>
      <w:r>
        <w:rPr>
          <w:noProof/>
        </w:rPr>
        <w:t xml:space="preserve"> och 2008 års meddelande Tänk småskaligt först – En ”Small Business Act” för Europa</w:t>
      </w:r>
      <w:r>
        <w:rPr>
          <w:rStyle w:val="FootnoteReference"/>
          <w:noProof/>
          <w:szCs w:val="24"/>
        </w:rPr>
        <w:footnoteReference w:id="23"/>
      </w:r>
      <w:r>
        <w:rPr>
          <w:noProof/>
        </w:rPr>
        <w:t>, där medlemsstaterna uppmanas att beakta de särskilda egenskaperna hos små och medelstora företag när de utformar lagstiftningen och att förenkla befintlig lagstiftning.</w:t>
      </w:r>
    </w:p>
    <w:p>
      <w:pPr>
        <w:pBdr>
          <w:top w:val="nil"/>
          <w:left w:val="nil"/>
          <w:bottom w:val="nil"/>
          <w:right w:val="nil"/>
          <w:between w:val="nil"/>
          <w:bar w:val="nil"/>
        </w:pBdr>
        <w:spacing w:before="0" w:after="240"/>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rPr>
        <w:tab/>
      </w:r>
      <w:r>
        <w:rPr>
          <w:noProof/>
          <w:u w:color="000000"/>
          <w:bdr w:val="nil"/>
        </w:rPr>
        <w:t>Rättslig grund</w:t>
      </w:r>
    </w:p>
    <w:p>
      <w:pPr>
        <w:pBdr>
          <w:top w:val="nil"/>
          <w:left w:val="nil"/>
          <w:bottom w:val="nil"/>
          <w:right w:val="nil"/>
          <w:between w:val="nil"/>
          <w:bar w:val="nil"/>
        </w:pBdr>
        <w:spacing w:before="0" w:after="240"/>
        <w:rPr>
          <w:noProof/>
        </w:rPr>
      </w:pPr>
      <w:r>
        <w:rPr>
          <w:noProof/>
        </w:rPr>
        <w:t>Artikel 395 i mervärdesskattedirektivet är den enda möjliga rättsliga grunden.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Subsidiaritetsprincipen (för icke-exklusiv befogenhet) </w:t>
      </w:r>
    </w:p>
    <w:p>
      <w:pPr>
        <w:pBdr>
          <w:top w:val="nil"/>
          <w:left w:val="nil"/>
          <w:bottom w:val="nil"/>
          <w:right w:val="nil"/>
          <w:between w:val="nil"/>
          <w:bar w:val="nil"/>
        </w:pBdr>
        <w:spacing w:before="0" w:after="240"/>
        <w:rPr>
          <w:noProof/>
        </w:rPr>
      </w:pPr>
      <w:r>
        <w:rPr>
          <w:noProof/>
        </w:rPr>
        <w:t>Med tanke på den bestämmelse i mervärdesskattedirektivet som ligger till grund för förslaget avser detta ett område där Europeiska unionen har exklusiv befogenhet. Subsidiaritetsprincipen är därför inte tillämplig.</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spacing w:before="0" w:after="240"/>
        <w:rPr>
          <w:noProof/>
        </w:rPr>
      </w:pPr>
      <w:r>
        <w:rPr>
          <w:noProof/>
        </w:rPr>
        <w:t>Beslutet avser ett bemyndigande som beviljas en medlemsstat på dess egen begäran och utgör därför ingen förpliktelse.</w:t>
      </w:r>
    </w:p>
    <w:p>
      <w:pPr>
        <w:pBdr>
          <w:top w:val="nil"/>
          <w:left w:val="nil"/>
          <w:bottom w:val="nil"/>
          <w:right w:val="nil"/>
          <w:between w:val="nil"/>
          <w:bar w:val="nil"/>
        </w:pBdr>
        <w:spacing w:before="0" w:after="240"/>
        <w:rPr>
          <w:noProof/>
        </w:rPr>
      </w:pPr>
      <w:r>
        <w:rPr>
          <w:noProof/>
        </w:rPr>
        <w:t>På grund av avvikelsens begränsade tillämpningsområde står den särskilda åtgärden i proportion till det mål som eftersträvas, dvs. att förenkla skatteuppbörden för beskattningsbara personer med låg omsättning samt skatteförvaltningen, spara på administrativa resurser och minska skatteundandragandet.</w:t>
      </w:r>
    </w:p>
    <w:p>
      <w:pPr>
        <w:pStyle w:val="ManualHeading2"/>
        <w:rPr>
          <w:rFonts w:eastAsia="Arial Unicode MS"/>
          <w:noProof/>
          <w:u w:color="000000"/>
          <w:bdr w:val="nil"/>
        </w:rPr>
      </w:pPr>
      <w:r>
        <w:rPr>
          <w:noProof/>
          <w:u w:color="000000"/>
          <w:bdr w:val="nil"/>
        </w:rPr>
        <w:t>•</w:t>
      </w:r>
      <w:r>
        <w:rPr>
          <w:noProof/>
        </w:rPr>
        <w:tab/>
      </w:r>
      <w:r>
        <w:rPr>
          <w:noProof/>
          <w:u w:color="000000"/>
          <w:bdr w:val="nil"/>
        </w:rPr>
        <w:t>Val av instrument</w:t>
      </w:r>
    </w:p>
    <w:p>
      <w:pPr>
        <w:pBdr>
          <w:top w:val="nil"/>
          <w:left w:val="nil"/>
          <w:bottom w:val="nil"/>
          <w:right w:val="nil"/>
          <w:between w:val="nil"/>
          <w:bar w:val="nil"/>
        </w:pBdr>
        <w:spacing w:before="0" w:after="240"/>
        <w:rPr>
          <w:noProof/>
        </w:rPr>
      </w:pPr>
      <w:r>
        <w:rPr>
          <w:noProof/>
        </w:rPr>
        <w:t>Föreslaget instrument är rådets genomförandebeslut.</w:t>
      </w:r>
    </w:p>
    <w:p>
      <w:pPr>
        <w:pBdr>
          <w:top w:val="nil"/>
          <w:left w:val="nil"/>
          <w:bottom w:val="nil"/>
          <w:right w:val="nil"/>
          <w:between w:val="nil"/>
          <w:bar w:val="nil"/>
        </w:pBdr>
        <w:spacing w:before="0" w:after="240"/>
        <w:rPr>
          <w:noProof/>
        </w:rPr>
      </w:pPr>
      <w:r>
        <w:rPr>
          <w:noProof/>
        </w:rPr>
        <w:t>I enlighet med artikel 395 i mervärdesskattedirektivet är en avvikelse från de gemensamma mervärdesskattereglerna bara möjlig om rådet ger ett enhälligt bemyndigande på grundval av ett förslag från kommissionen. Ett rådets genomförandebeslut är det lämpligaste instrumentet, eftersom det kan riktas till en enskild medlemsstat.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rPr>
        <w:tab/>
      </w:r>
      <w:r>
        <w:rPr>
          <w:noProof/>
          <w:u w:color="000000"/>
          <w:bdr w:val="nil"/>
        </w:rPr>
        <w:t>Samråd med berörda parter</w:t>
      </w:r>
    </w:p>
    <w:p>
      <w:pPr>
        <w:pBdr>
          <w:top w:val="nil"/>
          <w:left w:val="nil"/>
          <w:bottom w:val="nil"/>
          <w:right w:val="nil"/>
          <w:between w:val="nil"/>
          <w:bar w:val="nil"/>
        </w:pBdr>
        <w:spacing w:before="0" w:after="240"/>
        <w:rPr>
          <w:noProof/>
        </w:rPr>
      </w:pPr>
      <w:r>
        <w:rPr>
          <w:noProof/>
        </w:rPr>
        <w:t>Det har inte genomförts något samråd med berörda parter. Detta förslag grundar sig på en ansökan från Rumänien och berör bara denna medlemsstat.</w:t>
      </w:r>
    </w:p>
    <w:p>
      <w:pPr>
        <w:pStyle w:val="ManualHeading2"/>
        <w:rPr>
          <w:rFonts w:eastAsia="Arial Unicode MS"/>
          <w:noProof/>
          <w:u w:color="000000"/>
          <w:bdr w:val="nil"/>
        </w:rPr>
      </w:pPr>
      <w:r>
        <w:rPr>
          <w:noProof/>
          <w:u w:color="000000"/>
          <w:bdr w:val="nil"/>
        </w:rPr>
        <w:t>•</w:t>
      </w:r>
      <w:r>
        <w:rPr>
          <w:noProof/>
        </w:rPr>
        <w:tab/>
      </w:r>
      <w:r>
        <w:rPr>
          <w:noProof/>
          <w:u w:color="000000"/>
          <w:bdr w:val="nil"/>
        </w:rPr>
        <w:t>Insamling och användning av sakkunnigutlåtanden</w:t>
      </w:r>
    </w:p>
    <w:p>
      <w:pPr>
        <w:pBdr>
          <w:top w:val="nil"/>
          <w:left w:val="nil"/>
          <w:bottom w:val="nil"/>
          <w:right w:val="nil"/>
          <w:between w:val="nil"/>
          <w:bar w:val="nil"/>
        </w:pBdr>
        <w:spacing w:before="0" w:after="240"/>
        <w:rPr>
          <w:noProof/>
        </w:rPr>
      </w:pPr>
      <w:r>
        <w:rPr>
          <w:noProof/>
        </w:rPr>
        <w:t xml:space="preserve">Det har inte behövts några externa sakkunnigutlåtanden. </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Konsekvensbedömning</w:t>
      </w:r>
    </w:p>
    <w:p>
      <w:pPr>
        <w:rPr>
          <w:noProof/>
          <w:szCs w:val="24"/>
        </w:rPr>
      </w:pPr>
      <w:r>
        <w:rPr>
          <w:noProof/>
        </w:rPr>
        <w:t>Förslaget till rådets genomförandebeslut syftar till att förlänga en förenklingsåtgärd som avlägsnar många av mervärdesskatteskyldigheterna för företag som har en årsomsättning på högst 88 500 euro eller motsvarande i nationell valuta. Detta kan ha en potentiellt positiv inverkan på minskningen av den administrativa bördan för 241 417 små företag, som utgör 57,15 % av det totala antalet beskattningsbara personer som är registrerade för mervärdesskatt och 17,79 % av det totala antalet aktiva beskattningsbara personer i Rumänien under 2019 (fram till och med den 31 oktober). På samma sätt skulle den avvikande åtgärden avsevärt kunna minska skattemyndigheternas arbetsbörda när det gäller skatteuppbörd, vilket skulle göra dem effektivare, samtidigt som administrativa resurser sparas och skatteundandragande minskar. Den avvikande åtgärden är och kommer att förbli frivillig för beskattningsbara personer. Beskattningsbara personer kommer fortfarande att kunna välja de normala mervärdesskattereglerna i enlighet med artikel 290 i direktiv 2006/112/EG. Rumänien uppskattar budgeteffekterna i fråga om mervärdesskatteintäkter för 2019 som försumbara.</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Grundläggande rättigheter</w:t>
      </w:r>
    </w:p>
    <w:p>
      <w:pPr>
        <w:pBdr>
          <w:top w:val="nil"/>
          <w:left w:val="nil"/>
          <w:bottom w:val="nil"/>
          <w:right w:val="nil"/>
          <w:between w:val="nil"/>
          <w:bar w:val="nil"/>
        </w:pBdr>
        <w:spacing w:before="0" w:after="240"/>
        <w:rPr>
          <w:noProof/>
        </w:rPr>
      </w:pPr>
      <w:r>
        <w:rPr>
          <w:noProof/>
        </w:rPr>
        <w:t>Förslaget har inga konsekvenser för skyddet av de grundläggande rättigheterna.</w:t>
      </w:r>
    </w:p>
    <w:p>
      <w:pPr>
        <w:pStyle w:val="ManualHeading1"/>
        <w:rPr>
          <w:noProof/>
        </w:rPr>
      </w:pPr>
      <w:r>
        <w:rPr>
          <w:noProof/>
        </w:rPr>
        <w:t>4.</w:t>
      </w:r>
      <w:r>
        <w:rPr>
          <w:noProof/>
        </w:rPr>
        <w:tab/>
        <w:t>BUDGETKONSEKVENSER</w:t>
      </w:r>
    </w:p>
    <w:p>
      <w:pPr>
        <w:spacing w:before="0" w:after="240"/>
        <w:rPr>
          <w:noProof/>
        </w:rPr>
      </w:pPr>
      <w:r>
        <w:rPr>
          <w:noProof/>
        </w:rPr>
        <w:t xml:space="preserve">Förslaget påverkar inte EU-budgeten, eftersom Rumänien kommer att genomföra en kompensationsberäkning i enlighet med artikel 6 i rådets förordning (EEG, Euratom) nr 1553/89.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2020/0136 (NLE)</w:t>
      </w:r>
    </w:p>
    <w:p>
      <w:pPr>
        <w:pStyle w:val="Statut"/>
        <w:rPr>
          <w:noProof/>
        </w:rPr>
      </w:pPr>
      <w:r>
        <w:rPr>
          <w:noProof/>
        </w:rPr>
        <w:t>Förslag till</w:t>
      </w:r>
    </w:p>
    <w:p>
      <w:pPr>
        <w:pStyle w:val="Typedudocument"/>
        <w:rPr>
          <w:noProof/>
        </w:rPr>
      </w:pPr>
      <w:r>
        <w:rPr>
          <w:noProof/>
        </w:rPr>
        <w:t>RÅDETS GENOMFÖRANDEBESLUT</w:t>
      </w:r>
    </w:p>
    <w:p>
      <w:pPr>
        <w:pStyle w:val="Titreobjet"/>
        <w:rPr>
          <w:noProof/>
        </w:rPr>
      </w:pPr>
      <w:r>
        <w:rPr>
          <w:noProof/>
        </w:rPr>
        <w:t>om ändring av genomförandebeslut (EU) 2017/1855 om bemyndigande för Rumänien att tillämpa en särskild åtgärd som avviker från artikel 287 i direktiv 2006/112/EG om ett gemensamt system för mervärdesskatt</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w:t>
      </w:r>
    </w:p>
    <w:p>
      <w:pPr>
        <w:rPr>
          <w:noProof/>
        </w:rPr>
      </w:pPr>
      <w:r>
        <w:rPr>
          <w:noProof/>
        </w:rPr>
        <w:t>med beaktande av rådets direktiv 2006/112/EG av den 28 november 2006 om ett gemensamt system för mervärdesskatt</w:t>
      </w:r>
      <w:r>
        <w:rPr>
          <w:rStyle w:val="FootnoteReference"/>
          <w:noProof/>
        </w:rPr>
        <w:footnoteReference w:id="24"/>
      </w:r>
      <w:r>
        <w:rPr>
          <w:noProof/>
        </w:rPr>
        <w:t>, särskilt artikel 395.1 första stycket,</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Enligt artikel 287.18 i direktiv 2006/112/EG får Rumänien tillämpa befrielse från mervärdesskatt för beskattningsbara personer vars årsomsättning inte överstiger motvärdet i nationell valuta av 35 000 EUR enligt den omräkningskurs som gällde på dagen för landets anslutning.</w:t>
      </w:r>
    </w:p>
    <w:p>
      <w:pPr>
        <w:pStyle w:val="ManualConsidrant"/>
        <w:rPr>
          <w:noProof/>
        </w:rPr>
      </w:pPr>
      <w:r>
        <w:t>(2)</w:t>
      </w:r>
      <w:r>
        <w:tab/>
      </w:r>
      <w:r>
        <w:rPr>
          <w:noProof/>
        </w:rPr>
        <w:t>Genom rådets genomförandebeslut 2012/181/EU</w:t>
      </w:r>
      <w:r>
        <w:rPr>
          <w:rStyle w:val="FootnoteReference"/>
          <w:noProof/>
        </w:rPr>
        <w:footnoteReference w:id="25"/>
      </w:r>
      <w:r>
        <w:rPr>
          <w:noProof/>
        </w:rPr>
        <w:t xml:space="preserve"> bemyndigades Rumänien att tillämpa en särskild åtgärd som avviker från artikel 287 i direktiv 2006/112/EG (nedan kallad </w:t>
      </w:r>
      <w:r>
        <w:rPr>
          <w:i/>
          <w:iCs/>
          <w:noProof/>
        </w:rPr>
        <w:t>den avvikande åtgärden</w:t>
      </w:r>
      <w:r>
        <w:rPr>
          <w:noProof/>
        </w:rPr>
        <w:t>), för att befria beskattningsbara personer vars årsomsättning inte överstiger 65 000 euro från mervärdesskatt. Den avvikande åtgärden upphörde att gälla den 31 december 2014.</w:t>
      </w:r>
    </w:p>
    <w:p>
      <w:pPr>
        <w:pStyle w:val="ManualConsidrant"/>
        <w:rPr>
          <w:noProof/>
        </w:rPr>
      </w:pPr>
      <w:r>
        <w:t>(3)</w:t>
      </w:r>
      <w:r>
        <w:tab/>
      </w:r>
      <w:r>
        <w:rPr>
          <w:noProof/>
        </w:rPr>
        <w:t>Genom rådets genomförandebeslut 2014/931/EU</w:t>
      </w:r>
      <w:r>
        <w:rPr>
          <w:rStyle w:val="FootnoteReference"/>
          <w:noProof/>
        </w:rPr>
        <w:footnoteReference w:id="26"/>
      </w:r>
      <w:r>
        <w:rPr>
          <w:noProof/>
        </w:rPr>
        <w:t xml:space="preserve"> bemyndigades Rumänien att få fortsätta att tillämpa den avvikande åtgärden fram till och med den 31 december 2017. </w:t>
      </w:r>
    </w:p>
    <w:p>
      <w:pPr>
        <w:pStyle w:val="ManualConsidrant"/>
        <w:rPr>
          <w:noProof/>
        </w:rPr>
      </w:pPr>
      <w:r>
        <w:t>(4)</w:t>
      </w:r>
      <w:r>
        <w:tab/>
      </w:r>
      <w:r>
        <w:rPr>
          <w:noProof/>
        </w:rPr>
        <w:t>Genom rådets genomförandebeslut 2017/1855</w:t>
      </w:r>
      <w:r>
        <w:rPr>
          <w:rStyle w:val="FootnoteReference"/>
          <w:noProof/>
        </w:rPr>
        <w:footnoteReference w:id="27"/>
      </w:r>
      <w:r>
        <w:rPr>
          <w:noProof/>
        </w:rPr>
        <w:t xml:space="preserve"> bemyndigades Rumänien att tillämpa en särskild åtgärd som avviker från artikel 278 i direktiv 2006/112/EG som undantar mervärdesskatt för beskattningsbara personer vars årsomsättning inte överstiger motvärdet i nationell valuta av 88 500 EUR enligt omräkningskursen på dagen för landets anslutning. Den avvikande åtgärden godkändes till och med den 31 december 2020, eller fram till dagen för ikraftträdandet av ett direktiv om ändring av bestämmelserna i artiklarna 281–294 i direktiv 2006/112/EG, beroende på vilken dag som infaller först. </w:t>
      </w:r>
    </w:p>
    <w:p>
      <w:pPr>
        <w:pStyle w:val="ManualConsidrant"/>
        <w:rPr>
          <w:noProof/>
        </w:rPr>
      </w:pPr>
      <w:r>
        <w:t>(5)</w:t>
      </w:r>
      <w:r>
        <w:tab/>
      </w:r>
      <w:r>
        <w:rPr>
          <w:noProof/>
        </w:rPr>
        <w:t>Den 18 februari 2020 antog rådet direktiv (EU) 2020/285</w:t>
      </w:r>
      <w:r>
        <w:rPr>
          <w:rStyle w:val="FootnoteReference"/>
          <w:noProof/>
          <w:szCs w:val="24"/>
        </w:rPr>
        <w:footnoteReference w:id="28"/>
      </w:r>
      <w:r>
        <w:rPr>
          <w:noProof/>
        </w:rPr>
        <w:t xml:space="preserve"> om ändring av artiklarna 281–294 i direktiv 2006/112/EG vad gäller den särskilda ordningen för små företag och om fastställande av nya regler för små företag, inbegripet det högsta tröskelvärdet för medlemsstatens årsomsättning på 85 000 EUR eller motsvarande belopp i nationell valuta . </w:t>
      </w:r>
    </w:p>
    <w:p>
      <w:pPr>
        <w:pStyle w:val="ManualConsidrant"/>
        <w:rPr>
          <w:noProof/>
        </w:rPr>
      </w:pPr>
      <w:r>
        <w:t>(6)</w:t>
      </w:r>
      <w:r>
        <w:tab/>
      </w:r>
      <w:r>
        <w:rPr>
          <w:noProof/>
        </w:rPr>
        <w:t>Genom en skrivelse som registrerades hos kommissionen den 14 januari 2020 ansökte Rumänien om bemyndigande att få fortsätta att tillämpa den avvikande åtgärden efter den 31 december 2020.</w:t>
      </w:r>
    </w:p>
    <w:p>
      <w:pPr>
        <w:pStyle w:val="ManualConsidrant"/>
        <w:rPr>
          <w:noProof/>
        </w:rPr>
      </w:pPr>
      <w:r>
        <w:t>(7)</w:t>
      </w:r>
      <w:r>
        <w:tab/>
      </w:r>
      <w:r>
        <w:rPr>
          <w:noProof/>
        </w:rPr>
        <w:t xml:space="preserve">Genom en skrivelse av den 18 februari 2020 underrättade kommissionen övriga medlemsstater, i enlighet med artikel 395.2 andra stycket i direktiv 2006/112/EG, om Rumäniens ansökan. Genom en skrivelse av den 19 februari 2020 informerade kommissionen Rumänien om att den förfogade över den information som krävs för att bedöma ansökan. </w:t>
      </w:r>
    </w:p>
    <w:p>
      <w:pPr>
        <w:pStyle w:val="ManualConsidrant"/>
        <w:rPr>
          <w:noProof/>
        </w:rPr>
      </w:pPr>
      <w:r>
        <w:t>(8)</w:t>
      </w:r>
      <w:r>
        <w:tab/>
      </w:r>
      <w:r>
        <w:rPr>
          <w:noProof/>
        </w:rPr>
        <w:t>Av de uppgifter som Rumänien lämnat framgår att motiveringen för den avvikande åtgärden i stort sett är oförändrad. Den avvikande åtgärden är en förenklingsåtgärd som minskar mervärdesskatterelaterade skyldigheter för ett antal små företag. Den minskar också skattemyndigheternas börda, eftersom den innebär att de inte längre behöver övervaka uppbörden av små intäktsvolymer från ett större antal små företag. Att behålla det nuvarande tröskelvärdet förefaller vara ett effektivt sätt att spara administrativa resurser och minska skatteundandragandet.</w:t>
      </w:r>
    </w:p>
    <w:p>
      <w:pPr>
        <w:pStyle w:val="ManualConsidrant"/>
        <w:rPr>
          <w:noProof/>
        </w:rPr>
      </w:pPr>
      <w:r>
        <w:t>(9)</w:t>
      </w:r>
      <w:r>
        <w:tab/>
      </w:r>
      <w:r>
        <w:rPr>
          <w:noProof/>
        </w:rPr>
        <w:t xml:space="preserve">Den avvikande åtgärden är och kommer att förbli frivillig för beskattningsbara personer. Beskattningsbara personer kommer fortfarande att kunna välja de normala mervärdesskattereglerna i enlighet med artikel 290 i direktiv 2006/112/EG. </w:t>
      </w:r>
    </w:p>
    <w:p>
      <w:pPr>
        <w:pStyle w:val="ManualConsidrant"/>
        <w:rPr>
          <w:noProof/>
        </w:rPr>
      </w:pPr>
      <w:r>
        <w:t>(10)</w:t>
      </w:r>
      <w:r>
        <w:tab/>
      </w:r>
      <w:r>
        <w:rPr>
          <w:noProof/>
        </w:rPr>
        <w:t xml:space="preserve">Enligt uppgifterna från Rumänien framgår det att den avvikande åtgärden bara kommer få en försumbar effekt på Rumäniens totala skatteintäkter som tas ut i det sista konsumtionsledet.  </w:t>
      </w:r>
    </w:p>
    <w:p>
      <w:pPr>
        <w:pStyle w:val="ManualConsidrant"/>
        <w:rPr>
          <w:noProof/>
        </w:rPr>
      </w:pPr>
      <w:r>
        <w:t>(11)</w:t>
      </w:r>
      <w:r>
        <w:tab/>
      </w:r>
      <w:r>
        <w:rPr>
          <w:noProof/>
        </w:rPr>
        <w:t>Den avvikande åtgärden har ingen negativ inverkan på de delar av unionens egna medel som härrör från mervärdesskatt, eftersom Rumänien kommer att genomföra en kompensationsberäkning i enlighet med artikel 6 i rådets förordning (EEG, Euratom) nr 1553/89</w:t>
      </w:r>
      <w:r>
        <w:rPr>
          <w:rStyle w:val="FootnoteReference"/>
          <w:noProof/>
        </w:rPr>
        <w:footnoteReference w:id="29"/>
      </w:r>
      <w:r>
        <w:rPr>
          <w:noProof/>
        </w:rPr>
        <w:t>.</w:t>
      </w:r>
    </w:p>
    <w:p>
      <w:pPr>
        <w:pStyle w:val="ManualConsidrant"/>
        <w:rPr>
          <w:noProof/>
        </w:rPr>
      </w:pPr>
      <w:r>
        <w:t>(12)</w:t>
      </w:r>
      <w:r>
        <w:tab/>
      </w:r>
      <w:r>
        <w:rPr>
          <w:noProof/>
        </w:rPr>
        <w:t xml:space="preserve">Med tanke på den avvikande åtgärdens potentiella positiva effekter för att minska den administrativa bördan och kostnaderna för regelefterlevnaden för små företag, samt för skatteförvaltningarna och att de inte får någon större inverkan på de totala intäkterna från mervärdesskatt, bör Rumänien bemyndigas att få tillämpa den avvikande åtgärden under ytterligare en period. </w:t>
      </w:r>
    </w:p>
    <w:p>
      <w:pPr>
        <w:pStyle w:val="ManualConsidrant"/>
        <w:rPr>
          <w:noProof/>
        </w:rPr>
      </w:pPr>
      <w:r>
        <w:t>(13)</w:t>
      </w:r>
      <w:r>
        <w:tab/>
      </w:r>
      <w:r>
        <w:rPr>
          <w:noProof/>
        </w:rPr>
        <w:t xml:space="preserve">Bemyndigandet att tillämpa den avvikande åtgärden bör vara tidsbegränsad. Tidsfristen bör vara tillräcklig för att göra det möjligt att bedöma om tröskelvärdet är effektivt och ändamålsenligt. Enligt direktiv (EU) 2020/285 ska medlemsstaterna dessutom senast den 31 december 2024 anta och offentliggöra de lagar och andra författningar som är nödvändiga för att följa artikel 1 i det direktivet och tillämpa dessa bestämmelser från och med den 1 januari 2025. Rumänien bör därför bemyndigas att få tillämpa den avvikande åtgärden fram till och med den 31 december 2024. </w:t>
      </w:r>
    </w:p>
    <w:p>
      <w:pPr>
        <w:pStyle w:val="ManualConsidrant"/>
        <w:rPr>
          <w:noProof/>
        </w:rPr>
      </w:pPr>
      <w:r>
        <w:t>(14)</w:t>
      </w:r>
      <w:r>
        <w:tab/>
      </w:r>
      <w:r>
        <w:rPr>
          <w:noProof/>
        </w:rPr>
        <w:t>Genomförandebeslut (EU) 2017/1855 bör därför ändras i enlighet med detta.</w:t>
      </w:r>
    </w:p>
    <w:p>
      <w:pPr>
        <w:pStyle w:val="Formuledadoption"/>
        <w:rPr>
          <w:noProof/>
        </w:rPr>
      </w:pPr>
      <w:r>
        <w:rPr>
          <w:noProof/>
        </w:rPr>
        <w:t xml:space="preserve">HÄRIGENOM FÖRESKRIVS FÖLJANDE. </w:t>
      </w:r>
    </w:p>
    <w:p>
      <w:pPr>
        <w:pStyle w:val="Titrearticle"/>
        <w:rPr>
          <w:noProof/>
        </w:rPr>
      </w:pPr>
      <w:r>
        <w:rPr>
          <w:noProof/>
        </w:rPr>
        <w:t xml:space="preserve"> Artikel 1</w:t>
      </w:r>
    </w:p>
    <w:p>
      <w:pPr>
        <w:rPr>
          <w:noProof/>
        </w:rPr>
      </w:pPr>
      <w:r>
        <w:rPr>
          <w:noProof/>
        </w:rPr>
        <w:t>I artikel 2 i genomförandebeslut (EU) 2017/1855 ska andra stycket ersättas med följande:</w:t>
      </w:r>
    </w:p>
    <w:p>
      <w:pPr>
        <w:rPr>
          <w:noProof/>
        </w:rPr>
      </w:pPr>
      <w:r>
        <w:rPr>
          <w:noProof/>
        </w:rPr>
        <w:t>”Det ska tillämpas från och med den 1 januari 2018 till och med den 31 december 2024.”</w:t>
      </w:r>
    </w:p>
    <w:p>
      <w:pPr>
        <w:pStyle w:val="Titrearticle"/>
        <w:rPr>
          <w:noProof/>
        </w:rPr>
      </w:pPr>
      <w:r>
        <w:rPr>
          <w:noProof/>
        </w:rPr>
        <w:t>Artikel 2</w:t>
      </w:r>
    </w:p>
    <w:p>
      <w:pPr>
        <w:keepNext/>
        <w:keepLines/>
        <w:rPr>
          <w:noProof/>
          <w:color w:val="000000"/>
        </w:rPr>
      </w:pPr>
      <w:r>
        <w:rPr>
          <w:noProof/>
          <w:color w:val="000000"/>
        </w:rPr>
        <w:t>Detta beslut riktar sig till Rumänien.</w:t>
      </w:r>
    </w:p>
    <w:p>
      <w:pPr>
        <w:keepNext/>
        <w:keepLines/>
        <w:rPr>
          <w:noProof/>
          <w:color w:val="000000"/>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347, 11.12.2006, s. 1.</w:t>
      </w:r>
    </w:p>
  </w:footnote>
  <w:footnote w:id="2">
    <w:p>
      <w:pPr>
        <w:pStyle w:val="FootnoteText"/>
      </w:pPr>
      <w:r>
        <w:rPr>
          <w:rStyle w:val="FootnoteReference"/>
        </w:rPr>
        <w:footnoteRef/>
      </w:r>
      <w:r>
        <w:tab/>
        <w:t>Rådets genomförandebeslut 2012/181/EU av den 26 mars 2012 om bemyndigande för Rumänien att genomföra en särskild åtgärd som avviker från artikel 287 i direktiv 2006/112/EG om ett gemensamt system för mervärdesskatt, EUT L 92, 30.3.2012, s. 26.</w:t>
      </w:r>
    </w:p>
  </w:footnote>
  <w:footnote w:id="3">
    <w:p>
      <w:pPr>
        <w:pStyle w:val="FootnoteText"/>
      </w:pPr>
      <w:r>
        <w:rPr>
          <w:rStyle w:val="FootnoteReference"/>
        </w:rPr>
        <w:footnoteRef/>
      </w:r>
      <w:r>
        <w:tab/>
        <w:t>Rådets genomförandebeslut 2014/931/EU av den 16 december 2014 om förlängning av giltighetstiden för genomförandebeslut 2012/181/EU om bemyndigande för Rumänien att genomföra en särskild åtgärd som avviker från artikel 287 i direktiv 2006/112/EG om ett gemensamt system förmervärdesskatt, EUT L 365, 19.12.2014, s. 145.</w:t>
      </w:r>
    </w:p>
  </w:footnote>
  <w:footnote w:id="4">
    <w:p>
      <w:pPr>
        <w:pStyle w:val="FootnoteText"/>
      </w:pPr>
      <w:r>
        <w:rPr>
          <w:rStyle w:val="FootnoteReference"/>
        </w:rPr>
        <w:footnoteRef/>
      </w:r>
      <w:r>
        <w:tab/>
        <w:t>Rådets genomförandebeslut (EU) 2017/1855 av den 10 oktober 2017 om bemyndigande för Rumänien att tillämpa en särskild åtgärd som avviker från artikel 287 i direktiv 2006/112/EG om ett gemensamt system för mervärdesskatt, EUT L 265, 14.10.2017, s. 19.</w:t>
      </w:r>
    </w:p>
  </w:footnote>
  <w:footnote w:id="5">
    <w:p>
      <w:pPr>
        <w:pStyle w:val="FootnoteText"/>
      </w:pPr>
      <w:r>
        <w:rPr>
          <w:rStyle w:val="FootnoteReference"/>
        </w:rPr>
        <w:footnoteRef/>
      </w:r>
      <w:r>
        <w:tab/>
        <w:t>Rådets direktiv (EU) 2020/285 av den 18 februari 2020 om ändring av direktiv 2006/112/EG om ett gemensamt system för mervärdesskatt vad gäller den särskilda ordningen för små företag och förordning (EU) nr 904/2010 vad gäller det administrativa samarbetet och utbyte av information för kontrollen av att den särskilda ordningen för små företag tillämpas på ett korrekt sätt, EUT L 62, 2.3.2020, s. 13.</w:t>
      </w:r>
    </w:p>
  </w:footnote>
  <w:footnote w:id="6">
    <w:p>
      <w:pPr>
        <w:pStyle w:val="FootnoteText"/>
      </w:pPr>
      <w:r>
        <w:rPr>
          <w:rStyle w:val="FootnoteReference"/>
        </w:rPr>
        <w:footnoteRef/>
      </w:r>
      <w:r>
        <w:tab/>
        <w:t>Meddelande från kommissionen till Europaparlamentet, rådet och Europeiska ekonomiska och sociala kommittén om en handlingsplan för mervärdesskatt - Mot ett gemensamt mervärdesskatteområde i EU - Dags för beslut (COM(2016)148 final).</w:t>
      </w:r>
    </w:p>
  </w:footnote>
  <w:footnote w:id="7">
    <w:p>
      <w:pPr>
        <w:pStyle w:val="FootnoteText"/>
      </w:pPr>
      <w:r>
        <w:rPr>
          <w:rStyle w:val="FootnoteReference"/>
        </w:rPr>
        <w:footnoteRef/>
      </w:r>
      <w:r>
        <w:tab/>
        <w:t>Rådets genomförandebeslut (EU) 2018/279 av den 20 februari 2018 om bemyndigande för Malta att tillämpa en särskild åtgärd som avviker från artikel 287 i direktiv 2006/112/EG om ett gemensamt system för mervärdesskatt, EUT L 54, 24.2.2018, s. 14.</w:t>
      </w:r>
    </w:p>
  </w:footnote>
  <w:footnote w:id="8">
    <w:p>
      <w:pPr>
        <w:pStyle w:val="FootnoteText"/>
      </w:pPr>
      <w:r>
        <w:rPr>
          <w:rStyle w:val="FootnoteReference"/>
        </w:rPr>
        <w:footnoteRef/>
      </w:r>
      <w:r>
        <w:tab/>
        <w:t>Rådets genomförandebeslut (EU) 2018/1904 av den 4 december 2018 om bemyndigande för Nederländerna att införa en särskild åtgärd som avviker från artikel 285 i direktiv 2006/112/EG om ett gemensamt system för mervärdesskatt, EUT L 310, 6.12.2018, s. 25.</w:t>
      </w:r>
    </w:p>
  </w:footnote>
  <w:footnote w:id="9">
    <w:p>
      <w:pPr>
        <w:pStyle w:val="FootnoteText"/>
      </w:pPr>
      <w:r>
        <w:rPr>
          <w:rStyle w:val="FootnoteReference"/>
        </w:rPr>
        <w:footnoteRef/>
      </w:r>
      <w:r>
        <w:tab/>
        <w:t>Rådets genomförandebeslut (EU) 2019/2210 av den 19 december 2019 om ändring av genomförandebeslut 2013/677/EU om bemyndigande för Luxemburg att införa en särskild åtgärd som avviker från artikel 285 i direktiv 2006/112/EG om ett gemensamt system för mervärdesskatt, EUT L 332, 23.12.2019, s. 155.</w:t>
      </w:r>
    </w:p>
  </w:footnote>
  <w:footnote w:id="10">
    <w:p>
      <w:pPr>
        <w:pStyle w:val="FootnoteText"/>
      </w:pPr>
      <w:r>
        <w:rPr>
          <w:rStyle w:val="FootnoteReference"/>
        </w:rPr>
        <w:footnoteRef/>
      </w:r>
      <w:r>
        <w:tab/>
        <w:t>Rådets genomförandebeslut (EU) 2018/1919 av den 4 december 2018 om ändring av beslut 2009/790/EG om bemyndigande för Republiken Polen att tillämpa en åtgärd som avviker från artikel 287 i direktiv 2006/112/EG om ett gemensamt system för mervärdesskatt, EUT L 311, 7.12.2018, s. 32.</w:t>
      </w:r>
    </w:p>
  </w:footnote>
  <w:footnote w:id="11">
    <w:p>
      <w:pPr>
        <w:pStyle w:val="FootnoteText"/>
      </w:pPr>
      <w:r>
        <w:rPr>
          <w:rStyle w:val="FootnoteReference"/>
        </w:rPr>
        <w:footnoteRef/>
      </w:r>
      <w:r>
        <w:tab/>
        <w:t>Rådets genomförandebeslut (EU) 2017/563 av den 21 mars 2017 om bemyndigande för Republiken Estland att tillämpa en särskild åtgärd som avviker från artikel 287 i direktiv 2006/112/EG om ett gemensamt system för mervärdesskatt, EUT L 80, 25.3.2017, s. 33.</w:t>
      </w:r>
    </w:p>
  </w:footnote>
  <w:footnote w:id="12">
    <w:p>
      <w:pPr>
        <w:pStyle w:val="FootnoteText"/>
      </w:pPr>
      <w:r>
        <w:rPr>
          <w:rStyle w:val="FootnoteReference"/>
        </w:rPr>
        <w:footnoteRef/>
      </w:r>
      <w:r>
        <w:tab/>
        <w:t>Rådets genomförandebeslut (EU) 2017/2408 av den 18 december 2017 om bemyndigande för Republiken Lettland att tillämpa en särskild åtgärd som avviker från artikel 287 i direktiv 2006/112/EG om ett gemensamt system för mervärdesskatt, EUT L 342, 21.12.2017, s. 8.</w:t>
      </w:r>
    </w:p>
  </w:footnote>
  <w:footnote w:id="13">
    <w:p>
      <w:pPr>
        <w:pStyle w:val="FootnoteText"/>
      </w:pPr>
      <w:r>
        <w:rPr>
          <w:rStyle w:val="FootnoteReference"/>
        </w:rPr>
        <w:footnoteRef/>
      </w:r>
      <w:r>
        <w:tab/>
        <w:t>Rådets genomförandebeslut (EU) 2017/1768 av den 25 september 2017 om bemyndigande för Republiken Kroatien att införa en särskild åtgärd som avviker från artikel 287 i direktiv 2006/112/EG om ett gemensamt system för mervärdesskatt, EUT L 250, 28.9.2017, s. 71.</w:t>
      </w:r>
    </w:p>
  </w:footnote>
  <w:footnote w:id="14">
    <w:p>
      <w:pPr>
        <w:pStyle w:val="FootnoteText"/>
      </w:pPr>
      <w:r>
        <w:rPr>
          <w:rStyle w:val="FootnoteReference"/>
        </w:rPr>
        <w:footnoteRef/>
      </w:r>
      <w:r>
        <w:tab/>
        <w:t>Rådets genomförandebeslut (EU) 2017/1853 av den 10 oktober 2017 om ändring av genomförandebeslut 2011/335/EU om bemyndigande för Republiken Litauen att tillämpa en åtgärd som avviker från artikel 287 i direktiv 2006/112/EG om ett gemensamt system för mervärdesskatt, EUT L 265, 14.10.2017, s. 15.</w:t>
      </w:r>
    </w:p>
  </w:footnote>
  <w:footnote w:id="15">
    <w:p>
      <w:pPr>
        <w:pStyle w:val="FootnoteText"/>
      </w:pPr>
      <w:r>
        <w:rPr>
          <w:rStyle w:val="FootnoteReference"/>
        </w:rPr>
        <w:footnoteRef/>
      </w:r>
      <w:r>
        <w:tab/>
        <w:t>Rådets genomförandebeslut (EU) 2018/1490 av den 2 oktober 2018 om bemyndigande för Ungern att införa en särskild åtgärd som avviker från artikel 287 i direktiv 2006/112/EG om ett gemensamt system för mervärdesskatt, EUT L 252, 8.10.2018, s. 38.</w:t>
      </w:r>
    </w:p>
  </w:footnote>
  <w:footnote w:id="16">
    <w:p>
      <w:pPr>
        <w:pStyle w:val="FootnoteText"/>
      </w:pPr>
      <w:r>
        <w:rPr>
          <w:rStyle w:val="FootnoteReference"/>
        </w:rPr>
        <w:footnoteRef/>
      </w:r>
      <w:r>
        <w:tab/>
        <w:t>Rådets genomförandebeslut (EU) 2018/1700 av den 6 november 2018 om ändring av genomförandebeslut 2013/54/EU om bemyndigande för Republiken Slovenien att införa en särskild åtgärd som avviker från artikel 287 i direktiv 2006/112/EG om ett gemensamt system för mervärdesskatt, EUT L 285, 13.11.2018, s. 78.</w:t>
      </w:r>
    </w:p>
  </w:footnote>
  <w:footnote w:id="17">
    <w:p>
      <w:pPr>
        <w:pStyle w:val="FootnoteText"/>
        <w:rPr>
          <w:i/>
        </w:rPr>
      </w:pPr>
      <w:r>
        <w:rPr>
          <w:rStyle w:val="FootnoteReference"/>
        </w:rPr>
        <w:footnoteRef/>
      </w:r>
      <w:r>
        <w:tab/>
        <w:t xml:space="preserve">Rådets genomförandebeslut (EU) 2020/647 av den 11 maj 2020 om bemyndigande för Nederländerna att införa en särskild åtgärd som avviker från artikel 285 i direktiv 2006/112/EG om ett gemensamt system för mervärdesskatt, EUT L 151, 14.5.2020, s. 7. </w:t>
      </w:r>
    </w:p>
  </w:footnote>
  <w:footnote w:id="18">
    <w:p>
      <w:pPr>
        <w:pStyle w:val="FootnoteText"/>
      </w:pPr>
      <w:r>
        <w:rPr>
          <w:rStyle w:val="FootnoteReference"/>
        </w:rPr>
        <w:footnoteRef/>
      </w:r>
      <w:r>
        <w:tab/>
        <w:t>Meddelande från kommissionen till Europaparlamentet, rådet, Europeiska ekonomiska och sociala kommittén samt regionkommittén – kommissionens arbetsprogram för 2020 - En ambitiösare union (COM(2020) 37 final).</w:t>
      </w:r>
    </w:p>
  </w:footnote>
  <w:footnote w:id="19">
    <w:p>
      <w:pPr>
        <w:pStyle w:val="FootnoteText"/>
      </w:pPr>
      <w:r>
        <w:rPr>
          <w:rStyle w:val="FootnoteReference"/>
        </w:rPr>
        <w:footnoteRef/>
      </w:r>
      <w:r>
        <w:tab/>
        <w:t xml:space="preserve">Meddelande från kommissionen till Europaparlamentet, rådet, Europeiska ekonomiska och sociala kommittén samt regionkommittén – kommissionens arbetsprogram för 2017 (COM(2016) 710 final). </w:t>
      </w:r>
    </w:p>
  </w:footnote>
  <w:footnote w:id="20">
    <w:p>
      <w:pPr>
        <w:pStyle w:val="FootnoteText"/>
      </w:pPr>
      <w:r>
        <w:rPr>
          <w:rStyle w:val="FootnoteReference"/>
        </w:rPr>
        <w:footnoteRef/>
      </w:r>
      <w:r>
        <w:tab/>
        <w:t xml:space="preserve">Meddelande från kommissionen till Europaparlamentet, rådet, Europeiska ekonomiska och sociala kommittén och Regionkommittén: Att förbättra den inre marknaden: bättre möjligheter för individer och företag (COM(2015) 550 final).  </w:t>
      </w:r>
    </w:p>
  </w:footnote>
  <w:footnote w:id="21">
    <w:p>
      <w:pPr>
        <w:pStyle w:val="FootnoteText"/>
      </w:pPr>
      <w:r>
        <w:rPr>
          <w:rStyle w:val="FootnoteReference"/>
        </w:rPr>
        <w:footnoteRef/>
      </w:r>
      <w:r>
        <w:tab/>
        <w:t>Meddelande från kommissionen till Europaparlamentet, rådet, Europeiska ekonomiska och sociala kommittén och Regionkommittén: Handlingsplan för företagande 2020:</w:t>
      </w:r>
      <w:r>
        <w:rPr>
          <w:color w:val="000000"/>
          <w:szCs w:val="24"/>
        </w:rPr>
        <w:t xml:space="preserve"> Stärka företagarandan i EU (COM (2012) 795 final).</w:t>
      </w:r>
    </w:p>
  </w:footnote>
  <w:footnote w:id="22">
    <w:p>
      <w:pPr>
        <w:pStyle w:val="FootnoteText"/>
      </w:pPr>
      <w:r>
        <w:rPr>
          <w:rStyle w:val="FootnoteReference"/>
        </w:rPr>
        <w:footnoteRef/>
      </w:r>
      <w:r>
        <w:tab/>
        <w:t>Meddelande från kommissionen till Europaparlamentet, rådet, Europeiska ekonomiska och sociala kommittén samt Regionkommittén – Europas nästa ledare: Initiativet för uppstartsföretag och expanderande företag (COM(2016) 733 final).</w:t>
      </w:r>
    </w:p>
  </w:footnote>
  <w:footnote w:id="23">
    <w:p>
      <w:pPr>
        <w:pStyle w:val="FootnoteText"/>
      </w:pPr>
      <w:r>
        <w:rPr>
          <w:rStyle w:val="FootnoteReference"/>
        </w:rPr>
        <w:footnoteRef/>
      </w:r>
      <w:r>
        <w:tab/>
        <w:t xml:space="preserve">Meddelande från kommissionen till Europaparlamentet, rådet, Europeiska ekonomiska och sociala kommittén samt Regionkommittén – Tänk småskaligt först – En ”Small Business Act” för Europa (KOM(2008) 394 slutlig). </w:t>
      </w:r>
    </w:p>
  </w:footnote>
  <w:footnote w:id="24">
    <w:p>
      <w:pPr>
        <w:pStyle w:val="FootnoteText"/>
      </w:pPr>
      <w:r>
        <w:rPr>
          <w:rStyle w:val="FootnoteReference"/>
        </w:rPr>
        <w:footnoteRef/>
      </w:r>
      <w:r>
        <w:tab/>
        <w:t>EUT L 347, 11.12.2006, s. 1.</w:t>
      </w:r>
    </w:p>
  </w:footnote>
  <w:footnote w:id="25">
    <w:p>
      <w:pPr>
        <w:pStyle w:val="FootnoteText"/>
      </w:pPr>
      <w:r>
        <w:rPr>
          <w:rStyle w:val="FootnoteReference"/>
        </w:rPr>
        <w:footnoteRef/>
      </w:r>
      <w:r>
        <w:tab/>
        <w:t xml:space="preserve">Rådets genomförandebeslut 2012/181/EU av den 26 mars 2012 om bemyndigande för Rumänien att genomföra en särskild åtgärd som avviker från artikel 287 i direktiv 2006/112/EG om ett gemensamt system för mervärdesskatt, EUT L 92, 30.3.2012, s. 26. </w:t>
      </w:r>
    </w:p>
  </w:footnote>
  <w:footnote w:id="26">
    <w:p>
      <w:pPr>
        <w:pStyle w:val="FootnoteText"/>
      </w:pPr>
      <w:r>
        <w:rPr>
          <w:rStyle w:val="FootnoteReference"/>
        </w:rPr>
        <w:footnoteRef/>
      </w:r>
      <w:r>
        <w:tab/>
        <w:t>Rådets genomförandebeslut 2014/931/EU av den 16 december 2014 om förlängning av giltighetstiden för genomförandebeslut 2012/181/EU om bemyndigande för Rumänien att genomföra en särskild åtgärd som avviker från artikel 287 i direktiv 2006/112/EG om ett gemensamt system förmervärdesskatt, EUT L 365, 19.12.2014, s. 145.</w:t>
      </w:r>
    </w:p>
  </w:footnote>
  <w:footnote w:id="27">
    <w:p>
      <w:pPr>
        <w:pStyle w:val="FootnoteText"/>
      </w:pPr>
      <w:r>
        <w:rPr>
          <w:rStyle w:val="FootnoteReference"/>
        </w:rPr>
        <w:footnoteRef/>
      </w:r>
      <w:r>
        <w:tab/>
        <w:t>Rådets genomförandebeslut (EU) 2017/1855 av den 10 oktober 2017 om bemyndigande för Rumänien att tillämpa en särskild åtgärd som avviker från artikel 287 i direktiv 2006/112/EG om ett gemensamt system för mervärdesskatt, EUT L 265, 14.10.2017, s. 19.</w:t>
      </w:r>
    </w:p>
  </w:footnote>
  <w:footnote w:id="28">
    <w:p>
      <w:pPr>
        <w:pStyle w:val="FootnoteText"/>
      </w:pPr>
      <w:r>
        <w:rPr>
          <w:rStyle w:val="FootnoteReference"/>
        </w:rPr>
        <w:footnoteRef/>
      </w:r>
      <w:r>
        <w:tab/>
        <w:t>Rådets direktiv (EU) 2020/285 av den 18 februari 2020 om ändring av direktiv 2006/112/EG om ett gemensamt system för mervärdesskatt vad gäller den särskilda ordningen för små företag och förordning (EU) nr 904/2010 vad gäller det administrativa samarbetet och utbyte av information för kontrollen av att den särskilda ordningen för små företag tillämpas på ett korrekt sätt, EUT L 62, 2.3.2020, s. 13.</w:t>
      </w:r>
    </w:p>
  </w:footnote>
  <w:footnote w:id="29">
    <w:p>
      <w:pPr>
        <w:pStyle w:val="FootnoteText"/>
      </w:pPr>
      <w:r>
        <w:rPr>
          <w:rStyle w:val="FootnoteReference"/>
        </w:rPr>
        <w:footnoteRef/>
      </w:r>
      <w:r>
        <w:tab/>
        <w:t>Rådets förordning (EEG, Euratom) nr 1553/89 av den 29 maj 1989 om den slutliga enhetliga ordningen för uppbörd av egna medel som härrör från mervärdesskatt, EGT L 155, 7.6.1989, s.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ttachedTemplate r:id="rId1"/>
  <w:revisionView w:markup="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6-30 08:55: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A9B2DCC-DDC9-4799-B4D2-A82632058F73"/>
    <w:docVar w:name="LW_COVERPAGE_TYPE" w:val="1"/>
    <w:docVar w:name="LW_CROSSREFERENCE" w:val="&lt;UNUSED&gt;"/>
    <w:docVar w:name="LW_DocType" w:val="COM"/>
    <w:docVar w:name="LW_EMISSION" w:val="7.7.2020"/>
    <w:docVar w:name="LW_EMISSION_ISODATE" w:val="2020-07-07"/>
    <w:docVar w:name="LW_EMISSION_LOCATION" w:val="BRX"/>
    <w:docVar w:name="LW_EMISSION_PREFIX" w:val="Bry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36"/>
    <w:docVar w:name="LW_REF.II.NEW.CP_YEAR" w:val="2020"/>
    <w:docVar w:name="LW_REF.INST.NEW" w:val="COM"/>
    <w:docVar w:name="LW_REF.INST.NEW_ADOPTED" w:val="final"/>
    <w:docVar w:name="LW_REF.INST.NEW_TEXT" w:val="(2020) 2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genomförandebeslut (EU) 2017/1855 om bemyndigande för Rumänien att tillämpa en särskild åtgärd som avviker från artikel 287 i direktiv 2006/112/EG om ett gemensamt system för mervärdesskatt"/>
    <w:docVar w:name="LW_TYPE.DOC.CP" w:val="RÅDETS GENOMFÖRANDE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118637-0DB1-43AA-8186-35D0E75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2652</Words>
  <Characters>16500</Characters>
  <Application>Microsoft Office Word</Application>
  <DocSecurity>0</DocSecurity>
  <Lines>275</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2020-02-19T17:38:00Z</cp:lastPrinted>
  <dcterms:created xsi:type="dcterms:W3CDTF">2020-06-29T10:04:00Z</dcterms:created>
  <dcterms:modified xsi:type="dcterms:W3CDTF">2020-06-30T06:55:00Z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