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51" w:rsidRDefault="00B0373B" w:rsidP="00B0373B">
      <w:pPr>
        <w:pStyle w:val="Pagedecouverture"/>
      </w:pPr>
      <w:bookmarkStart w:id="0" w:name="L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87014E8-D296-446E-A0B4-2D21D5F935E3" style="width:450.5pt;height:334.5pt">
            <v:imagedata r:id="rId11" o:title=""/>
          </v:shape>
        </w:pict>
      </w:r>
    </w:p>
    <w:bookmarkEnd w:id="0"/>
    <w:p w:rsidR="00862951" w:rsidRDefault="00862951">
      <w:pPr>
        <w:sectPr w:rsidR="00862951" w:rsidSect="00B0373B">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862951" w:rsidRDefault="000F7C71">
      <w:pPr>
        <w:rPr>
          <w:bCs/>
          <w:i/>
          <w:iCs/>
        </w:rPr>
      </w:pPr>
      <w:r>
        <w:rPr>
          <w:bCs/>
          <w:i/>
          <w:iCs/>
        </w:rPr>
        <w:lastRenderedPageBreak/>
        <w:t>“L-ebda Stat Membru ma għandu jkollu jagħżel bejn li jwieġeb għall-kriżi jew li jinvesti fin-nies tagħna. Għalhekk, Next Generation EU jżid l-appoġġ […] għall-impjiegi fost iż-żgħażagħ. Jiżgura li n-nies jiksbu l-ħiliet u t-taħriġ u l-edukazzjoni li jeħtieġu biex jadattaw għal din id-dinja li qed tinbidel malajr</w:t>
      </w:r>
      <w:r>
        <w:rPr>
          <w:rStyle w:val="FootnoteReference"/>
          <w:bCs/>
          <w:iCs/>
        </w:rPr>
        <w:footnoteReference w:id="2"/>
      </w:r>
      <w:r>
        <w:rPr>
          <w:bCs/>
          <w:i/>
          <w:iCs/>
        </w:rPr>
        <w:t>.”</w:t>
      </w:r>
    </w:p>
    <w:p w:rsidR="00862951" w:rsidRDefault="000F7C71">
      <w:pPr>
        <w:jc w:val="right"/>
      </w:pPr>
      <w:r>
        <w:t>Il-President Ursula von der Leyen</w:t>
      </w:r>
    </w:p>
    <w:p w:rsidR="00862951" w:rsidRDefault="000F7C71">
      <w:pPr>
        <w:pStyle w:val="Heading1"/>
        <w:numPr>
          <w:ilvl w:val="0"/>
          <w:numId w:val="1"/>
        </w:numPr>
        <w:ind w:left="426" w:hanging="426"/>
      </w:pPr>
      <w:r>
        <w:t>Introduzzjoni: Investiment fil-ġenerazzjoni li jmiss</w:t>
      </w:r>
    </w:p>
    <w:p w:rsidR="00862951" w:rsidRDefault="000F7C71">
      <w:pPr>
        <w:rPr>
          <w:rFonts w:cs="Times New Roman"/>
        </w:rPr>
      </w:pPr>
      <w:r>
        <w:rPr>
          <w:b/>
        </w:rPr>
        <w:t>Il-Kummissjoni, iggwidata mill-Pilastru Ewropew tad-Drittijiet Soċjali, stabbiliet il-programm tagħha għal Ewropa Soċjali fil-bidu tal-mandat tagħha</w:t>
      </w:r>
      <w:r>
        <w:rPr>
          <w:rStyle w:val="FootnoteReference"/>
          <w:rFonts w:cs="Times New Roman"/>
          <w:b/>
        </w:rPr>
        <w:footnoteReference w:id="3"/>
      </w:r>
      <w:r>
        <w:rPr>
          <w:b/>
        </w:rPr>
        <w:t>, bin-nies fil-qalba tiegħu.</w:t>
      </w:r>
      <w:r>
        <w:t xml:space="preserve"> Minn dak iż-żmien, il-Kummissjoni tat prijorità lill-ħidma biex tgħin</w:t>
      </w:r>
      <w:r>
        <w:rPr>
          <w:b/>
        </w:rPr>
        <w:t xml:space="preserve"> </w:t>
      </w:r>
      <w:r>
        <w:t>liż-żgħażagħ u qed twettaq il-wegħda tagħha. Qed issaħħaħ l-edukazzjoni u t-taħriġ, tħeġġeġ l-iżvilupp tal-impjieg taż-żgħażagħ, tiżgura kundizzjonijiet tax-xogħol ġusti u ttejjeb l-aċċess għall-protezzjoni soċjali għal kulħadd, minħabba li ż-żgħażagħ huma l-ġenerazzjoni li jmiss u jistħoqqilhom l-opportunitajiet kollha biex jiżviluppaw il-potenzjal sħiħ tagħhom biex jiffurmaw il-futur tal-kontinent tagħna.</w:t>
      </w:r>
    </w:p>
    <w:p w:rsidR="00862951" w:rsidRDefault="000F7C71">
      <w:pPr>
        <w:rPr>
          <w:rFonts w:cs="Times New Roman"/>
        </w:rPr>
      </w:pPr>
      <w:r>
        <w:rPr>
          <w:b/>
        </w:rPr>
        <w:t xml:space="preserve">Il-pandemija COVID-19 enfasizzat il-ħtieġa li wieħed jibqa' fuq din it-triq u jaċċellera bil-ħeffa. </w:t>
      </w:r>
      <w:r>
        <w:t>Għalkemm l-ewwel u qabel kollox hija kriżi tas-saħħa, l-impatt tal-pandemija xeħet lill-UE f’riċessjoni profonda</w:t>
      </w:r>
      <w:r>
        <w:rPr>
          <w:rFonts w:cs="Times New Roman"/>
          <w:vertAlign w:val="superscript"/>
        </w:rPr>
        <w:footnoteReference w:id="4"/>
      </w:r>
      <w:r>
        <w:t>. It-talbiet dejjem jiżdiedu għall-benefiċċji tal-qgħad jindikaw l-isfidi ġodda. Il-qgħad se jiżdied fost il-gruppi tal-etajiet kollha, iżda ż-żgħażagħ diġà ntlaqtu b'mod sproporzjonat</w:t>
      </w:r>
      <w:r>
        <w:rPr>
          <w:rFonts w:cs="Times New Roman"/>
          <w:vertAlign w:val="superscript"/>
        </w:rPr>
        <w:footnoteReference w:id="5"/>
      </w:r>
      <w:r>
        <w:t>. Aktar minn żagħżugħ wieħed minn kull sitta waqaf jaħdem mill-bidu tal-kriżi</w:t>
      </w:r>
      <w:r>
        <w:rPr>
          <w:rStyle w:val="FootnoteReference"/>
          <w:rFonts w:cs="Times New Roman"/>
          <w:szCs w:val="24"/>
        </w:rPr>
        <w:footnoteReference w:id="6"/>
      </w:r>
      <w:r>
        <w:t>. Ħafna kienu qed jaħdmu f’setturi milqutin ħafna bħall-akkomodazzjoni, l-ikel, l-arti, id-divertiment, il-bejgħ bl-ingrossa u bl-imnut</w:t>
      </w:r>
      <w:r>
        <w:rPr>
          <w:rFonts w:cs="Times New Roman"/>
          <w:vertAlign w:val="superscript"/>
        </w:rPr>
        <w:footnoteReference w:id="7"/>
      </w:r>
      <w:r>
        <w:t xml:space="preserve">. Oħrajn issa qed jippruvaw jidħlu fis-suq tax-xogħol meta dawn is-setturi ma għadhomx jimpjegaw. </w:t>
      </w:r>
    </w:p>
    <w:p w:rsidR="00862951" w:rsidRDefault="000F7C71">
      <w:pPr>
        <w:rPr>
          <w:rFonts w:cs="Times New Roman"/>
        </w:rPr>
      </w:pPr>
      <w:r>
        <w:rPr>
          <w:b/>
          <w:i/>
        </w:rPr>
        <w:t>Issa</w:t>
      </w:r>
      <w:r>
        <w:rPr>
          <w:b/>
        </w:rPr>
        <w:t xml:space="preserve"> huwa ż-żmien kemm għall-Istati Membri kif ukoll għall-istituzzjonijiet Ewropej biex jixħtu l-attenzjoni tagħhom fuq il-ġenerazzjoni li jmiss. </w:t>
      </w:r>
      <w:r>
        <w:t>Nafu mill-kriżi finanzjarja u ekonomika globali li m'għandniex indewmu r-rispons tagħna. Sinjali bikrija ta’ problemi li llum jistgħu jiġu injorati jistgħu jwasslu għal danni irreparabbli fi ftit snin biss. Bil-flessibbiltà offruta mill-Inizjattivi ta' Investiment fir-Rispons għall-Coronavirus tal-Kummissjoni, ħafna Stati Membri malajr immobilizzaw miżuri temporanji kontra l-kriżi. Bl-għajnuna tal-Fond Soċjali Ewropew (FSE), huma jżommu l-impjiegi u jikkumpensaw għat-tfixkil fl-edukazzjoni u t-taħriġ matul il-pandemija. Barra minn hekk, l-istrument il-ġdid għal Appoġġ temporanju biex itaffi r-Riskji ta' Qgħad f'Emerġenza (SURE)</w:t>
      </w:r>
      <w:r>
        <w:rPr>
          <w:rFonts w:cs="Times New Roman"/>
          <w:vertAlign w:val="superscript"/>
        </w:rPr>
        <w:footnoteReference w:id="8"/>
      </w:r>
      <w:r>
        <w:t xml:space="preserve"> se jippermetti sa EUR 100 biljun f'self li jappoġġa l-iskemi ta' xogħol għal żmien qasir tal-Istati Membri u miżuri simili għal dawk li jaħdmu għal rashom. Filwaqt li jibni fuq il-proposta tal-Kummissjoni għal Next Generation EU</w:t>
      </w:r>
      <w:r>
        <w:rPr>
          <w:rStyle w:val="FootnoteReference"/>
          <w:rFonts w:cs="Times New Roman"/>
        </w:rPr>
        <w:footnoteReference w:id="9"/>
      </w:r>
      <w:r>
        <w:t>, il-pass loġiku li jmiss huwa li ż-żgħażagħ jingħataw għajnuna biex jiffurmaw l-irkupru tal-Ewropa.</w:t>
      </w:r>
    </w:p>
    <w:p w:rsidR="00862951" w:rsidRDefault="000F7C71">
      <w:pPr>
        <w:rPr>
          <w:rFonts w:cs="Times New Roman"/>
        </w:rPr>
      </w:pPr>
      <w:r>
        <w:rPr>
          <w:b/>
        </w:rPr>
        <w:t>Dawn l-isforzi konġunti għandhom jirriżultaw f’aktar opportunitajiet għaż-żgħażagħ kollha bl-istess mod.</w:t>
      </w:r>
      <w:r>
        <w:rPr>
          <w:b/>
          <w:i/>
        </w:rPr>
        <w:t xml:space="preserve"> </w:t>
      </w:r>
      <w:r>
        <w:t>Għaż-żgħażagħ f’ħafna Stati Membri, din hija t-tieni riċessjoni ekonomika fil-ħajja tagħhom ta’ età żgħira. Xi ħadd li għalaq 18-il sena fil-quċċata tal-kriżi preċedenti tal-impjieg taż-żgħażagħ issa bilkemm għandu 25 sena. L-isfidi x’aktarx li jkunu agħar għal gruppi diskriminati jew vulnerabbli, minħabba li t-tnaqqis ekonomiku x’aktarx li jkabbar l-inugwaljanzi. Iż-żgħażagħ fi gruppi vulnerabbli, bħaż-żgħażagħ ta' minoranzi razzjali u etniċi, iż-żgħażagħ b'diżabbiltà, jew iż-żgħażagħ li jgħixu f'xi żoni urbani rurali, remoti jew żvantaġġati, jiffaċċjaw ostakli addizzjonali għad-dħul fis-suq tax-xogħol</w:t>
      </w:r>
      <w:r>
        <w:rPr>
          <w:rStyle w:val="FootnoteReference"/>
          <w:rFonts w:cs="Times New Roman"/>
        </w:rPr>
        <w:footnoteReference w:id="10"/>
      </w:r>
      <w:r>
        <w:t>. Pereżempju, iż-żgħażagħ b’diżabbiltà għandhom rati ta’ impjieg konsiderevolment aktar baxxi minn dawk mingħajr diżabbiltà,</w:t>
      </w:r>
      <w:r>
        <w:rPr>
          <w:rFonts w:cs="Times New Roman"/>
          <w:vertAlign w:val="superscript"/>
        </w:rPr>
        <w:footnoteReference w:id="11"/>
      </w:r>
      <w:r>
        <w:t xml:space="preserve"> u ż-żgħażagħ migranti u refuġjati huma parti dejjem akbar miż-żgħażagħ tagħna u jiffaċċjaw ostakli u diskriminazzjoni speċifiċi. In-nisa żgħażagħ ukoll huma affettwati ħafna mill-kriżi. Se jkunu meħtieġa politiki attivi u mmirati biex jiżguraw li jintlaħqu l-miri kollha.</w:t>
      </w:r>
    </w:p>
    <w:p w:rsidR="00862951" w:rsidRDefault="000F7C71">
      <w:pPr>
        <w:rPr>
          <w:rFonts w:cs="Times New Roman"/>
          <w:b/>
        </w:rPr>
      </w:pPr>
      <w:r>
        <w:rPr>
          <w:noProof/>
          <w:lang w:val="en-GB" w:eastAsia="en-GB"/>
        </w:rPr>
        <mc:AlternateContent>
          <mc:Choice Requires="wpg">
            <w:drawing>
              <wp:inline distT="0" distB="0" distL="0" distR="0">
                <wp:extent cx="5715000" cy="2270760"/>
                <wp:effectExtent l="0" t="0" r="0" b="0"/>
                <wp:docPr id="31" name="Group 31"/>
                <wp:cNvGraphicFramePr/>
                <a:graphic xmlns:a="http://schemas.openxmlformats.org/drawingml/2006/main">
                  <a:graphicData uri="http://schemas.microsoft.com/office/word/2010/wordprocessingGroup">
                    <wpg:wgp>
                      <wpg:cNvGrpSpPr/>
                      <wpg:grpSpPr>
                        <a:xfrm>
                          <a:off x="0" y="0"/>
                          <a:ext cx="5715000" cy="2270760"/>
                          <a:chOff x="0" y="0"/>
                          <a:chExt cx="5715000" cy="1760220"/>
                        </a:xfrm>
                      </wpg:grpSpPr>
                      <wps:wsp>
                        <wps:cNvPr id="192" name="Text Box 2"/>
                        <wps:cNvSpPr txBox="1">
                          <a:spLocks noChangeArrowheads="1"/>
                        </wps:cNvSpPr>
                        <wps:spPr bwMode="auto">
                          <a:xfrm>
                            <a:off x="3154680" y="0"/>
                            <a:ext cx="2560320" cy="1760220"/>
                          </a:xfrm>
                          <a:prstGeom prst="rect">
                            <a:avLst/>
                          </a:prstGeom>
                          <a:solidFill>
                            <a:schemeClr val="accent5"/>
                          </a:solidFill>
                          <a:ln w="9525">
                            <a:noFill/>
                            <a:miter lim="800000"/>
                            <a:headEnd/>
                            <a:tailEnd/>
                          </a:ln>
                        </wps:spPr>
                        <wps:txbx>
                          <w:txbxContent>
                            <w:p w:rsidR="00862951" w:rsidRDefault="000F7C71">
                              <w:pPr>
                                <w:spacing w:after="0" w:line="276" w:lineRule="auto"/>
                                <w:rPr>
                                  <w:rFonts w:cs="Times New Roman"/>
                                  <w:color w:val="FFFFFF" w:themeColor="background1"/>
                                  <w:sz w:val="20"/>
                                  <w:szCs w:val="20"/>
                                </w:rPr>
                              </w:pPr>
                              <w:r>
                                <w:rPr>
                                  <w:color w:val="FFFFFF" w:themeColor="background1"/>
                                  <w:sz w:val="20"/>
                                  <w:szCs w:val="20"/>
                                </w:rPr>
                                <w:t>B’konsegwenza tal-kriżi finanzjarja globali tal-2008, il-qgħad fost iż-żgħażagħ tela’ minn 16,0 % fl-2008 għall-ogħla punt ta’ 24,4 % fl-2013.</w:t>
                              </w:r>
                            </w:p>
                            <w:p w:rsidR="00862951" w:rsidRDefault="000F7C71">
                              <w:pPr>
                                <w:spacing w:before="240" w:after="0" w:line="276" w:lineRule="auto"/>
                                <w:rPr>
                                  <w:rFonts w:cs="Times New Roman"/>
                                  <w:color w:val="FFFFFF" w:themeColor="background1"/>
                                  <w:sz w:val="20"/>
                                  <w:szCs w:val="20"/>
                                </w:rPr>
                              </w:pPr>
                              <w:r>
                                <w:rPr>
                                  <w:color w:val="FFFFFF" w:themeColor="background1"/>
                                  <w:sz w:val="20"/>
                                  <w:szCs w:val="20"/>
                                </w:rPr>
                                <w:t xml:space="preserve">Minn April 2020, il-qgħad fost iż-żgħażagħ kien ta’ 15,4 % madwar l-UE, u ħafna beżgħu li se jkun hemm punt għoli fil-qgħad fil-viċin. Dawn iċ-ċifri segwew rekord baxx ta’ 14,9 % lejn l-aħħar tal-2019, għalkemm xorta waħda aktar mid-doppju tal-medja għall-qgħad ġenerali. </w:t>
                              </w:r>
                            </w:p>
                          </w:txbxContent>
                        </wps:txbx>
                        <wps:bodyPr rot="0" vert="horz" wrap="square" lIns="91440" tIns="45720" rIns="91440" bIns="45720" anchor="ctr" anchorCtr="0">
                          <a:noAutofit/>
                        </wps:bodyPr>
                      </wps:wsp>
                      <wpg:graphicFrame>
                        <wpg:cNvPr id="193" name="Chart 193"/>
                        <wpg:cNvFrPr/>
                        <wpg:xfrm>
                          <a:off x="0" y="0"/>
                          <a:ext cx="3155950" cy="1536065"/>
                        </wpg:xfrm>
                        <a:graphic>
                          <a:graphicData uri="http://schemas.openxmlformats.org/drawingml/2006/chart">
                            <c:chart xmlns:c="http://schemas.openxmlformats.org/drawingml/2006/chart" xmlns:r="http://schemas.openxmlformats.org/officeDocument/2006/relationships" r:id="rId18"/>
                          </a:graphicData>
                        </a:graphic>
                      </wpg:graphicFrame>
                      <wps:wsp>
                        <wps:cNvPr id="194" name="Text Box 2"/>
                        <wps:cNvSpPr txBox="1">
                          <a:spLocks noChangeArrowheads="1"/>
                        </wps:cNvSpPr>
                        <wps:spPr bwMode="auto">
                          <a:xfrm>
                            <a:off x="0" y="1531620"/>
                            <a:ext cx="3154680" cy="228600"/>
                          </a:xfrm>
                          <a:prstGeom prst="rect">
                            <a:avLst/>
                          </a:prstGeom>
                          <a:solidFill>
                            <a:schemeClr val="accent5"/>
                          </a:solidFill>
                          <a:ln w="9525">
                            <a:noFill/>
                            <a:miter lim="800000"/>
                            <a:headEnd/>
                            <a:tailEnd/>
                          </a:ln>
                        </wps:spPr>
                        <wps:txbx>
                          <w:txbxContent>
                            <w:p w:rsidR="00862951" w:rsidRDefault="000F7C71">
                              <w:pPr>
                                <w:rPr>
                                  <w:rFonts w:cs="Times New Roman"/>
                                  <w:i/>
                                  <w:color w:val="FFFFFF" w:themeColor="background1"/>
                                  <w:sz w:val="16"/>
                                  <w:szCs w:val="16"/>
                                </w:rPr>
                              </w:pPr>
                              <w:r>
                                <w:rPr>
                                  <w:i/>
                                  <w:color w:val="FFFFFF" w:themeColor="background1"/>
                                  <w:sz w:val="16"/>
                                  <w:szCs w:val="16"/>
                                </w:rPr>
                                <w:t>Sors: Il-bażi tad-data tal-Eurostat (il-kodiċi tad-data online une_rt_m</w:t>
                              </w:r>
                            </w:p>
                          </w:txbxContent>
                        </wps:txbx>
                        <wps:bodyPr rot="0" vert="horz" wrap="square" lIns="91440" tIns="45720" rIns="91440" bIns="45720" anchor="t" anchorCtr="0">
                          <a:noAutofit/>
                        </wps:bodyPr>
                      </wps:wsp>
                    </wpg:wgp>
                  </a:graphicData>
                </a:graphic>
              </wp:inline>
            </w:drawing>
          </mc:Choice>
          <mc:Fallback>
            <w:pict>
              <v:group id="Group 31" o:spid="_x0000_s1026" style="width:450pt;height:178.8pt;mso-position-horizontal-relative:char;mso-position-vertical-relative:line" coordsize="57150,1760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">
                <v:shapetype id="_x0000_t202" coordsize="21600,21600" o:spt="202" path="m,l,21600r21600,l21600,xe">
                  <v:stroke joinstyle="miter"/>
                  <v:path gradientshapeok="t" o:connecttype="rect"/>
                </v:shapetype>
                <v:shape id="_x0000_s1027" type="#_x0000_t202" style="position:absolute;left:31546;width:25604;height:17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" fillcolor="#4472c4 [3208]" stroked="f">
                  <v:textbox>
                    <w:txbxContent>
                      <w:p w:rsidR="00862951" w:rsidRDefault="000F7C71">
                        <w:pPr>
                          <w:spacing w:after="0" w:line="276" w:lineRule="auto"/>
                          <w:rPr>
                            <w:rFonts w:cs="Times New Roman"/>
                            <w:color w:val="FFFFFF" w:themeColor="background1"/>
                            <w:sz w:val="20"/>
                            <w:szCs w:val="20"/>
                          </w:rPr>
                        </w:pPr>
                        <w:r>
                          <w:rPr>
                            <w:color w:val="FFFFFF" w:themeColor="background1"/>
                            <w:sz w:val="20"/>
                            <w:szCs w:val="20"/>
                          </w:rPr>
                          <w:t>B’konsegwenza tal-kriżi finanzjarja globali tal-2008, il-qgħad fost iż-żgħażagħ tela’ minn 16,0 % fl-2008 għall-ogħla punt ta’ 24,4 % fl-2013.</w:t>
                        </w:r>
                      </w:p>
                      <w:p w:rsidR="00862951" w:rsidRDefault="000F7C71">
                        <w:pPr>
                          <w:spacing w:before="240" w:after="0" w:line="276" w:lineRule="auto"/>
                          <w:rPr>
                            <w:rFonts w:cs="Times New Roman"/>
                            <w:color w:val="FFFFFF" w:themeColor="background1"/>
                            <w:sz w:val="20"/>
                            <w:szCs w:val="20"/>
                          </w:rPr>
                        </w:pPr>
                        <w:r>
                          <w:rPr>
                            <w:color w:val="FFFFFF" w:themeColor="background1"/>
                            <w:sz w:val="20"/>
                            <w:szCs w:val="20"/>
                          </w:rPr>
                          <w:t xml:space="preserve">Minn April 2020, il-qgħad fost iż-żgħażagħ kien ta’ 15,4 % madwar l-UE, u ħafna beżgħu li se jkun hemm punt għoli fil-qgħad fil-viċin. Dawn iċ-ċifri segwew rekord baxx ta’ 14,9 % lejn l-aħħar tal-2019, għalkemm xorta waħda aktar mid-doppju tal-medja għall-qgħad ġenerali. </w:t>
                        </w:r>
                      </w:p>
                    </w:txbxContent>
                  </v:textbox>
                </v:shape>
                <v:shape id="Chart 193" o:spid="_x0000_s1028" type="#_x0000_t75" style="position:absolute;width:31577;height:153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">
                  <v:imagedata r:id="rId19" o:title=""/>
                  <o:lock v:ext="edit" aspectratio="f"/>
                </v:shape>
                <v:shape id="_x0000_s1029" type="#_x0000_t202" style="position:absolute;top:15316;width:3154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" fillcolor="#4472c4 [3208]" stroked="f">
                  <v:textbox>
                    <w:txbxContent>
                      <w:p w:rsidR="00862951" w:rsidRDefault="000F7C71">
                        <w:pPr>
                          <w:rPr>
                            <w:rFonts w:cs="Times New Roman"/>
                            <w:i/>
                            <w:color w:val="FFFFFF" w:themeColor="background1"/>
                            <w:sz w:val="16"/>
                            <w:szCs w:val="16"/>
                          </w:rPr>
                        </w:pPr>
                        <w:r>
                          <w:rPr>
                            <w:i/>
                            <w:color w:val="FFFFFF" w:themeColor="background1"/>
                            <w:sz w:val="16"/>
                            <w:szCs w:val="16"/>
                          </w:rPr>
                          <w:t>Sors: Il-bażi tad-data tal-Eurostat (il-kodiċi tad-data online une_rt_m</w:t>
                        </w:r>
                      </w:p>
                    </w:txbxContent>
                  </v:textbox>
                </v:shape>
                <w10:anchorlock/>
              </v:group>
            </w:pict>
          </mc:Fallback>
        </mc:AlternateContent>
      </w:r>
    </w:p>
    <w:p w:rsidR="00862951" w:rsidRDefault="000F7C71">
      <w:pPr>
        <w:rPr>
          <w:rFonts w:cs="Times New Roman"/>
        </w:rPr>
      </w:pPr>
      <w:r>
        <w:rPr>
          <w:b/>
        </w:rPr>
        <w:t>L-inizjattivi ppreżentati f’din il-Komunikazzjoni jikkontribwixxu għall-istrateġija ta’ rkupru tal-Kummissjoni mill-pandemija tal-COVID-19.</w:t>
      </w:r>
      <w:r>
        <w:t xml:space="preserve"> Jiżguraw li t-tranżizzjonijiet diġitali u ekoloġiċi tal-UE qed jiġu integrati fid-DNA tal-politiki tagħna dwar l-impjieg taż-żgħażagħ. Jimplimentaw il-Pilastru Ewropew tad-Drittijiet Soċjali u jappoġġaw l-Istrateġija Industrijali Ġdida. Proposti oħra tal-Kummissjoni, bħall-Aġenda għall-Ħiliet għall-Ewropa għall-kompetittività sostennibbli, il-ġustizzja soċjali u r-reżiljenza, adottata fl-istess jum, jikkontribwixxu biex tingħata spinta lill-impjieg taż-żgħażagħ</w:t>
      </w:r>
      <w:r>
        <w:rPr>
          <w:rStyle w:val="FootnoteReference"/>
          <w:rFonts w:cs="Times New Roman"/>
        </w:rPr>
        <w:footnoteReference w:id="12"/>
      </w:r>
      <w:r>
        <w:t xml:space="preserve">. </w:t>
      </w:r>
    </w:p>
    <w:p w:rsidR="00862951" w:rsidRDefault="000F7C71">
      <w:pPr>
        <w:rPr>
          <w:rFonts w:cs="Times New Roman"/>
          <w:b/>
        </w:rPr>
      </w:pPr>
      <w:r>
        <w:t xml:space="preserve">Din il-Komunikazzjoni tagħti dettalji dwar kif il-proposti għal rakkomandazzjonijiet tal-Kunsill dwar “Pont għall-Impjiegi – it-tisħiħ tal-Garanzija għaż-Żgħażagħ” (it-Taqsima 2) u dwar “l-Edukazzjoni u t-Taħriġ Vokazzjonali </w:t>
      </w:r>
      <w:r>
        <w:rPr>
          <w:color w:val="000000" w:themeColor="text1"/>
        </w:rPr>
        <w:t>għall-Kompetittività sostenibbli, il-Ġustizzja Soċjali u r-Reżiljenza”</w:t>
      </w:r>
      <w:r>
        <w:t xml:space="preserve"> (it-Taqsima 3), flimkien ma’ impetu mġedded għall-apprendistati (it-Taqsima 4) tikkontribwixxi għall-ħolqien tal-impjieg taż-żgħażagħ. Il-Komunikazzjoni tippreżenta wkoll għadd ta’ miżuri addizzjonali biex jintlaħaq dan l-għan (it-Taqsima 5). </w:t>
      </w:r>
      <w:r>
        <w:rPr>
          <w:b/>
        </w:rPr>
        <w:t>Il-proposti tal-Kummissjoni għal Next Generation EU u l-baġit futur tal-UE se jippermettu finanzjament sinifikanti mill-UE għall-impjieg taż-żgħażagħ (it-Taqsima 6).</w:t>
      </w:r>
      <w:r>
        <w:t xml:space="preserve"> </w:t>
      </w:r>
      <w:r>
        <w:rPr>
          <w:b/>
        </w:rPr>
        <w:t>Issa huwa f'idejn l-Istati Membri li jagħtu prijorità lill-investimenti, peress li l-impjieg taż-żgħażagħ huwa primarjament ir-responsabbiltà tagħhom.</w:t>
      </w:r>
    </w:p>
    <w:p w:rsidR="00862951" w:rsidRDefault="000F7C71">
      <w:pPr>
        <w:rPr>
          <w:rFonts w:cs="Times New Roman"/>
        </w:rPr>
      </w:pPr>
      <w:r>
        <w:rPr>
          <w:noProof/>
          <w:lang w:val="en-GB" w:eastAsia="en-GB"/>
        </w:rPr>
        <mc:AlternateContent>
          <mc:Choice Requires="wpg">
            <w:drawing>
              <wp:anchor distT="0" distB="0" distL="114300" distR="114300" simplePos="0" relativeHeight="251661824" behindDoc="0" locked="0" layoutInCell="1" allowOverlap="1">
                <wp:simplePos x="0" y="0"/>
                <wp:positionH relativeFrom="column">
                  <wp:posOffset>0</wp:posOffset>
                </wp:positionH>
                <wp:positionV relativeFrom="paragraph">
                  <wp:posOffset>372745</wp:posOffset>
                </wp:positionV>
                <wp:extent cx="5744845" cy="2415540"/>
                <wp:effectExtent l="0" t="0" r="8255" b="3810"/>
                <wp:wrapTopAndBottom/>
                <wp:docPr id="12" name="Group 12"/>
                <wp:cNvGraphicFramePr/>
                <a:graphic xmlns:a="http://schemas.openxmlformats.org/drawingml/2006/main">
                  <a:graphicData uri="http://schemas.microsoft.com/office/word/2010/wordprocessingGroup">
                    <wpg:wgp>
                      <wpg:cNvGrpSpPr/>
                      <wpg:grpSpPr>
                        <a:xfrm>
                          <a:off x="0" y="0"/>
                          <a:ext cx="5744845" cy="2415540"/>
                          <a:chOff x="0" y="0"/>
                          <a:chExt cx="5744845" cy="2164080"/>
                        </a:xfrm>
                      </wpg:grpSpPr>
                      <wps:wsp>
                        <wps:cNvPr id="13" name="Text Box 2"/>
                        <wps:cNvSpPr txBox="1">
                          <a:spLocks noChangeArrowheads="1"/>
                        </wps:cNvSpPr>
                        <wps:spPr bwMode="auto">
                          <a:xfrm>
                            <a:off x="7620" y="441960"/>
                            <a:ext cx="1349375" cy="890905"/>
                          </a:xfrm>
                          <a:prstGeom prst="roundRect">
                            <a:avLst/>
                          </a:prstGeom>
                          <a:solidFill>
                            <a:schemeClr val="accent5">
                              <a:lumMod val="20000"/>
                              <a:lumOff val="80000"/>
                            </a:schemeClr>
                          </a:solidFill>
                          <a:ln w="9525">
                            <a:noFill/>
                            <a:miter lim="800000"/>
                            <a:headEnd/>
                            <a:tailEnd/>
                          </a:ln>
                        </wps:spPr>
                        <wps:txbx>
                          <w:txbxContent>
                            <w:p w:rsidR="00862951" w:rsidRDefault="000F7C71">
                              <w:pPr>
                                <w:spacing w:after="0"/>
                                <w:jc w:val="center"/>
                                <w:rPr>
                                  <w:rFonts w:cs="Times New Roman"/>
                                  <w:sz w:val="20"/>
                                  <w:szCs w:val="20"/>
                                </w:rPr>
                              </w:pPr>
                              <w:r>
                                <w:rPr>
                                  <w:sz w:val="20"/>
                                  <w:szCs w:val="20"/>
                                </w:rPr>
                                <w:t>Pont għall-Impjiegi – it-tisħiħ tal-Garanzija għaż-Żgħażagħ</w:t>
                              </w:r>
                            </w:p>
                          </w:txbxContent>
                        </wps:txbx>
                        <wps:bodyPr rot="0" vert="horz" wrap="square" lIns="91440" tIns="45720" rIns="91440" bIns="45720" anchor="ctr" anchorCtr="0">
                          <a:noAutofit/>
                        </wps:bodyPr>
                      </wps:wsp>
                      <wps:wsp>
                        <wps:cNvPr id="14" name="Text Box 2"/>
                        <wps:cNvSpPr txBox="1">
                          <a:spLocks noChangeArrowheads="1"/>
                        </wps:cNvSpPr>
                        <wps:spPr bwMode="auto">
                          <a:xfrm>
                            <a:off x="1463040" y="441960"/>
                            <a:ext cx="1349375" cy="891540"/>
                          </a:xfrm>
                          <a:prstGeom prst="roundRect">
                            <a:avLst/>
                          </a:prstGeom>
                          <a:solidFill>
                            <a:schemeClr val="accent5">
                              <a:lumMod val="20000"/>
                              <a:lumOff val="80000"/>
                            </a:schemeClr>
                          </a:solidFill>
                          <a:ln w="9525">
                            <a:noFill/>
                            <a:miter lim="800000"/>
                            <a:headEnd/>
                            <a:tailEnd/>
                          </a:ln>
                        </wps:spPr>
                        <wps:txbx>
                          <w:txbxContent>
                            <w:p w:rsidR="00862951" w:rsidRDefault="000F7C71">
                              <w:pPr>
                                <w:spacing w:after="0"/>
                                <w:jc w:val="center"/>
                                <w:rPr>
                                  <w:rFonts w:cs="Times New Roman"/>
                                  <w:sz w:val="20"/>
                                  <w:szCs w:val="20"/>
                                </w:rPr>
                              </w:pPr>
                              <w:r>
                                <w:rPr>
                                  <w:sz w:val="20"/>
                                  <w:szCs w:val="20"/>
                                </w:rPr>
                                <w:t>Tħejjija tal-Politika tal-Edukazzjoni u t-Taħriġ Vokazzjonali tal-UE li tibqa’ valida fil-futur</w:t>
                              </w:r>
                            </w:p>
                          </w:txbxContent>
                        </wps:txbx>
                        <wps:bodyPr rot="0" vert="horz" wrap="square" lIns="91440" tIns="45720" rIns="91440" bIns="45720" anchor="ctr" anchorCtr="0">
                          <a:noAutofit/>
                        </wps:bodyPr>
                      </wps:wsp>
                      <wps:wsp>
                        <wps:cNvPr id="15" name="Text Box 2"/>
                        <wps:cNvSpPr txBox="1">
                          <a:spLocks noChangeArrowheads="1"/>
                        </wps:cNvSpPr>
                        <wps:spPr bwMode="auto">
                          <a:xfrm>
                            <a:off x="4381500" y="434340"/>
                            <a:ext cx="1349375" cy="898525"/>
                          </a:xfrm>
                          <a:prstGeom prst="roundRect">
                            <a:avLst/>
                          </a:prstGeom>
                          <a:solidFill>
                            <a:schemeClr val="accent5">
                              <a:lumMod val="20000"/>
                              <a:lumOff val="80000"/>
                            </a:schemeClr>
                          </a:solidFill>
                          <a:ln w="9525">
                            <a:noFill/>
                            <a:miter lim="800000"/>
                            <a:headEnd/>
                            <a:tailEnd/>
                          </a:ln>
                        </wps:spPr>
                        <wps:txbx>
                          <w:txbxContent>
                            <w:p w:rsidR="00862951" w:rsidRDefault="000F7C71">
                              <w:pPr>
                                <w:spacing w:after="0"/>
                                <w:jc w:val="center"/>
                                <w:rPr>
                                  <w:rFonts w:cs="Times New Roman"/>
                                  <w:sz w:val="20"/>
                                  <w:szCs w:val="20"/>
                                </w:rPr>
                              </w:pPr>
                              <w:r>
                                <w:rPr>
                                  <w:sz w:val="20"/>
                                  <w:szCs w:val="20"/>
                                </w:rPr>
                                <w:t>Miżuri addizzjonali li jappoġġaw l-impjieg taż-żgħażagħ</w:t>
                              </w:r>
                            </w:p>
                          </w:txbxContent>
                        </wps:txbx>
                        <wps:bodyPr rot="0" vert="horz" wrap="square" lIns="91440" tIns="45720" rIns="91440" bIns="45720" anchor="ctr" anchorCtr="0">
                          <a:noAutofit/>
                        </wps:bodyPr>
                      </wps:wsp>
                      <wps:wsp>
                        <wps:cNvPr id="19" name="Text Box 2"/>
                        <wps:cNvSpPr txBox="1">
                          <a:spLocks noChangeArrowheads="1"/>
                        </wps:cNvSpPr>
                        <wps:spPr bwMode="auto">
                          <a:xfrm>
                            <a:off x="7620" y="1478280"/>
                            <a:ext cx="5737225" cy="685800"/>
                          </a:xfrm>
                          <a:prstGeom prst="roundRect">
                            <a:avLst/>
                          </a:prstGeom>
                          <a:solidFill>
                            <a:schemeClr val="accent5">
                              <a:lumMod val="60000"/>
                              <a:lumOff val="40000"/>
                            </a:schemeClr>
                          </a:solidFill>
                          <a:ln w="9525">
                            <a:noFill/>
                            <a:miter lim="800000"/>
                            <a:headEnd/>
                            <a:tailEnd/>
                          </a:ln>
                        </wps:spPr>
                        <wps:txbx>
                          <w:txbxContent>
                            <w:p w:rsidR="00862951" w:rsidRDefault="000F7C71">
                              <w:pPr>
                                <w:spacing w:after="0"/>
                                <w:jc w:val="center"/>
                                <w:rPr>
                                  <w:rFonts w:cs="Times New Roman"/>
                                  <w:sz w:val="20"/>
                                  <w:szCs w:val="20"/>
                                </w:rPr>
                              </w:pPr>
                              <w:r>
                                <w:rPr>
                                  <w:sz w:val="20"/>
                                  <w:szCs w:val="20"/>
                                </w:rPr>
                                <w:t>Għexieren ta’ biljuni ta’ EUR li jħaddmu l-pjan ta’ rkupru għaż-żgħażagħ</w:t>
                              </w:r>
                            </w:p>
                          </w:txbxContent>
                        </wps:txbx>
                        <wps:bodyPr rot="0" vert="horz" wrap="square" lIns="91440" tIns="45720" rIns="91440" bIns="45720" anchor="t" anchorCtr="0">
                          <a:noAutofit/>
                        </wps:bodyPr>
                      </wps:wsp>
                      <wps:wsp>
                        <wps:cNvPr id="20" name="Up Arrow 20"/>
                        <wps:cNvSpPr/>
                        <wps:spPr>
                          <a:xfrm>
                            <a:off x="541020" y="1211580"/>
                            <a:ext cx="281940" cy="266065"/>
                          </a:xfrm>
                          <a:prstGeom prst="up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Up Arrow 21"/>
                        <wps:cNvSpPr/>
                        <wps:spPr>
                          <a:xfrm>
                            <a:off x="1996440" y="1211580"/>
                            <a:ext cx="281940" cy="266065"/>
                          </a:xfrm>
                          <a:prstGeom prst="up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0" y="0"/>
                            <a:ext cx="5737225" cy="300971"/>
                          </a:xfrm>
                          <a:prstGeom prst="roundRect">
                            <a:avLst/>
                          </a:prstGeom>
                          <a:solidFill>
                            <a:schemeClr val="accent5"/>
                          </a:solidFill>
                          <a:ln w="9525">
                            <a:noFill/>
                            <a:miter lim="800000"/>
                            <a:headEnd/>
                            <a:tailEnd/>
                          </a:ln>
                        </wps:spPr>
                        <wps:txbx>
                          <w:txbxContent>
                            <w:p w:rsidR="00862951" w:rsidRDefault="000F7C71">
                              <w:pPr>
                                <w:spacing w:after="0"/>
                                <w:jc w:val="center"/>
                                <w:rPr>
                                  <w:rFonts w:cs="Times New Roman"/>
                                  <w:b/>
                                  <w:color w:val="FFFFFF" w:themeColor="background1"/>
                                  <w:sz w:val="20"/>
                                  <w:szCs w:val="20"/>
                                </w:rPr>
                              </w:pPr>
                              <w:r>
                                <w:rPr>
                                  <w:b/>
                                  <w:color w:val="FFFFFF" w:themeColor="background1"/>
                                  <w:sz w:val="20"/>
                                  <w:szCs w:val="20"/>
                                </w:rPr>
                                <w:t xml:space="preserve">Appoġġ għall-Impjieg taż-Żgħażagħ: Pont għall-Impjiegi għall-Ġenerazzjoni li Jmiss </w:t>
                              </w:r>
                            </w:p>
                          </w:txbxContent>
                        </wps:txbx>
                        <wps:bodyPr rot="0" vert="horz" wrap="square" lIns="91440" tIns="45720" rIns="91440" bIns="45720" anchor="ctr" anchorCtr="0">
                          <a:noAutofit/>
                        </wps:bodyPr>
                      </wps:wsp>
                      <wps:wsp>
                        <wps:cNvPr id="26" name="Text Box 2"/>
                        <wps:cNvSpPr txBox="1">
                          <a:spLocks noChangeArrowheads="1"/>
                        </wps:cNvSpPr>
                        <wps:spPr bwMode="auto">
                          <a:xfrm>
                            <a:off x="2918460" y="441960"/>
                            <a:ext cx="1349375" cy="890905"/>
                          </a:xfrm>
                          <a:prstGeom prst="roundRect">
                            <a:avLst/>
                          </a:prstGeom>
                          <a:solidFill>
                            <a:schemeClr val="accent5">
                              <a:lumMod val="20000"/>
                              <a:lumOff val="80000"/>
                            </a:schemeClr>
                          </a:solidFill>
                          <a:ln w="9525">
                            <a:noFill/>
                            <a:miter lim="800000"/>
                            <a:headEnd/>
                            <a:tailEnd/>
                          </a:ln>
                        </wps:spPr>
                        <wps:txbx>
                          <w:txbxContent>
                            <w:p w:rsidR="00862951" w:rsidRDefault="000F7C71">
                              <w:pPr>
                                <w:spacing w:after="0"/>
                                <w:jc w:val="center"/>
                                <w:rPr>
                                  <w:rFonts w:cs="Times New Roman"/>
                                  <w:sz w:val="20"/>
                                  <w:szCs w:val="20"/>
                                </w:rPr>
                              </w:pPr>
                              <w:r>
                                <w:rPr>
                                  <w:sz w:val="20"/>
                                  <w:szCs w:val="20"/>
                                </w:rPr>
                                <w:t>Spinta ġdida għall-apprendistati</w:t>
                              </w:r>
                            </w:p>
                          </w:txbxContent>
                        </wps:txbx>
                        <wps:bodyPr rot="0" vert="horz" wrap="square" lIns="91440" tIns="45720" rIns="91440" bIns="45720" anchor="ctr" anchorCtr="0">
                          <a:noAutofit/>
                        </wps:bodyPr>
                      </wps:wsp>
                      <wps:wsp>
                        <wps:cNvPr id="27" name="Up Arrow 27"/>
                        <wps:cNvSpPr/>
                        <wps:spPr>
                          <a:xfrm>
                            <a:off x="3444240" y="1211580"/>
                            <a:ext cx="281940" cy="266065"/>
                          </a:xfrm>
                          <a:prstGeom prst="up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Up Arrow 29"/>
                        <wps:cNvSpPr/>
                        <wps:spPr>
                          <a:xfrm>
                            <a:off x="4892040" y="1211580"/>
                            <a:ext cx="281940" cy="266065"/>
                          </a:xfrm>
                          <a:prstGeom prst="up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a:spLocks noChangeArrowheads="1"/>
                        </wps:cNvSpPr>
                        <wps:spPr bwMode="auto">
                          <a:xfrm>
                            <a:off x="152400" y="1790700"/>
                            <a:ext cx="5409565" cy="297180"/>
                          </a:xfrm>
                          <a:prstGeom prst="roundRect">
                            <a:avLst/>
                          </a:prstGeom>
                          <a:solidFill>
                            <a:schemeClr val="bg1"/>
                          </a:solidFill>
                          <a:ln w="12700">
                            <a:noFill/>
                            <a:miter lim="800000"/>
                            <a:headEnd/>
                            <a:tailEnd/>
                          </a:ln>
                        </wps:spPr>
                        <wps:txbx>
                          <w:txbxContent>
                            <w:p w:rsidR="00862951" w:rsidRDefault="000F7C71">
                              <w:pPr>
                                <w:spacing w:after="0"/>
                                <w:jc w:val="center"/>
                                <w:rPr>
                                  <w:rFonts w:cs="Times New Roman"/>
                                  <w:sz w:val="20"/>
                                  <w:szCs w:val="20"/>
                                </w:rPr>
                              </w:pPr>
                              <w:r>
                                <w:rPr>
                                  <w:sz w:val="20"/>
                                  <w:szCs w:val="20"/>
                                </w:rPr>
                                <w:t>L-Istati Membri għandhom jagħtu prijorità lill-investimenti li jistgħu jgħinu liż-żgħażagħ fuq medda ta’ żmien qasira u fuq medda ta’ żmien medja</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id="Group 12" o:spid="_x0000_s1030" style="position:absolute;left:0;text-align:left;margin-left:0;margin-top:29.35pt;width:452.35pt;height:190.2pt;z-index:251661824;mso-position-horizontal-relative:text;mso-position-vertical-relative:text;mso-height-relative:margin" coordsize="57448,2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">
                <v:roundrect id="_x0000_s1031" style="position:absolute;left:76;top:4419;width:13493;height:89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" fillcolor="#d9e2f3 [664]" stroked="f">
                  <v:stroke joinstyle="miter"/>
                  <v:textbox>
                    <w:txbxContent>
                      <w:p w:rsidR="00862951" w:rsidRDefault="000F7C71">
                        <w:pPr>
                          <w:spacing w:after="0"/>
                          <w:jc w:val="center"/>
                          <w:rPr>
                            <w:rFonts w:cs="Times New Roman"/>
                            <w:sz w:val="20"/>
                            <w:szCs w:val="20"/>
                          </w:rPr>
                        </w:pPr>
                        <w:r>
                          <w:rPr>
                            <w:sz w:val="20"/>
                            <w:szCs w:val="20"/>
                          </w:rPr>
                          <w:t>Pont għall-Impjiegi – it-tisħiħ tal-Garanzija għaż-Żgħażagħ</w:t>
                        </w:r>
                      </w:p>
                    </w:txbxContent>
                  </v:textbox>
                </v:roundrect>
                <v:roundrect id="_x0000_s1032" style="position:absolute;left:14630;top:4419;width:13494;height:8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" fillcolor="#d9e2f3 [664]" stroked="f">
                  <v:stroke joinstyle="miter"/>
                  <v:textbox>
                    <w:txbxContent>
                      <w:p w:rsidR="00862951" w:rsidRDefault="000F7C71">
                        <w:pPr>
                          <w:spacing w:after="0"/>
                          <w:jc w:val="center"/>
                          <w:rPr>
                            <w:rFonts w:cs="Times New Roman"/>
                            <w:sz w:val="20"/>
                            <w:szCs w:val="20"/>
                          </w:rPr>
                        </w:pPr>
                        <w:r>
                          <w:rPr>
                            <w:sz w:val="20"/>
                            <w:szCs w:val="20"/>
                          </w:rPr>
                          <w:t>Tħejjija tal-Politika tal-Edukazzjoni u t-Taħriġ Vokazzjonali tal-UE li tibqa’ valida fil-futur</w:t>
                        </w:r>
                      </w:p>
                    </w:txbxContent>
                  </v:textbox>
                </v:roundrect>
                <v:roundrect id="_x0000_s1033" style="position:absolute;left:43815;top:4343;width:13493;height:8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" fillcolor="#d9e2f3 [664]" stroked="f">
                  <v:stroke joinstyle="miter"/>
                  <v:textbox>
                    <w:txbxContent>
                      <w:p w:rsidR="00862951" w:rsidRDefault="000F7C71">
                        <w:pPr>
                          <w:spacing w:after="0"/>
                          <w:jc w:val="center"/>
                          <w:rPr>
                            <w:rFonts w:cs="Times New Roman"/>
                            <w:sz w:val="20"/>
                            <w:szCs w:val="20"/>
                          </w:rPr>
                        </w:pPr>
                        <w:r>
                          <w:rPr>
                            <w:sz w:val="20"/>
                            <w:szCs w:val="20"/>
                          </w:rPr>
                          <w:t>Miżuri addizzjonali li jappoġġaw l-impjieg taż-żgħażagħ</w:t>
                        </w:r>
                      </w:p>
                    </w:txbxContent>
                  </v:textbox>
                </v:roundrect>
                <v:roundrect id="_x0000_s1034" style="position:absolute;left:76;top:14782;width:57372;height:6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" fillcolor="#8eaadb [1944]" stroked="f">
                  <v:stroke joinstyle="miter"/>
                  <v:textbox>
                    <w:txbxContent>
                      <w:p w:rsidR="00862951" w:rsidRDefault="000F7C71">
                        <w:pPr>
                          <w:spacing w:after="0"/>
                          <w:jc w:val="center"/>
                          <w:rPr>
                            <w:rFonts w:cs="Times New Roman"/>
                            <w:sz w:val="20"/>
                            <w:szCs w:val="20"/>
                          </w:rPr>
                        </w:pPr>
                        <w:r>
                          <w:rPr>
                            <w:sz w:val="20"/>
                            <w:szCs w:val="20"/>
                          </w:rPr>
                          <w:t>Għexieren ta’ biljuni ta’ EUR li jħaddmu l-pjan ta’ rkupru għaż-żgħażagħ</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0" o:spid="_x0000_s1035" type="#_x0000_t68" style="position:absolute;left:5410;top:12115;width:2819;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" adj="10800" fillcolor="#8eaadb [1944]" stroked="f" strokeweight="1pt"/>
                <v:shape id="Up Arrow 21" o:spid="_x0000_s1036" type="#_x0000_t68" style="position:absolute;left:19964;top:12115;width:2819;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" adj="10800" fillcolor="#8eaadb [1944]" stroked="f" strokeweight="1pt"/>
                <v:roundrect id="_x0000_s1037" style="position:absolute;width:57372;height:30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" fillcolor="#4472c4 [3208]" stroked="f">
                  <v:stroke joinstyle="miter"/>
                  <v:textbox>
                    <w:txbxContent>
                      <w:p w:rsidR="00862951" w:rsidRDefault="000F7C71">
                        <w:pPr>
                          <w:spacing w:after="0"/>
                          <w:jc w:val="center"/>
                          <w:rPr>
                            <w:rFonts w:cs="Times New Roman"/>
                            <w:b/>
                            <w:color w:val="FFFFFF" w:themeColor="background1"/>
                            <w:sz w:val="20"/>
                            <w:szCs w:val="20"/>
                          </w:rPr>
                        </w:pPr>
                        <w:r>
                          <w:rPr>
                            <w:b/>
                            <w:color w:val="FFFFFF" w:themeColor="background1"/>
                            <w:sz w:val="20"/>
                            <w:szCs w:val="20"/>
                          </w:rPr>
                          <w:t xml:space="preserve">Appoġġ għall-Impjieg taż-Żgħażagħ: Pont għall-Impjiegi għall-Ġenerazzjoni li Jmiss </w:t>
                        </w:r>
                      </w:p>
                    </w:txbxContent>
                  </v:textbox>
                </v:roundrect>
                <v:roundrect id="_x0000_s1038" style="position:absolute;left:29184;top:4419;width:13494;height:89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" fillcolor="#d9e2f3 [664]" stroked="f">
                  <v:stroke joinstyle="miter"/>
                  <v:textbox>
                    <w:txbxContent>
                      <w:p w:rsidR="00862951" w:rsidRDefault="000F7C71">
                        <w:pPr>
                          <w:spacing w:after="0"/>
                          <w:jc w:val="center"/>
                          <w:rPr>
                            <w:rFonts w:cs="Times New Roman"/>
                            <w:sz w:val="20"/>
                            <w:szCs w:val="20"/>
                          </w:rPr>
                        </w:pPr>
                        <w:r>
                          <w:rPr>
                            <w:sz w:val="20"/>
                            <w:szCs w:val="20"/>
                          </w:rPr>
                          <w:t>Spinta ġdida għall-apprendistati</w:t>
                        </w:r>
                      </w:p>
                    </w:txbxContent>
                  </v:textbox>
                </v:roundrect>
                <v:shape id="Up Arrow 27" o:spid="_x0000_s1039" type="#_x0000_t68" style="position:absolute;left:34442;top:12115;width:2819;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" adj="10800" fillcolor="#8eaadb [1944]" stroked="f" strokeweight="1pt"/>
                <v:shape id="Up Arrow 29" o:spid="_x0000_s1040" type="#_x0000_t68" style="position:absolute;left:48920;top:12115;width:2819;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" adj="10800" fillcolor="#8eaadb [1944]" stroked="f" strokeweight="1pt"/>
                <v:roundrect id="Text Box 30" o:spid="_x0000_s1041" style="position:absolute;left:1524;top:17907;width:54095;height:2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" fillcolor="white [3212]" stroked="f" strokeweight="1pt">
                  <v:stroke joinstyle="miter"/>
                  <v:textbox>
                    <w:txbxContent>
                      <w:p w:rsidR="00862951" w:rsidRDefault="000F7C71">
                        <w:pPr>
                          <w:spacing w:after="0"/>
                          <w:jc w:val="center"/>
                          <w:rPr>
                            <w:rFonts w:cs="Times New Roman"/>
                            <w:sz w:val="20"/>
                            <w:szCs w:val="20"/>
                          </w:rPr>
                        </w:pPr>
                        <w:r>
                          <w:rPr>
                            <w:sz w:val="20"/>
                            <w:szCs w:val="20"/>
                          </w:rPr>
                          <w:t>L-Istati Membri għandhom jagħtu prijorità lill-investimenti li jistgħu jgħinu liż-żgħażagħ fuq medda ta’ żmien qasira u fuq medda ta’ żmien medja</w:t>
                        </w:r>
                      </w:p>
                    </w:txbxContent>
                  </v:textbox>
                </v:roundrect>
                <w10:wrap type="topAndBottom"/>
              </v:group>
            </w:pict>
          </mc:Fallback>
        </mc:AlternateContent>
      </w:r>
    </w:p>
    <w:p w:rsidR="00862951" w:rsidRDefault="00862951">
      <w:pPr>
        <w:rPr>
          <w:rFonts w:cs="Times New Roman"/>
        </w:rPr>
      </w:pPr>
    </w:p>
    <w:p w:rsidR="00862951" w:rsidRDefault="000F7C71">
      <w:pPr>
        <w:pStyle w:val="Heading1"/>
        <w:numPr>
          <w:ilvl w:val="0"/>
          <w:numId w:val="1"/>
        </w:numPr>
        <w:ind w:left="426" w:hanging="426"/>
      </w:pPr>
      <w:r>
        <w:t xml:space="preserve">Pont għall-impjiegi - Tissaħħaħ il-Garanzija għaż-Żgħażagħ </w:t>
      </w:r>
    </w:p>
    <w:p w:rsidR="00862951" w:rsidRDefault="000F7C71">
      <w:r>
        <w:rPr>
          <w:b/>
        </w:rPr>
        <w:t xml:space="preserve">Tul dawn l-aħħar snin, il-Kummissjoni appoġġat lill-Istati Membri biex liż-żgħażagħ joffrulhom mezzi biex jidħlu fis-suq tax-xogħol. </w:t>
      </w:r>
      <w:r>
        <w:t>Imnedija fl-ogħla livell tal-kriżi preċedenti tal-impjieg taż-żgħażagħ, il-Garanzija għaż-Żgħażagħ tal-2013 kellha effett trasformattiv sinifikanti f’ħafna Stati Membri. Ħolqot opportunitajiet għaż-żgħażagħ, xprunat riformi strutturali u innovazzjoni, u saħħet is-servizzi tal-impjiegi pubbliċi. Dan għen lil aktar minn 24 miljun żagħżugħ madwar l-UE biex jidħlu fis-suq tax-xogħol mill-ewwel implimentazzjoni tagħha</w:t>
      </w:r>
      <w:r>
        <w:rPr>
          <w:rStyle w:val="FootnoteReference"/>
        </w:rPr>
        <w:footnoteReference w:id="13"/>
      </w:r>
      <w:r>
        <w:t>.</w:t>
      </w:r>
    </w:p>
    <w:p w:rsidR="00862951" w:rsidRDefault="000F7C71">
      <w:pPr>
        <w:rPr>
          <w:rFonts w:cs="Times New Roman"/>
        </w:rPr>
      </w:pPr>
      <w:r>
        <w:rPr>
          <w:b/>
        </w:rPr>
        <w:t xml:space="preserve">Il-proposta għal Rakkomandazzjoni tal-Kunsill dwar “Pont għall-impjiegi - Tissaħħaħ il-Garanzija għaż-Żgħażagħ” tibni fuq dan ix-xogħol importanti. </w:t>
      </w:r>
      <w:r>
        <w:t>Hekk kif</w:t>
      </w:r>
      <w:r>
        <w:rPr>
          <w:color w:val="000000" w:themeColor="text1"/>
        </w:rPr>
        <w:t xml:space="preserve"> it</w:t>
      </w:r>
      <w:r>
        <w:t>-tranżizzjonijiet mill-iskola għax-xogħol u l-integrazzjoni sostenibbli tas-suq qed jieħdu aktar żmien minħabba n-natura dejjem tinbidel tax-xogħol u l-ħiliet mitluba, hija twessa' l-grupp fil-mira minn dawk kollha qiegħda jew żgħażagħ inattivi taħt il-25 sena għal dawk kollha taħt it-30 sena. Tappoġġa miżuri għall-ħolqien tal-impjiegi, kif ukoll miżuri varji ta' attivazzjoni bħall-konsulenza, parir dwar il-karriera u l-promozzjoni. Il-proposta tal-lum iżżid il-prevenzjoni</w:t>
      </w:r>
      <w:r>
        <w:rPr>
          <w:color w:val="000000" w:themeColor="text1"/>
        </w:rPr>
        <w:t xml:space="preserve"> tal-qgħad u l-inattività taż-żgħażagħ</w:t>
      </w:r>
      <w:r>
        <w:t xml:space="preserve"> permezz ta' sistemi ta' traċċar u twissija bikrija aħjar u ttejjeb il-kwalità tal-offerti billi torbothom ma' oqfsa ta' kwalità li nħolqu reċentement. </w:t>
      </w:r>
    </w:p>
    <w:p w:rsidR="00862951" w:rsidRDefault="000F7C71">
      <w:pPr>
        <w:rPr>
          <w:rFonts w:cs="Times New Roman"/>
        </w:rPr>
      </w:pPr>
      <w:r>
        <w:rPr>
          <w:b/>
        </w:rPr>
        <w:t>Il-proposta tindirizza b’mod attiv l-isterjotipi tal-ġeneri, tar-razez u dawk etniċi, filwaqt li tappoġġa d-diversità u l-inklużività, inkluż għaż-żgħażagħ b’diżabbiltà.</w:t>
      </w:r>
      <w:r>
        <w:t xml:space="preserve"> Fortunatament, ħafna żgħażagħ huma biss barra mill-impjieg, l-edukazzjoni u t-taħriġ għal żmien qasir. Mingħajr żvantaġġi sottostanti li jżommuhom lura individwalment, jistgħu jegħlbu ostakli minħabba imblokk jew ċikli ekonomiċi relattivament malajr. Iżda l-kriżi m'għandhiex iżżomna lura milli ngħinu lil dawk l-aktar diffiċli biex jintlaħqu, li se jkollhom bżonn ta’ appoġġ intensiv, ta’ spiss b’mod individwali. Fil-fatt, xi żgħażagħ jirriskjaw li jibqgħu barra mill-impjieg, l-edukazzjoni u t-taħriġ għal żmien itwal, speċjalment dawk li jagħmlu parti mill-gruppi l-aktar vulnerabbli tas-soċjetajiet tagħna b’ostakli kbar għall-integrazzjoni fis-suq tax-xogħol anke fl-aħjar żminijiet. Il-proposta tal-lum taħseb għal kulħadd, filwaqt li tiżgura li ħadd ma jibqa' barra mill-impjieg, l-edukazzjoni jew it-taħriġ għal aktar minn erba' xhur billi tipproponi </w:t>
      </w:r>
      <w:r>
        <w:rPr>
          <w:color w:val="000000" w:themeColor="text1"/>
        </w:rPr>
        <w:t>approċċi aktar individwalizzati u mmirati</w:t>
      </w:r>
      <w:r>
        <w:t>. Tenfasizza wkoll l-importanza ta’ sħubijiet, pereżempju, ma’ impjegaturi biex jagħtu pariri dwar in-natura tax-xogħol li qed tinbidel, jew ma' servizzi soċjali ta' appoġġ biex jgħinu liż-żgħażagħ żvantaġġati jerġgħu lura fit-triq it-tajba b’diversi modi oħra.</w:t>
      </w:r>
    </w:p>
    <w:p w:rsidR="00862951" w:rsidRDefault="000F7C71">
      <w:pPr>
        <w:rPr>
          <w:rFonts w:cs="Times New Roman"/>
          <w:b/>
        </w:rPr>
      </w:pPr>
      <w:r>
        <w:rPr>
          <w:b/>
        </w:rPr>
        <w:t xml:space="preserve">Il-proposta tal-lum tgħin ukoll biex jitħaffu t-tranżizzjonijiet diġitali u ekoloġiċi tant meħtieġa, filwaqt li jiġu rikonoxxuti kemm l-opportunitajiet kif ukoll l-inċertezzi li jiġu magħhom. </w:t>
      </w:r>
      <w:r>
        <w:t xml:space="preserve">Tagħmel dan ukoll billi tivvaluta u ttejjeb il-ħiliet u l-kompetenzi meħtieġa biex jinstab impjieg f’suq tax-xogħol li dejjem qed jinbidel. L-ebda żagħżugħ ma għandu jidħol fis-suq tax-xogħol mingħajr mill-inqas ħiliet diġitali bażiċi, u l-proposta </w:t>
      </w:r>
      <w:r>
        <w:rPr>
          <w:color w:val="000000" w:themeColor="text1"/>
        </w:rPr>
        <w:t>tipprevedi taħriġ preparatorju qasir u prattiku, relatat mal-ħiliet speċifiċi meħtieġa minn persuna żagħżugħa</w:t>
      </w:r>
      <w:r>
        <w:t>. Korsijiet intensivi qosra, korsijiet online miftuħin jew korsijiet intensivi jistgħu jtejbu, b’mod partikolari, il-ħiliet diġitali taż-żgħażagħ u dawk meħtieġa għat-tranżizzjoni ekoloġika, iżda wkoll il-ħiliet intraprenditorjali u ta’ ġestjoni tal-karriera. Dan huwa appoġġat ukoll mill-Aġenda Ewropea tal-Ħiliet għall-kompetittività sostenibbli, il-ġustizzja soċjali u r-reżiljenza.</w:t>
      </w:r>
    </w:p>
    <w:p w:rsidR="00862951" w:rsidRDefault="000F7C71">
      <w:pPr>
        <w:rPr>
          <w:rFonts w:cs="Times New Roman"/>
        </w:rPr>
      </w:pPr>
      <w:r>
        <w:rPr>
          <w:b/>
          <w:noProof/>
          <w:lang w:val="en-GB" w:eastAsia="en-GB"/>
        </w:rPr>
        <mc:AlternateContent>
          <mc:Choice Requires="wps">
            <w:drawing>
              <wp:anchor distT="45720" distB="45720" distL="114300" distR="114300" simplePos="0" relativeHeight="251654656" behindDoc="0" locked="0" layoutInCell="1" allowOverlap="1">
                <wp:simplePos x="0" y="0"/>
                <wp:positionH relativeFrom="column">
                  <wp:posOffset>3230880</wp:posOffset>
                </wp:positionH>
                <wp:positionV relativeFrom="paragraph">
                  <wp:posOffset>74295</wp:posOffset>
                </wp:positionV>
                <wp:extent cx="2551430" cy="120396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203960"/>
                        </a:xfrm>
                        <a:prstGeom prst="rect">
                          <a:avLst/>
                        </a:prstGeom>
                        <a:solidFill>
                          <a:schemeClr val="accent5"/>
                        </a:solidFill>
                        <a:ln w="9525">
                          <a:noFill/>
                          <a:miter lim="800000"/>
                          <a:headEnd/>
                          <a:tailEnd/>
                        </a:ln>
                      </wps:spPr>
                      <wps:txbx>
                        <w:txbxContent>
                          <w:p w:rsidR="00862951" w:rsidRDefault="000F7C71">
                            <w:pPr>
                              <w:spacing w:after="0"/>
                              <w:rPr>
                                <w:color w:val="FFFFFF" w:themeColor="background1"/>
                                <w:sz w:val="20"/>
                                <w:szCs w:val="20"/>
                              </w:rPr>
                            </w:pPr>
                            <w:r>
                              <w:rPr>
                                <w:color w:val="FFFFFF" w:themeColor="background1"/>
                                <w:sz w:val="20"/>
                                <w:szCs w:val="20"/>
                              </w:rPr>
                              <w:t>L-operazzjonijiet ta’ prijorità li għalihom jista’ jiġi mmobilizzat il-baġit tal-UE jinkludu sessjonijiet ta’ taħriġ għal żmien qasir, sistemi msaħħa ta’ mmappjar, sistemi ta’ twissija bikrija u kapaċitajiet ta’ traċċar (ara t-Taqsima 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left:0;text-align:left;margin-left:254.4pt;margin-top:5.85pt;width:200.9pt;height:94.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" fillcolor="#4472c4 [3208]" stroked="f">
                <v:textbox>
                  <w:txbxContent>
                    <w:p w:rsidR="00862951" w:rsidRDefault="000F7C71">
                      <w:pPr>
                        <w:spacing w:after="0"/>
                        <w:rPr>
                          <w:color w:val="FFFFFF" w:themeColor="background1"/>
                          <w:sz w:val="20"/>
                          <w:szCs w:val="20"/>
                        </w:rPr>
                      </w:pPr>
                      <w:r>
                        <w:rPr>
                          <w:color w:val="FFFFFF" w:themeColor="background1"/>
                          <w:sz w:val="20"/>
                          <w:szCs w:val="20"/>
                        </w:rPr>
                        <w:t>L-operazzjonijiet ta’ prijorità li għalihom jista’ jiġi mmobilizzat il-baġit tal-UE jinkludu sessjonijiet ta’ taħriġ għal żmien qasir, sistemi msaħħa ta’ mmappjar, sistemi ta’ twissija bikrija u kapaċitajiet ta’ traċċar (ara t-Taqsima 6).</w:t>
                      </w:r>
                    </w:p>
                  </w:txbxContent>
                </v:textbox>
                <w10:wrap type="square"/>
              </v:shape>
            </w:pict>
          </mc:Fallback>
        </mc:AlternateContent>
      </w:r>
      <w:r>
        <w:rPr>
          <w:b/>
        </w:rPr>
        <w:t xml:space="preserve">Il-proposta tipprovdi qafas għall-azzjoni. </w:t>
      </w:r>
      <w:r>
        <w:t>Jeżistu l-aħjar prattiki madwar l-Ewropa kollha. L-impjieg taż-żgħażagħ sar prijorità ewlenija fil-baġit tal-UE. Issa huwa ż-żmien għall-Istati Membri biex iżidu l-isforzi tagħhom, jintegraw it-tagħlimiet u jimmobilizzaw il-finanzjament tal-UE (it-Taqsima 6).</w:t>
      </w: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rFonts w:cs="Times New Roman"/>
          <w:i/>
        </w:rPr>
      </w:pPr>
      <w:r>
        <w:rPr>
          <w:i/>
        </w:rPr>
        <w:t>Proposta tal-Kummissjoni għal Rakkomandazzjoni tal-Kunsill dwar Pont għall-impjiegi - Tissaħħaħ il-Garanzija għaż-Żgħażagħ</w:t>
      </w:r>
      <w:r>
        <w:rPr>
          <w:rStyle w:val="FootnoteReference"/>
          <w:rFonts w:cs="Times New Roman"/>
        </w:rPr>
        <w:footnoteReference w:id="14"/>
      </w:r>
      <w:r>
        <w:rPr>
          <w:i/>
        </w:rPr>
        <w:t xml:space="preserve"> takkumpanja din il-Komunikazzjoni.</w:t>
      </w:r>
    </w:p>
    <w:p w:rsidR="00862951" w:rsidRDefault="00862951">
      <w:pPr>
        <w:spacing w:after="0"/>
      </w:pPr>
    </w:p>
    <w:p w:rsidR="00862951" w:rsidRDefault="000F7C71">
      <w:pPr>
        <w:pStyle w:val="Heading1"/>
        <w:numPr>
          <w:ilvl w:val="0"/>
          <w:numId w:val="1"/>
        </w:numPr>
        <w:spacing w:before="0"/>
        <w:ind w:left="426" w:hanging="426"/>
      </w:pPr>
      <w:r>
        <w:t>Politika tal-Edukazzjoni u t-Taħriġ Vokazzjonali tal-UE li tibqa’ valida fil-futur</w:t>
      </w:r>
    </w:p>
    <w:p w:rsidR="00862951" w:rsidRDefault="000F7C71">
      <w:pPr>
        <w:rPr>
          <w:rFonts w:cs="Times New Roman"/>
        </w:rPr>
      </w:pPr>
      <w:r>
        <w:rPr>
          <w:b/>
        </w:rPr>
        <w:t xml:space="preserve">L-irkupru ekonomiku li għad irid jiġi huwa opportunità biex jitħaffu r-riformi fl-edukazzjoni u t-taħriġ vokazzjonali (VET) biex jikkontribwixxu għall-kompetittività sostenibbli tal-UE, il-ġustizzja soċjali u r-reżiljenza. </w:t>
      </w:r>
      <w:r>
        <w:t>Filwaqt li l-edukazzjoni u t-taħriġ vokazzjonali joffru dejjem aktar opportunitajiet għat-titjib tal-ħiliet u t-taħriġ mill-ġdid tal-popolazzjoni adulta tagħna, dawn għandhom rwol ewlieni fl-appoġġ tal-impjieg taż-żgħażagħ ukoll, b'mod partikolari permezz tal-apprendistati, li xi kultant jissejħu taħriġ b'alternanza</w:t>
      </w:r>
      <w:r>
        <w:rPr>
          <w:rStyle w:val="FootnoteReference"/>
          <w:rFonts w:cs="Times New Roman"/>
        </w:rPr>
        <w:footnoteReference w:id="15"/>
      </w:r>
      <w:r>
        <w:t>.</w:t>
      </w:r>
      <w:r>
        <w:rPr>
          <w:b/>
        </w:rPr>
        <w:t xml:space="preserve"> </w:t>
      </w:r>
      <w:r>
        <w:t>Madankollu, il-pandemija COVID-19 kellha impatt enormi fuq l-edukazzjoni u t-taħriġ vokazzjonali, bit-tagħlim ibbażat fuq ix-xogħol u l-apprendistati forsi l-aktar affettwati b'mod gravi, minħabba l-enfasi tagħhom fuq it-taħriġ prattiku u r-rabtiet diretti mal-post tax-xogħol</w:t>
      </w:r>
      <w:r>
        <w:rPr>
          <w:rStyle w:val="FootnoteReference"/>
          <w:rFonts w:cs="Times New Roman"/>
          <w:szCs w:val="24"/>
        </w:rPr>
        <w:footnoteReference w:id="16"/>
      </w:r>
      <w:r>
        <w:t xml:space="preserve">. Bl-iskejjel u ċ-ċentri ta’ taħriġ fiżikament magħluqin u t-tagħlim li jsir mill-bogħod, l-edukazzjoni u t-taħriġ – normalment l-“ekwilizzatur kbir” tas-soċjetajiet tagħna – batew biex jindirizzaw il-faqar fost iż-żgħażagħ u l-esklużjoni soċjali. </w:t>
      </w:r>
    </w:p>
    <w:p w:rsidR="00862951" w:rsidRDefault="000F7C71">
      <w:r>
        <w:rPr>
          <w:b/>
        </w:rPr>
        <w:t>Tħejjija tas-sistemi tal-edukazzjoni u t-taħriġ vokazzjonali biex jibqgħu validi fil-futur tfisser is-sinkronizzazzjoni tagħhom mat-tranżizzjonijiet ekoloġiċi u diġitali, u li jkunu adattabbli għal kwalunkwe sfida futura.</w:t>
      </w:r>
      <w:r>
        <w:t xml:space="preserve"> Dan ifisser investiment fil-prontezza diġitali tagħhom u l-iżgurar tal-aċċess għall-għodod u t-teknoloġiji meħtieġa għal kull student, għalliem u min iħarreġ. Dan ifisser ukoll it-trawwim tal-iżvilupp ta’ sett b’saħħtu ta’ ħiliet biex in-nies jingħataw is-setgħa li jfasslu, jipproduċu u jamministraw prodotti u servizzi b’mod sostenibbli mil-lat ambjentali u biex jipprovdu lill-impjegaturi bil-forza tax-xogħol tas-sengħa li jeħtieġu.</w:t>
      </w:r>
    </w:p>
    <w:p w:rsidR="00862951" w:rsidRDefault="000F7C71">
      <w:pPr>
        <w:rPr>
          <w:rFonts w:cs="Times New Roman"/>
        </w:rPr>
      </w:pPr>
      <w:r>
        <w:rPr>
          <w:b/>
        </w:rPr>
        <w:t>Politika tal-edukazzjoni u t-taħriġ vokazzjonali aktar modernizzata u aġli tippermetti tranżizzjoni aktar bla xkiel mid-dinja tal-edukazzjoni għad-dinja tax-xogħol.</w:t>
      </w:r>
      <w:r>
        <w:t xml:space="preserve"> Se tikkontribwixxi għat-tnaqqis tan-numru ta’ żgħażagħ barra mill-impjieg, l-edukazzjoni u t-taħriġ madwar l-UE. Hija tistabbilixxi objettivi ambizzjużi għall-impjegabbiltà tal-istudenti tal-VET (82 %), l-esponiment għat-tagħlim ibbażat fuq ix-xogħol (60 %) u l-mobbiltà internazzjonali (8 %). Se ttejjeb ukoll il-kwalità tal-offerti kontinwati tal-edukazzjoni u ta' apprendistat bħala parti mill-Garanzija msaħħa taż-Żgħażagħ, tgħin liż-żgħażagħ li diġà bdew tranżizzjonijiet mill-iskola għax-xogħol u t-tranżizzjonijiet bikrija minn impjieg għal impjieg. Fl-istess ħin, se tippromwovi assigurazzjoni aħjar tal-kwalità tal-programmi tal-edukazzjoni u t-taħriġ vokazzjonali u r-rikonoxximent tal-kwalifiki.</w:t>
      </w:r>
    </w:p>
    <w:p w:rsidR="00862951" w:rsidRDefault="000F7C71">
      <w:pPr>
        <w:rPr>
          <w:noProof/>
        </w:rPr>
      </w:pPr>
      <w:r>
        <w:rPr>
          <w:b/>
        </w:rPr>
        <w:t>It-tħejjija tal-edukazzjoni u t-taħriġ vokazzjonali biex jibqgħu validi fil-futur teħtieġ it-tħaddin tal-eċċellenza kif ukoll tal-ekwità.</w:t>
      </w:r>
      <w:r>
        <w:t xml:space="preserve"> L-istituzzjonijiet tal-edukazzjoni u t-taħriġ vokazzjonali għandhom isiru ċentri ta’ eċċellenza vokazzjonali, li jipprovdu soluzzjonijiet innovattivi ta’ taħriġ, jiffaċilitaw l-aċċess għal teknoloġija avvanzata u jaġixxu bħala inkubaturi tan-negozju. Fl-istess ħin, dan ifisser li jiġu indirizzati b’mod attiv il-preġudizzju bejn is-sessi u forom oħra ta’ diskriminazzjoni, li tiġi promossa l-ugwaljanza tal-opportunitajiet permezz ta’ miżuri li jippromwovu, pereżempju, il-bilanċ bejn is-sessi fi professjonijiet tradizzjonalment “tal-irġiel” jew “tan-nisa”. Dan jimplika wkoll it-tneħħija ta’ ostakli li jimpedixxu l-parteċipazzjoni ta’ minoritajiet razzjali u etniċi, inklużi r-Roma, persuni bi sfond ta’ migrazzjoni u persuni b’diżabbiltà – li għalihom jeħtieġ li tiġi żgurata l-aċċessibbiltà.</w:t>
      </w: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spacing w:after="0"/>
        <w:rPr>
          <w:rFonts w:cs="Times New Roman"/>
          <w:i/>
        </w:rPr>
      </w:pPr>
      <w:r>
        <w:rPr>
          <w:i/>
        </w:rPr>
        <w:t>Illum qed tiġi adottata proposta tal-Kummissjoni għal Rakkomandazzjoni tal-Kunsill dwar l-edukazzjoni u t-taħriġ vokazzjonali għall-kompetittività sostenibbli, il-ġustizzja soċjali u r-reżiljenza</w:t>
      </w:r>
      <w:r>
        <w:rPr>
          <w:rStyle w:val="FootnoteReference"/>
          <w:rFonts w:cs="Times New Roman"/>
        </w:rPr>
        <w:footnoteReference w:id="17"/>
      </w:r>
      <w:r>
        <w:rPr>
          <w:i/>
        </w:rPr>
        <w:t>, parti mill-Aġenda għall-Ħiliet għall-Ewropa għall-kompetittività sostenibbli, il-ġustizzja soċjali u r-reżiljenza.</w:t>
      </w:r>
    </w:p>
    <w:p w:rsidR="00862951" w:rsidRDefault="00862951"/>
    <w:p w:rsidR="00862951" w:rsidRDefault="000F7C71">
      <w:pPr>
        <w:pStyle w:val="Heading1"/>
        <w:numPr>
          <w:ilvl w:val="0"/>
          <w:numId w:val="1"/>
        </w:numPr>
        <w:spacing w:before="0"/>
        <w:ind w:left="426" w:hanging="426"/>
      </w:pPr>
      <w:r>
        <w:t>Spinta ġdida għall-apprendistati</w:t>
      </w:r>
    </w:p>
    <w:p w:rsidR="00862951" w:rsidRDefault="000F7C71">
      <w:pPr>
        <w:rPr>
          <w:rFonts w:cs="Times New Roman"/>
          <w:u w:color="000000"/>
          <w:bdr w:val="nil"/>
        </w:rPr>
      </w:pPr>
      <w:r>
        <w:rPr>
          <w:b/>
        </w:rPr>
        <w:t>L-apprendisti li nħarrġu issa, se jkunu ħaddiema b’ħiliet għolja fi żmien ftit snin.</w:t>
      </w:r>
      <w:r>
        <w:t xml:space="preserve"> L</w:t>
      </w:r>
      <w:r>
        <w:rPr>
          <w:u w:color="000000"/>
          <w:bdr w:val="nil"/>
        </w:rPr>
        <w:t>-apprendistati jwasslu għall-ħiliet li l-impjegaturi fil-fatt jeħtieġu, filwaqt li apprendist jikseb l-għarfien, il-ħiliet prattiċi u n-networks għal dħul bla xkiel fis-suq tax-xogħol u parteċipazzjoni attiva fis-soċjetà. L-apprendistati jikkontribwixxu wkoll għal irkupru rapidu tas-suq tax-xogħol.Dawn iżidu forza tax-xogħol imħarrġa f'firxa wiesgħa ta’ setturi, li jtejbu l-produttività u l-kompetittività ta’ kumpaniji kbar u żgħar madwar l-UE. L-apprendistati għandhom jiġu mħeġġa u appoġġati, kif immexxija mill-proposta tal-Kummissjoni għal edukazzjoni u taħriġ vokazzjonali li jibqgħu validi fil-futur</w:t>
      </w:r>
      <w:r>
        <w:t>.</w:t>
      </w:r>
    </w:p>
    <w:p w:rsidR="00862951" w:rsidRDefault="000F7C71">
      <w:pPr>
        <w:rPr>
          <w:rFonts w:cs="Times New Roman"/>
          <w:b/>
        </w:rPr>
      </w:pPr>
      <w:r>
        <w:rPr>
          <w:b/>
          <w:noProof/>
          <w:lang w:val="en-GB" w:eastAsia="en-GB"/>
        </w:rPr>
        <mc:AlternateContent>
          <mc:Choice Requires="wps">
            <w:drawing>
              <wp:anchor distT="45720" distB="45720" distL="114300" distR="114300" simplePos="0" relativeHeight="251659776" behindDoc="0" locked="0" layoutInCell="1" allowOverlap="1">
                <wp:simplePos x="0" y="0"/>
                <wp:positionH relativeFrom="column">
                  <wp:posOffset>4000500</wp:posOffset>
                </wp:positionH>
                <wp:positionV relativeFrom="paragraph">
                  <wp:posOffset>5007</wp:posOffset>
                </wp:positionV>
                <wp:extent cx="1797050" cy="1981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1981200"/>
                        </a:xfrm>
                        <a:prstGeom prst="rect">
                          <a:avLst/>
                        </a:prstGeom>
                        <a:solidFill>
                          <a:schemeClr val="accent5"/>
                        </a:solidFill>
                        <a:ln w="9525">
                          <a:noFill/>
                          <a:miter lim="800000"/>
                          <a:headEnd/>
                          <a:tailEnd/>
                        </a:ln>
                      </wps:spPr>
                      <wps:txbx>
                        <w:txbxContent>
                          <w:p w:rsidR="00862951" w:rsidRDefault="000F7C71">
                            <w:pPr>
                              <w:spacing w:after="0"/>
                              <w:rPr>
                                <w:color w:val="FFFFFF" w:themeColor="background1"/>
                                <w:sz w:val="20"/>
                                <w:szCs w:val="20"/>
                              </w:rPr>
                            </w:pPr>
                            <w:r>
                              <w:rPr>
                                <w:color w:val="FFFFFF" w:themeColor="background1"/>
                                <w:sz w:val="20"/>
                                <w:szCs w:val="20"/>
                              </w:rPr>
                              <w:t>L-operazzjonijiet ta’ prijorità li għalihom jista’ jiġi mmobilizzat il-baġit tal-UE jinkludu sussidji diretti għall-apprendisti fl-SMEs u bonusijiet għat-tqegħid ta’ apprendisti minn kumpaniji insolventi f’kumpaniji oħrajn jew f’ċentri ta’ taħriġ fi ħdan il-kumpaniji (ara t-Taqsima 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15pt;margin-top:.4pt;width:141.5pt;height:15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" fillcolor="#4472c4 [3208]" stroked="f">
                <v:textbox>
                  <w:txbxContent>
                    <w:p w:rsidR="00862951" w:rsidRDefault="000F7C71">
                      <w:pPr>
                        <w:spacing w:after="0"/>
                        <w:rPr>
                          <w:color w:val="FFFFFF" w:themeColor="background1"/>
                          <w:sz w:val="20"/>
                          <w:szCs w:val="20"/>
                        </w:rPr>
                      </w:pPr>
                      <w:r>
                        <w:rPr>
                          <w:color w:val="FFFFFF" w:themeColor="background1"/>
                          <w:sz w:val="20"/>
                          <w:szCs w:val="20"/>
                        </w:rPr>
                        <w:t>L-operazzjonijiet ta’ prijorità li għalihom jista’ jiġi mmobilizzat il-baġit tal-UE jinkludu sussidji diretti għall-apprendisti fl-SMEs u bonusijiet għat-tqegħid ta’ apprendisti minn kumpaniji insolventi f’kumpaniji oħrajn jew f’ċentri ta’ taħriġ fi ħdan il-kumpaniji (ara t-Taqsima 6).</w:t>
                      </w:r>
                    </w:p>
                  </w:txbxContent>
                </v:textbox>
                <w10:wrap type="square"/>
              </v:shape>
            </w:pict>
          </mc:Fallback>
        </mc:AlternateContent>
      </w:r>
      <w:r>
        <w:rPr>
          <w:b/>
          <w:u w:color="000000"/>
          <w:bdr w:val="nil"/>
        </w:rPr>
        <w:t>Filwaqt li apprendistati effettivi u ta' kwalità għandhom rwol vitali fil-preservazzjoni u l-ħolqien tal-impjiegi għaż-żgħażagħ, dawn ġew affettwati b’mod partikolari mill-konfinamenti tal-COVID-19.</w:t>
      </w:r>
      <w:r>
        <w:rPr>
          <w:u w:color="000000"/>
          <w:bdr w:val="nil"/>
        </w:rPr>
        <w:t xml:space="preserve"> Ħafna SMEs m’għadhomx f’pożizzjoni li jaċċettaw kandidati minħabba nuqqas ta’ riżorsi u attività.Bi tweġiba,</w:t>
      </w:r>
      <w:r>
        <w:t xml:space="preserve"> xi Stati Membri diġà talbu lill-impjegaturi biex iżidu l-isforzi biex iżommu l-offerti ta' apprendistat. Il-finanzjament tal-UE jista' jiġi mmobilizzat biex jgħin jiżgura li l-apprendistati jibqgħu jagħtu l-parti vitali tagħhom fl-irkupru tas-suq tax-xogħol (it-Taqsima 6). </w:t>
      </w:r>
    </w:p>
    <w:p w:rsidR="00862951" w:rsidRDefault="000F7C71">
      <w:r>
        <w:t>L-</w:t>
      </w:r>
      <w:r>
        <w:rPr>
          <w:b/>
        </w:rPr>
        <w:t xml:space="preserve">Alleanza Ewropea għall-Apprendistati </w:t>
      </w:r>
      <w:r>
        <w:t xml:space="preserve">kienet strumentali fil-mobilizzazzjoni ta' aktar minn 900,000 opportunità għaż-żgħażagħ sa mit-twaqqif tagħha fl-2013. </w:t>
      </w:r>
      <w:r>
        <w:rPr>
          <w:b/>
        </w:rPr>
        <w:t>Issa se tiġġedded biex tagħti spinta lill-apprendistati madwar l-UE, li sejrin jikkontribwixxu għal provvista stabbli ta' impjiegi ta' kwalità u effettivi għaż-żgħażagħ</w:t>
      </w:r>
      <w:r>
        <w:rPr>
          <w:rStyle w:val="FootnoteReference"/>
          <w:rFonts w:cs="Times New Roman"/>
          <w:b/>
        </w:rPr>
        <w:footnoteReference w:id="18"/>
      </w:r>
      <w:r>
        <w:rPr>
          <w:b/>
        </w:rPr>
        <w:t>.</w:t>
      </w:r>
      <w:r>
        <w:t xml:space="preserve"> </w:t>
      </w:r>
    </w:p>
    <w:p w:rsidR="00862951" w:rsidRDefault="000F7C71">
      <w:pPr>
        <w:rPr>
          <w:rFonts w:cs="Times New Roman"/>
        </w:rPr>
      </w:pPr>
      <w:r>
        <w:rPr>
          <w:b/>
        </w:rPr>
        <w:t>L-Alleanza mġedda se titlob għal impenji ġodda għal apprendistati diġitali u ekoloġiċi,</w:t>
      </w:r>
      <w:r>
        <w:t xml:space="preserve"> b'enfasi fuq is-setturi ekonomiċi</w:t>
      </w:r>
      <w:r>
        <w:rPr>
          <w:rStyle w:val="FootnoteReference"/>
          <w:rFonts w:cs="Times New Roman"/>
        </w:rPr>
        <w:footnoteReference w:id="19"/>
      </w:r>
      <w:r>
        <w:t xml:space="preserve"> li se jkunu fuq quddiem nett tat-tranżizzjoni lejn Ewropa newtrali għall-klima. Se tlaqqa' flimkien il-gvernijiet, is-sħab soċjali, in-negozji, il-kmamar, ir-reġjuni, l-organizzazzjonijiet taż-żgħażagħ, il-fornituri tal-edukazzjoni u t-taħriġ vokazzjonali u l-gruppi ta' riflessjoni</w:t>
      </w:r>
      <w:r>
        <w:rPr>
          <w:rStyle w:val="FootnoteReference"/>
          <w:rFonts w:cs="Times New Roman"/>
        </w:rPr>
        <w:footnoteReference w:id="20"/>
      </w:r>
      <w:r>
        <w:t xml:space="preserve">. B'mod konkret, l-Alleanza mġedda se tinkludi: </w:t>
      </w:r>
    </w:p>
    <w:tbl>
      <w:tblPr>
        <w:tblStyle w:val="TableGrid"/>
        <w:tblW w:w="9040"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28" w:type="dxa"/>
          <w:right w:w="28" w:type="dxa"/>
        </w:tblCellMar>
        <w:tblLook w:val="04A0" w:firstRow="1" w:lastRow="0" w:firstColumn="1" w:lastColumn="0" w:noHBand="0" w:noVBand="1"/>
      </w:tblPr>
      <w:tblGrid>
        <w:gridCol w:w="510"/>
        <w:gridCol w:w="8421"/>
        <w:gridCol w:w="109"/>
      </w:tblGrid>
      <w:tr w:rsidR="00862951">
        <w:tc>
          <w:tcPr>
            <w:tcW w:w="510" w:type="dxa"/>
            <w:shd w:val="clear" w:color="auto" w:fill="4472C4" w:themeFill="accent5"/>
          </w:tcPr>
          <w:p w:rsidR="00862951" w:rsidRDefault="00862951">
            <w:pPr>
              <w:pStyle w:val="ListParagraph"/>
              <w:rPr>
                <w:b/>
                <w:i/>
                <w:sz w:val="22"/>
              </w:rPr>
            </w:pPr>
          </w:p>
        </w:tc>
        <w:tc>
          <w:tcPr>
            <w:tcW w:w="8421" w:type="dxa"/>
          </w:tcPr>
          <w:p w:rsidR="00862951" w:rsidRDefault="000F7C71">
            <w:pPr>
              <w:spacing w:line="276" w:lineRule="auto"/>
              <w:ind w:left="169" w:right="293"/>
              <w:rPr>
                <w:sz w:val="22"/>
              </w:rPr>
            </w:pPr>
            <w:r>
              <w:rPr>
                <w:b/>
                <w:sz w:val="22"/>
              </w:rPr>
              <w:t>l-impenn lejn apprendistati ta' kwalità u effettivi</w:t>
            </w:r>
            <w:r>
              <w:rPr>
                <w:sz w:val="22"/>
              </w:rPr>
              <w:t>, u l-inkoraġġiment lill-Istati Membri u lill-kumpaniji biex jagħmlu dan, billi jrawmu koalizzjonijiet nazzjonali tal-apprendistati.</w:t>
            </w:r>
          </w:p>
        </w:tc>
        <w:tc>
          <w:tcPr>
            <w:tcW w:w="109" w:type="dxa"/>
            <w:shd w:val="clear" w:color="auto" w:fill="4472C4" w:themeFill="accent5"/>
          </w:tcPr>
          <w:p w:rsidR="00862951" w:rsidRDefault="00862951">
            <w:pPr>
              <w:rPr>
                <w:b/>
                <w:sz w:val="22"/>
              </w:rPr>
            </w:pPr>
          </w:p>
        </w:tc>
      </w:tr>
      <w:tr w:rsidR="00862951">
        <w:tc>
          <w:tcPr>
            <w:tcW w:w="510" w:type="dxa"/>
            <w:shd w:val="clear" w:color="auto" w:fill="B4C6E7" w:themeFill="accent5" w:themeFillTint="66"/>
          </w:tcPr>
          <w:p w:rsidR="00862951" w:rsidRDefault="00862951">
            <w:pPr>
              <w:pStyle w:val="ListParagraph"/>
              <w:rPr>
                <w:b/>
                <w:i/>
                <w:sz w:val="22"/>
              </w:rPr>
            </w:pPr>
          </w:p>
        </w:tc>
        <w:tc>
          <w:tcPr>
            <w:tcW w:w="8421" w:type="dxa"/>
          </w:tcPr>
          <w:p w:rsidR="00862951" w:rsidRDefault="000F7C71">
            <w:pPr>
              <w:ind w:left="169" w:right="293"/>
              <w:rPr>
                <w:rFonts w:cs="Times New Roman"/>
                <w:sz w:val="22"/>
              </w:rPr>
            </w:pPr>
            <w:r>
              <w:rPr>
                <w:b/>
                <w:sz w:val="22"/>
              </w:rPr>
              <w:t>l-għoti ta’ inċentivi għall-appoġġ lill-SMEs</w:t>
            </w:r>
            <w:r>
              <w:rPr>
                <w:sz w:val="22"/>
              </w:rPr>
              <w:t xml:space="preserve"> biex jipprovdu provvista stabbli ta’ apprendistati ta’ kwalità u effettivi.</w:t>
            </w:r>
          </w:p>
        </w:tc>
        <w:tc>
          <w:tcPr>
            <w:tcW w:w="109" w:type="dxa"/>
            <w:shd w:val="clear" w:color="auto" w:fill="B4C6E7" w:themeFill="accent5" w:themeFillTint="66"/>
          </w:tcPr>
          <w:p w:rsidR="00862951" w:rsidRDefault="00862951">
            <w:pPr>
              <w:rPr>
                <w:b/>
                <w:sz w:val="22"/>
              </w:rPr>
            </w:pPr>
          </w:p>
        </w:tc>
      </w:tr>
      <w:tr w:rsidR="00862951">
        <w:tc>
          <w:tcPr>
            <w:tcW w:w="510" w:type="dxa"/>
            <w:shd w:val="clear" w:color="auto" w:fill="4472C4" w:themeFill="accent5"/>
          </w:tcPr>
          <w:p w:rsidR="00862951" w:rsidRDefault="00862951">
            <w:pPr>
              <w:pStyle w:val="ListParagraph"/>
              <w:rPr>
                <w:b/>
                <w:i/>
                <w:iCs/>
                <w:sz w:val="22"/>
              </w:rPr>
            </w:pPr>
          </w:p>
        </w:tc>
        <w:tc>
          <w:tcPr>
            <w:tcW w:w="8421" w:type="dxa"/>
          </w:tcPr>
          <w:p w:rsidR="00862951" w:rsidRDefault="000F7C71">
            <w:pPr>
              <w:ind w:left="169" w:right="293"/>
              <w:rPr>
                <w:rFonts w:cs="Times New Roman"/>
                <w:sz w:val="22"/>
              </w:rPr>
            </w:pPr>
            <w:r>
              <w:rPr>
                <w:b/>
                <w:sz w:val="22"/>
              </w:rPr>
              <w:t>il-mobilizzazzjoni tal-awtoritajiet lokali u reġjonali</w:t>
            </w:r>
            <w:r>
              <w:rPr>
                <w:sz w:val="22"/>
              </w:rPr>
              <w:t xml:space="preserve"> bħala katalisti għall-apprendistati fi ħdan l-ambjent tan-negozju lokali.</w:t>
            </w:r>
          </w:p>
        </w:tc>
        <w:tc>
          <w:tcPr>
            <w:tcW w:w="109" w:type="dxa"/>
            <w:shd w:val="clear" w:color="auto" w:fill="4472C4" w:themeFill="accent5"/>
          </w:tcPr>
          <w:p w:rsidR="00862951" w:rsidRDefault="00862951">
            <w:pPr>
              <w:rPr>
                <w:b/>
                <w:iCs/>
                <w:sz w:val="22"/>
              </w:rPr>
            </w:pPr>
          </w:p>
        </w:tc>
      </w:tr>
      <w:tr w:rsidR="00862951">
        <w:tc>
          <w:tcPr>
            <w:tcW w:w="510" w:type="dxa"/>
            <w:shd w:val="clear" w:color="auto" w:fill="B4C6E7" w:themeFill="accent5" w:themeFillTint="66"/>
          </w:tcPr>
          <w:p w:rsidR="00862951" w:rsidRDefault="00862951">
            <w:pPr>
              <w:pStyle w:val="ListParagraph"/>
              <w:rPr>
                <w:b/>
                <w:i/>
                <w:iCs/>
                <w:sz w:val="22"/>
              </w:rPr>
            </w:pPr>
          </w:p>
        </w:tc>
        <w:tc>
          <w:tcPr>
            <w:tcW w:w="8421" w:type="dxa"/>
          </w:tcPr>
          <w:p w:rsidR="00862951" w:rsidRDefault="000F7C71">
            <w:pPr>
              <w:ind w:left="169" w:right="293"/>
              <w:rPr>
                <w:rFonts w:cs="Times New Roman"/>
                <w:sz w:val="22"/>
              </w:rPr>
            </w:pPr>
            <w:r>
              <w:rPr>
                <w:b/>
                <w:sz w:val="22"/>
              </w:rPr>
              <w:t>it-tisħiħ tad-djalogu soċjali</w:t>
            </w:r>
            <w:r>
              <w:rPr>
                <w:sz w:val="22"/>
              </w:rPr>
              <w:t xml:space="preserve"> permezz ta’ involviment aktar attiv tal-organizzazzjonijiet nazzjonali tal-imsieħba soċjali.</w:t>
            </w:r>
          </w:p>
        </w:tc>
        <w:tc>
          <w:tcPr>
            <w:tcW w:w="109" w:type="dxa"/>
            <w:shd w:val="clear" w:color="auto" w:fill="B4C6E7" w:themeFill="accent5" w:themeFillTint="66"/>
          </w:tcPr>
          <w:p w:rsidR="00862951" w:rsidRDefault="00862951">
            <w:pPr>
              <w:rPr>
                <w:b/>
                <w:iCs/>
                <w:sz w:val="22"/>
              </w:rPr>
            </w:pPr>
          </w:p>
        </w:tc>
      </w:tr>
      <w:tr w:rsidR="00862951">
        <w:tc>
          <w:tcPr>
            <w:tcW w:w="510" w:type="dxa"/>
            <w:shd w:val="clear" w:color="auto" w:fill="4472C4" w:themeFill="accent5"/>
          </w:tcPr>
          <w:p w:rsidR="00862951" w:rsidRDefault="00862951">
            <w:pPr>
              <w:pStyle w:val="ListParagraph"/>
              <w:rPr>
                <w:b/>
                <w:i/>
                <w:iCs/>
                <w:sz w:val="22"/>
              </w:rPr>
            </w:pPr>
          </w:p>
        </w:tc>
        <w:tc>
          <w:tcPr>
            <w:tcW w:w="8421" w:type="dxa"/>
          </w:tcPr>
          <w:p w:rsidR="00862951" w:rsidRDefault="000F7C71">
            <w:pPr>
              <w:ind w:left="169" w:right="293"/>
              <w:rPr>
                <w:rFonts w:cs="Times New Roman"/>
                <w:sz w:val="22"/>
              </w:rPr>
            </w:pPr>
            <w:r>
              <w:rPr>
                <w:b/>
                <w:sz w:val="22"/>
              </w:rPr>
              <w:t>l-involviment proattiv tal-kumitati Ewropej għad-djalogu soċjali</w:t>
            </w:r>
            <w:r>
              <w:rPr>
                <w:sz w:val="22"/>
              </w:rPr>
              <w:t xml:space="preserve"> fis-settur tal-apprendistati,</w:t>
            </w:r>
            <w:r>
              <w:t xml:space="preserve"> </w:t>
            </w:r>
            <w:r>
              <w:rPr>
                <w:sz w:val="22"/>
              </w:rPr>
              <w:t>bl-għan li jintlaħaq qbil dwar wegħdiet settorjali konġunti.</w:t>
            </w:r>
          </w:p>
        </w:tc>
        <w:tc>
          <w:tcPr>
            <w:tcW w:w="109" w:type="dxa"/>
            <w:shd w:val="clear" w:color="auto" w:fill="4472C4" w:themeFill="accent5"/>
          </w:tcPr>
          <w:p w:rsidR="00862951" w:rsidRDefault="00862951">
            <w:pPr>
              <w:rPr>
                <w:b/>
                <w:iCs/>
                <w:sz w:val="22"/>
              </w:rPr>
            </w:pPr>
          </w:p>
        </w:tc>
      </w:tr>
      <w:tr w:rsidR="00862951">
        <w:tc>
          <w:tcPr>
            <w:tcW w:w="510" w:type="dxa"/>
            <w:shd w:val="clear" w:color="auto" w:fill="B4C6E7" w:themeFill="accent5" w:themeFillTint="66"/>
          </w:tcPr>
          <w:p w:rsidR="00862951" w:rsidRDefault="00862951">
            <w:pPr>
              <w:pStyle w:val="ListParagraph"/>
              <w:rPr>
                <w:b/>
                <w:i/>
                <w:iCs/>
                <w:sz w:val="22"/>
              </w:rPr>
            </w:pPr>
          </w:p>
        </w:tc>
        <w:tc>
          <w:tcPr>
            <w:tcW w:w="8421" w:type="dxa"/>
          </w:tcPr>
          <w:p w:rsidR="00862951" w:rsidRDefault="000F7C71">
            <w:pPr>
              <w:ind w:left="169" w:right="293"/>
              <w:rPr>
                <w:rFonts w:cs="Times New Roman"/>
                <w:sz w:val="22"/>
              </w:rPr>
            </w:pPr>
            <w:r>
              <w:rPr>
                <w:b/>
                <w:sz w:val="22"/>
              </w:rPr>
              <w:t>l-appoġġ għar-rappreżentanza tal-apprendisti</w:t>
            </w:r>
            <w:r>
              <w:rPr>
                <w:sz w:val="22"/>
              </w:rPr>
              <w:t xml:space="preserve"> fl-Istati Membri billi jerġa’ jitnieda n-Netwerk Ewropew tal-Apprendisti.</w:t>
            </w:r>
          </w:p>
        </w:tc>
        <w:tc>
          <w:tcPr>
            <w:tcW w:w="109" w:type="dxa"/>
            <w:shd w:val="clear" w:color="auto" w:fill="B4C6E7" w:themeFill="accent5" w:themeFillTint="66"/>
          </w:tcPr>
          <w:p w:rsidR="00862951" w:rsidRDefault="00862951">
            <w:pPr>
              <w:rPr>
                <w:b/>
                <w:iCs/>
                <w:sz w:val="22"/>
              </w:rPr>
            </w:pPr>
          </w:p>
        </w:tc>
      </w:tr>
    </w:tbl>
    <w:p w:rsidR="00862951" w:rsidRDefault="00862951">
      <w:pPr>
        <w:rPr>
          <w:rFonts w:cs="Times New Roman"/>
        </w:rPr>
      </w:pP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spacing w:after="0"/>
        <w:rPr>
          <w:rFonts w:cs="Times New Roman"/>
          <w:i/>
        </w:rPr>
      </w:pPr>
      <w:r>
        <w:rPr>
          <w:i/>
        </w:rPr>
        <w:t xml:space="preserve">Minbarra l-appoġġ lill-Istati Membri fl-użu tal-fondi tal-UE għall-benefiċċju tal-apprendistati u r-riformi relatati (ara wkoll it-Taqsima 6), il-Kummissjoni se tagħti impetu ġdid lill-Alleanza Ewropea għall-Apprendistati. </w:t>
      </w:r>
    </w:p>
    <w:p w:rsidR="00862951" w:rsidRDefault="00862951"/>
    <w:p w:rsidR="00862951" w:rsidRDefault="000F7C71">
      <w:pPr>
        <w:pStyle w:val="Heading1"/>
        <w:numPr>
          <w:ilvl w:val="0"/>
          <w:numId w:val="1"/>
        </w:numPr>
        <w:spacing w:before="0"/>
        <w:ind w:left="426" w:hanging="426"/>
      </w:pPr>
      <w:r>
        <w:t>Miżuri addizzjonali li jappoġġaw l-impjieg taż-żgħażagħ</w:t>
      </w:r>
    </w:p>
    <w:p w:rsidR="00862951" w:rsidRDefault="000F7C71">
      <w:pPr>
        <w:rPr>
          <w:rFonts w:cs="Times New Roman"/>
          <w:b/>
        </w:rPr>
      </w:pPr>
      <w:r>
        <w:t xml:space="preserve">L-inizjattivi kollha ppreżentati f’din il-Komunikazzjoni </w:t>
      </w:r>
      <w:r>
        <w:rPr>
          <w:b/>
        </w:rPr>
        <w:t>għandhom l-għan li jgħinu liż-żgħażagħ tal-UE, kemm jekk waslu biex jagħmlu l-bidla diffiċli mill-iskola għax-xogħol, kif ukoll jekk qed jitħabtu mal-ewwel tranżizzjonijiet minn impjieg għal ieħor.</w:t>
      </w:r>
      <w:r>
        <w:t xml:space="preserve"> Dan l-appoġġ ma jistax jiġi frammentat, peress li l-ostakli li ż-żgħażagħ iħabbtu wiċċhom magħhom u l-iżvantaġġi tagħhom huma diversi u għandhom firxa wiesgħa. Biex tikkumplimentahom, din it-taqsima tinkludi għadd ta’</w:t>
      </w:r>
      <w:r>
        <w:rPr>
          <w:b/>
        </w:rPr>
        <w:t xml:space="preserve"> miżuri konkreti addizzjonali li jikkontribwixxu għall-impjieg taż-żgħażagħ. </w:t>
      </w:r>
    </w:p>
    <w:p w:rsidR="00862951" w:rsidRDefault="000F7C71">
      <w:pPr>
        <w:spacing w:after="0"/>
        <w:rPr>
          <w:rFonts w:cs="Times New Roman"/>
        </w:rPr>
      </w:pPr>
      <w:r>
        <w:rPr>
          <w:b/>
        </w:rPr>
        <w:t xml:space="preserve">Is-servizzi pubbliċi tal-impjiegi għandhom rwol kruċjali. </w:t>
      </w:r>
      <w:r>
        <w:t>Għandhom esperjenza twila fl-oqsma tal-ġestjoni tat-tranżizzjoni tal-karriera, tal-kollokament, tal-iżvilupp professjonali kontinwu, tat-titjib tal-ħiliet u taħriġ mill-ġdid. Minkejja l-limitazzjonijiet baġitarji persistenti u ż-żieda ġdida fil-qgħad u l-iskemi tax-xogħol għal żmien qasir, is-servizzi pubbliċi tal-impjiegi ħatfu l-opportunità bi skambju imprezzabbli tal-ewwel reazzjonijiet, nuqqasijiet u stejjer ta' suċċess fil-konsegwenzi immedjati tal-pandemija tal-COVID-19</w:t>
      </w:r>
      <w:r>
        <w:rPr>
          <w:rStyle w:val="FootnoteReference"/>
          <w:rFonts w:cs="Times New Roman"/>
          <w:szCs w:val="24"/>
        </w:rPr>
        <w:footnoteReference w:id="21"/>
      </w:r>
      <w:r>
        <w:t xml:space="preserve">. </w:t>
      </w:r>
    </w:p>
    <w:p w:rsidR="00862951" w:rsidRDefault="00862951">
      <w:pPr>
        <w:spacing w:after="0"/>
        <w:rPr>
          <w:rFonts w:cs="Times New Roman"/>
        </w:rPr>
      </w:pP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 xml:space="preserve">Il-Kummissjoni se tappoġġa n-Network Ewropew tas-Servizzi Pubbliċi tal-Impjiegi u se żżid il-kapaċità ta' tagħlim reċiproku tagħha. In-network madwar l-Ewropa se jingħata l-kompitu li jikkunsidra tagħlim reċiproku komprensiv u l-iskambju ta’ prattiki innovattivi sabiex jissaħħu l-kapaċitajiet tas-servizzi pubbliċi tal-impjiegi għall-appoġġ għall-impjieg taż-żgħażagħ. Dan se jinkludi t-tisħiħ tas-sħubijiet ma’ partijiet ikkonċernati oħra u l-intensifikazzjoni tal-komunikazzjoni maż-żgħażagħ vulnerabbli. </w:t>
      </w:r>
    </w:p>
    <w:p w:rsidR="00862951" w:rsidRDefault="000F7C71">
      <w:pPr>
        <w:rPr>
          <w:rFonts w:cs="Times New Roman"/>
        </w:rPr>
      </w:pPr>
      <w:r>
        <w:rPr>
          <w:b/>
        </w:rPr>
        <w:t>L-appoġġ għall-impjieg indipendenti huwa mezz importanti ieħor biex jitħaffef l-irkupru tas-suq tax-xogħol.</w:t>
      </w:r>
      <w:r>
        <w:t xml:space="preserve"> Madankollu, iż-żgħażagħ fil-biċċa l-kbira m’għandhomx in-networks biex jagħtuhom aċċess, pereżempju, għall-finanzi tan-negozju u l-ħiliet intraprenditorjali. Permezz ta’ skambji sinifikanti tal-aħjar prattiki, se jissaħħu n-networks eżistenti għall-intraprendituri żgħażagħ aspiranti fil-livell nazzjonali u lokali. Dawn in-networks iġibu lill-intraprendituri li għadhom kif bdew f’kuntatt man-negozji, mudelli ta’ rwoli, inkubaturi u servizzi lokali oħra ta’ appoġġ għal negozju ġdid. </w:t>
      </w: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 xml:space="preserve">Il-Kummissjoni se tappoġġa t-tisħiħ tan-networks għall-intraprendituri żgħażagħ aspiranti. L-appoġġ se jagħti attenzjoni partikolari lil nisa żgħażagħ, gruppi oħra diskriminati jew vulnerabbli, filwaqt li jippromwovi opportunitajiet ta’ impjieg indipendenti fl-ekonomija diġitali u ekoloġika. </w:t>
      </w:r>
    </w:p>
    <w:p w:rsidR="00862951" w:rsidRDefault="000F7C71">
      <w:pPr>
        <w:rPr>
          <w:rFonts w:cs="Times New Roman"/>
        </w:rPr>
      </w:pPr>
      <w:r>
        <w:rPr>
          <w:b/>
        </w:rPr>
        <w:t>L-intraprenditorija soċjali żżid l-attrazzjoni ta’ impjieg indipendenti għal ħafna żgħażagħ ispirati minn karrieri intraprenditorjali li huma marbuta ma’ impatt soċjali pożittiv u sinifikanti.</w:t>
      </w:r>
      <w:r>
        <w:t xml:space="preserve"> Barra minn hekk, l-organizzazzjonijiet tal-ekonomija soċjali bħall-kooperattivi u l-intrapriżi soċjali spiss ikunu aktar reżiljenti għaċ-ċikli ekonomiċi. Dawn jagħmlu l-ekosistemi li fihom joperaw aktar adattabbli permezz tal-innovazzjoni soċjali u l-inklużjoni soċjali fil-livelli lokali u reġjonali, u dan huwa ta' benefiċċju wkoll għal dawk l-aktar imbiegħda mis-suq tax-xogħol. </w:t>
      </w: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Il-Pjan ta’ Azzjoni tal-Kummissjoni għall-Ekonomija Soċjali, skedat għall-2021, se jiffoka wkoll fuq iż-żgħażagħ, inklużi l-opportunitajiet intraprenditorjali li jirriżultaw mill-ekonomija soċjali, bħall-għajnuna lill-komunitajiet lokali, it-twettiq ta’ ftehimiet ekoloġiċi lokali u l-attivazzjoni ta’ gruppi vulnerabbli</w:t>
      </w:r>
      <w:r>
        <w:rPr>
          <w:vertAlign w:val="superscript"/>
        </w:rPr>
        <w:footnoteReference w:id="22"/>
      </w:r>
      <w:r>
        <w:rPr>
          <w:i/>
        </w:rPr>
        <w:t>.</w:t>
      </w:r>
    </w:p>
    <w:p w:rsidR="00862951" w:rsidRDefault="000F7C71">
      <w:pPr>
        <w:rPr>
          <w:rFonts w:cs="Times New Roman"/>
        </w:rPr>
      </w:pPr>
      <w:r>
        <w:rPr>
          <w:b/>
        </w:rPr>
        <w:t>Iż-żgħażagħ li għadhom ma daħlux fis-suq tax-xogħol jew li għadhom kemm għamlu l-qabża fid-dinja tax-xogħol jista’ ma jkollhomx aċċess għall-protezzjoni soċjali.</w:t>
      </w:r>
      <w:r>
        <w:t xml:space="preserve"> Xi Stati Membri diġà bdew sensiela ta' miżuri ta' emerġenza biex jappoġġaw gruppi vulnerabbli li qabel ma kinux koperti, biex itaffu l-impatti ekonomiċi u soċjali tal-pandemija tal-COVID-19. Iżda d-dinja tax-xogħol kienet saret aktar prekarja anki qabel il-kriżi. </w:t>
      </w:r>
    </w:p>
    <w:p w:rsidR="00862951" w:rsidRDefault="000F7C71">
      <w:pPr>
        <w:rPr>
          <w:rFonts w:cs="Times New Roman"/>
        </w:rPr>
      </w:pPr>
      <w:r>
        <w:rPr>
          <w:b/>
        </w:rPr>
        <w:t>Il-forom mhux standard ta’ impjieg, bħal xogħol fuq pjattaforma diġitali, saru dejjem aktar prevalenti fost iż-żgħażagħ.</w:t>
      </w:r>
      <w:r>
        <w:t xml:space="preserve"> Dawn joħolqu opportunitajiet ġodda għaż-żgħażagħ biex jidħlu fis-suq tax-xogħol, inkluż meta jeħtieġu l-flessibbiltà biex jikkombinaw ix-xogħol mar-responsabbiltajiet tal-edukazzjoni jew tal-kura. Fuq il-bażi tar-Rakkomandazzjoni tal-Kunsill tas-sena l-oħra dwar l-Aċċess għall-Protezzjoni Soċjali, id-Direttiva dwar il-Kundizzjonijiet tax-Xogħol Trasparenti u Prevedibbli kif ukoll ix-xogħol tas-Semestru Ewropew, jenħtieġ li nindirizzaw in-nuqqasijiet fl-aċċess għall-protezzjoni soċjali f'forom ġodda ta' ħidma filwaqt li ntejbu aktar il-kundizzjonijiet tax-xogħol. </w:t>
      </w: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L-ewwel nett, il-Kummissjoni qed teżamina l-isfidi relatati max-xogħol fuq pjattaforma diġitali, u fl-2021 se tipproponi miżuri biex ittejjeb il-kundizzjonijiet tax-xogħol tal-persuni li jaħdmu permezz ta' pjattaformi diġitali.</w:t>
      </w: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 xml:space="preserve">It-tieni nett, il-Qafas ta’ Monitoraġġ li jmiss dwar l-aċċess għall-Ħarsien Soċjali se jiffokka fuq l-aċċess għal persuni f’forom differenti ta’ impjieg, inklużi kuntratti mhux standard, li huma ta’ rilevanza partikolari għaż-żgħażagħ. Dan se jgħin biex jiġu identifikati l-lakuni u biex jiġu appoġġati l-azzjonijiet biex dawn jimtlew. </w:t>
      </w: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spacing w:before="240"/>
        <w:rPr>
          <w:i/>
        </w:rPr>
      </w:pPr>
      <w:r>
        <w:rPr>
          <w:i/>
        </w:rPr>
        <w:t xml:space="preserve">It-tielet nett, il-Kummissjoni se tniedi studju speċifiku dwar l-aċċess taż-żgħażagħ għall-protezzjoni soċjali. L-eżerċizzju se jagħti stampa tal-kundizzjonijiet ta’ kwalifikazzjoni ta’ diversi benefiċċji f’forom differenti ta’ impjiegi, u b’hekk jippermetti skambju ta’ prattika tajba tant meħtieġ. </w:t>
      </w:r>
    </w:p>
    <w:p w:rsidR="00862951" w:rsidRDefault="00862951">
      <w:pPr>
        <w:spacing w:after="0"/>
        <w:rPr>
          <w:i/>
        </w:rPr>
      </w:pPr>
    </w:p>
    <w:p w:rsidR="00862951" w:rsidRDefault="000F7C71">
      <w:pPr>
        <w:pStyle w:val="Heading1"/>
        <w:numPr>
          <w:ilvl w:val="0"/>
          <w:numId w:val="1"/>
        </w:numPr>
        <w:spacing w:before="0"/>
        <w:ind w:left="426" w:hanging="426"/>
        <w:rPr>
          <w:rFonts w:eastAsia="Calibri"/>
        </w:rPr>
      </w:pPr>
      <w:r>
        <w:t>Il-baġit tal-UE jagħti spinta lill-pjan ta’ rkupru għaż-żgħażagħ</w:t>
      </w:r>
    </w:p>
    <w:p w:rsidR="00862951" w:rsidRDefault="000F7C71">
      <w:pPr>
        <w:spacing w:before="240"/>
      </w:pPr>
      <w:r>
        <w:rPr>
          <w:b/>
        </w:rPr>
        <w:t>Il-proposta tal-Kummissjoni għal Next Generation EU u l-baġit fit-tul tipprovdi riżorsi sinifikanti</w:t>
      </w:r>
      <w:r>
        <w:rPr>
          <w:rStyle w:val="FootnoteReference"/>
          <w:b/>
        </w:rPr>
        <w:footnoteReference w:id="23"/>
      </w:r>
      <w:r>
        <w:rPr>
          <w:b/>
        </w:rPr>
        <w:t xml:space="preserve"> għall-appoġġ tal-impjieg taż-żgħażagħ,</w:t>
      </w:r>
      <w:r>
        <w:t xml:space="preserve"> bħala parti minn inizjattiva baġitarja ewlenija biex jiġi indirizzat l-impatt ekonomiku u soċjali tal-pandemija. Fuq medda ta’ żmien qasir, REACT-UE</w:t>
      </w:r>
      <w:r>
        <w:rPr>
          <w:rStyle w:val="FootnoteReference"/>
        </w:rPr>
        <w:footnoteReference w:id="24"/>
      </w:r>
      <w:r>
        <w:t xml:space="preserve"> se talloka finanzjament tal-politika ta’ koeżjoni b’EUR 55 biljun għall-2020-22.</w:t>
      </w:r>
      <w:r>
        <w:rPr>
          <w:b/>
        </w:rPr>
        <w:t xml:space="preserve"> </w:t>
      </w:r>
      <w:r>
        <w:t xml:space="preserve">Huwa propost li EUR 5 biljun minn dan il-pakkett ikunu disponibbli din is-sena. Dan il-finanzjament addizzjonali se jiġi allokat lill-Istati Membri filwaqt li jitqiesu diversi kriterji, li wieħed minnhom huwa l-effett tal-kriżi attwali fuq il-qgħad fost iż-żgħażagħ. Iż-żieda tal-Fond Soċjali Ewropew se tkun ta' rilevanza partikolari biex tindirizza l-isfidi għaż-żgħażagħ li diġà ġew osservati fl-Istati Membri. </w:t>
      </w:r>
    </w:p>
    <w:p w:rsidR="00862951" w:rsidRDefault="000F7C71">
      <w:r>
        <w:rPr>
          <w:b/>
        </w:rPr>
        <w:t>Barra minn hekk, il-Faċilità ġdida ta' Rkupru u Reżiljenza li ġiet proposta tagħti opportunità bla preċedent biex jitħaffu r-riformi strutturali tant meħtieġa għat-terminu medju.</w:t>
      </w:r>
      <w:r>
        <w:t xml:space="preserve"> Baġit propost ta’ EUR 560 biljun se jappoġġa investimenti u riformi essenzjali għall-irkupru fit-tul u li huma marbuta mas-Semestru Ewropew. </w:t>
      </w:r>
    </w:p>
    <w:p w:rsidR="00862951" w:rsidRDefault="000F7C71">
      <w:r>
        <w:rPr>
          <w:b/>
        </w:rPr>
        <w:t>Sabiex l-Istati Membri jirċievu appoġġ taħt il-Faċilità għall-Irkupru u għar-Reżiljenza, se jkollhom ifasslu pjanijiet ta' rkupru u reżiljenza</w:t>
      </w:r>
      <w:r>
        <w:t>. Dawn il-pjanijiet ta' rkupru u reżiljenza għandhom jindirizzaw l-impatti ekonomiċi u soċjali tal-kriżi, it-tranżizzjonijiet diġitali u ekoloġiċi, kif ukoll il-prijoritajiet rilevanti identifikati fis-Semestru Ewropew</w:t>
      </w:r>
      <w:r>
        <w:rPr>
          <w:rStyle w:val="FootnoteReference"/>
        </w:rPr>
        <w:footnoteReference w:id="25"/>
      </w:r>
      <w:r>
        <w:t xml:space="preserve">. Il-prijoritizzazzjoni tal-appoġġ għall-impjieg taż-żgħażagħ u riformi relatati għandha l-potenzjal ta’ impatt dejjiemi fuq l-Istat Membru kkonċernat f’termini ta’ potenzjal ta’ tkabbir, ħolqien tal-impjiegi u reżiljenza soċjali. </w:t>
      </w:r>
    </w:p>
    <w:p w:rsidR="00862951" w:rsidRDefault="000F7C71">
      <w:r>
        <w:rPr>
          <w:b/>
        </w:rPr>
        <w:t xml:space="preserve">Dawn l-isforzi se jiġu kkumplimentati fil-perjodu ta' finanzjament 2021-27 mill-Fond Soċjali Ewropew Plus b'baġit propost ta' EUR 86 biljun. </w:t>
      </w:r>
      <w:r>
        <w:t>Il-fond se jappoġġa l-firxa sħiħa ta' miżuri tal-impjieg, l-edukazzjoni u t-taħriġ imressqa mill-proposta għal "Pont għall-impjiegi - Tissaħħaħ il-Garanzija għaż-Żgħażagħ" kif ukoll is-sistema għall-edukazzjoni u t-taħriġ vokazzjonali u r-riformi tal-apprendistat. Għal dan il-għan, il-Kummissjoni adottat proposta leġiżlattiva emendata tal-Fond Soċjali Ewropew Plus fit-28 ta’ Mejju 2020. Hija tipproponi impenn imsaħħaħ għal dawk l-Istati Membri fejn il-qgħad fost iż-żgħażagħ huwa partikolarment għoli biex jiddedikaw 15 % tal-allokazzjoni tagħhom għall-miżuri tal-impjieg taż-żgħażagħ. Dan il-fond huwa sors importanti ta' finanzjament għall-proposta għal "Pont għall-Impjiegi - Tissaħħaħ il-Garanzija għaż-Żgħażagħ"</w:t>
      </w:r>
      <w:r>
        <w:rPr>
          <w:rStyle w:val="FootnoteReference"/>
        </w:rPr>
        <w:footnoteReference w:id="26"/>
      </w:r>
      <w:r>
        <w:t xml:space="preserve">. </w:t>
      </w:r>
    </w:p>
    <w:p w:rsidR="00862951" w:rsidRDefault="000F7C71">
      <w:pPr>
        <w:spacing w:after="0"/>
      </w:pPr>
      <w:r>
        <w:rPr>
          <w:b/>
        </w:rPr>
        <w:t xml:space="preserve">L-inizjattivi ppreżentati f'din il-Komunikazzjoni jistgħu wkoll jiġu appoġġati permezz ta' strumenti oħra tal-UE. </w:t>
      </w:r>
      <w:r>
        <w:t>Il-Fond Ewropew għall-Iżvilupp Reġjonali u InvestEU, taħt it-tieqa tal-Investiment Soċjali u l-Ħiliet (bil-baġit propost ta’ EUR 3,6 biljun) u l-Faċilità ta’ Investiment Strateġiku ġdida tiegħu (b’baġit propost ta’ 31 biljun), jistgħu jipprovdu investimenti importanti u li jibqgħu validi fil-futur fl-infrastruttura tal-edukazzjoni u t-taħriġ, jimmodernizzaw u jadattaw l-edukazzjoni u t-taħriġ vokazzjonali, u l-bidla lejn teknoloġiji ambjentalment ambizzjużi. Tieqa ddedikata għall-SMEs taħt InvestEU tista' tgħin lin-negozji ż-żgħar bil-ħtiġijiet tagħhom ta' taħriġ u bil-kapaċitajiet tagħhom li jirreklutaw liż-żgħażagħ</w:t>
      </w:r>
      <w:r>
        <w:rPr>
          <w:rStyle w:val="FootnoteReference"/>
        </w:rPr>
        <w:footnoteReference w:id="27"/>
      </w:r>
      <w:r>
        <w:t>. L-Istrument ta' Appoġġ Tekniku</w:t>
      </w:r>
      <w:r>
        <w:rPr>
          <w:vertAlign w:val="superscript"/>
        </w:rPr>
        <w:footnoteReference w:id="28"/>
      </w:r>
      <w:r>
        <w:t xml:space="preserve"> jista' jappoġġa lill-Istati Membri fit-tħejjija u fl-implimentazzjoni tar-riformi, b'mod partikolari fil-qasam tal-edukazzjoni u t-taħriġ u l-politiki tas-suq tax-xogħol, billi jimmobilizza l-fondi tal-UE u l-kompetenza teknika.</w:t>
      </w:r>
    </w:p>
    <w:p w:rsidR="00862951" w:rsidRDefault="00862951">
      <w:pPr>
        <w:spacing w:after="0"/>
      </w:pP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Il-Kummissjoni tħeġġeġ lill-Istati Membri biex iżidu l-appoġġ għall-impjieg taż-żgħażagħ, jaħtfu l-opportunità unika biex jimmobilizzaw għexieren ta' biljuni ta' euro mill-baġit futur tal-UE għal dan il-għan u jagħtu prijorità lil xi wħud mill-operazzjonijiet imsemmija hawn taħt. L-Istati Membri għandhom jużaw dawk il-miżuri l-aktar adatti biex jindirizzaw l-isfidi speċifiċi li qed jiffaċċjaw.</w:t>
      </w: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 xml:space="preserve">L-ambizzjoni ġenerali tal-UE hija li </w:t>
      </w:r>
      <w:r>
        <w:rPr>
          <w:b/>
          <w:i/>
        </w:rPr>
        <w:t>jiżdied il-livell ta' appoġġ maħsub għall-impjieg taż-żgħażagħ</w:t>
      </w:r>
      <w:r>
        <w:rPr>
          <w:i/>
        </w:rPr>
        <w:t xml:space="preserve"> meta mqabbel mal-perjodu ta' finanzjament tal-2014-2020, li huwa stmat li hu </w:t>
      </w:r>
      <w:r>
        <w:rPr>
          <w:b/>
          <w:i/>
        </w:rPr>
        <w:t>EUR 22 biljun</w:t>
      </w:r>
      <w:r>
        <w:rPr>
          <w:rStyle w:val="FootnoteReference"/>
          <w:b/>
          <w:i/>
        </w:rPr>
        <w:footnoteReference w:id="29"/>
      </w:r>
      <w:r>
        <w:rPr>
          <w:i/>
        </w:rPr>
        <w:t xml:space="preserve">. Ir-riżorsi addizzjonali proposti taħt Next Generation EU u l-firxa sħiħa ta’ strumenti pprovduti mill-baġit fit-tul propost tal-UE (2021-27) jipprovdu opportunitajiet bla preċedent biex tinkiseb dik l-ambizzjoni. </w:t>
      </w: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Il-Kummissjoni se timpenja ruħha b’mod attiv mal-awtoritajiet nazzjonali u tħejji linji gwida sabiex tiżgura li jiġu allokati riżorsi adegwati tal-UE għall-appoġġ għall-impjieg taż-żgħażagħ. B'mod partikolari, il-Kummissjoni se tħeġġeġ u tappoġġa lill-Istati Membri biex jipprijoritizzaw l-investimenti għall-impjieg taż-żgħażagħ fit-tranżizzjonijiet diġitali u ekoloġiċi u biex jisfruttaw il-Ftehim Ekoloġiku Ewropew bħala l-mutur tat-tkabbir għall-impjiegi taħt il-Faċilità ta' Rkupru u Reżiljenza.</w:t>
      </w:r>
    </w:p>
    <w:p w:rsidR="00862951" w:rsidRDefault="000F7C71">
      <w:r>
        <w:t xml:space="preserve">Ħarsa ġenerali mhux eżawrjenti tal-operazzjonijiet li jistgħu jiġu appoġġati bil-baġit futur tal-UE b'riżultati mistennija fuq perjodu ta' żmien qasir, b'mod partikolari bl-użu tar-riżorsi ta' Next Generation EU u l-baġit tal-UE fuq perjodu ta' żmien twil: </w:t>
      </w:r>
    </w:p>
    <w:tbl>
      <w:tblPr>
        <w:tblStyle w:val="TableGrid"/>
        <w:tblW w:w="9040"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28" w:type="dxa"/>
          <w:right w:w="28" w:type="dxa"/>
        </w:tblCellMar>
        <w:tblLook w:val="04A0" w:firstRow="1" w:lastRow="0" w:firstColumn="1" w:lastColumn="0" w:noHBand="0" w:noVBand="1"/>
      </w:tblPr>
      <w:tblGrid>
        <w:gridCol w:w="510"/>
        <w:gridCol w:w="8421"/>
        <w:gridCol w:w="109"/>
      </w:tblGrid>
      <w:tr w:rsidR="00862951">
        <w:tc>
          <w:tcPr>
            <w:tcW w:w="510" w:type="dxa"/>
            <w:shd w:val="clear" w:color="auto" w:fill="4472C4" w:themeFill="accent5"/>
          </w:tcPr>
          <w:p w:rsidR="00862951" w:rsidRDefault="00862951">
            <w:pPr>
              <w:pStyle w:val="ListParagraph"/>
              <w:rPr>
                <w:b/>
                <w:i/>
                <w:sz w:val="22"/>
              </w:rPr>
            </w:pPr>
          </w:p>
        </w:tc>
        <w:tc>
          <w:tcPr>
            <w:tcW w:w="8421" w:type="dxa"/>
          </w:tcPr>
          <w:p w:rsidR="00862951" w:rsidRDefault="000F7C71">
            <w:pPr>
              <w:spacing w:line="276" w:lineRule="auto"/>
              <w:ind w:left="169" w:right="293"/>
              <w:rPr>
                <w:sz w:val="22"/>
              </w:rPr>
            </w:pPr>
            <w:r>
              <w:rPr>
                <w:b/>
                <w:sz w:val="22"/>
              </w:rPr>
              <w:t>Skemi ta’ xogħol għal żmien qasir</w:t>
            </w:r>
            <w:r>
              <w:rPr>
                <w:sz w:val="22"/>
              </w:rPr>
              <w:t xml:space="preserve"> immirati lejn impjegati żgħażagħ u miżuri simili għal żgħażagħ li jaħdmu għal rashom, biex jipproteġuhom b’mod partikolari mir-riskju tal-qgħad, kif ukoll mit-telf tad-dħul. </w:t>
            </w:r>
          </w:p>
        </w:tc>
        <w:tc>
          <w:tcPr>
            <w:tcW w:w="109" w:type="dxa"/>
            <w:shd w:val="clear" w:color="auto" w:fill="4472C4" w:themeFill="accent5"/>
          </w:tcPr>
          <w:p w:rsidR="00862951" w:rsidRDefault="00862951">
            <w:pPr>
              <w:rPr>
                <w:b/>
                <w:sz w:val="6"/>
                <w:szCs w:val="6"/>
              </w:rPr>
            </w:pPr>
          </w:p>
        </w:tc>
      </w:tr>
      <w:tr w:rsidR="00862951">
        <w:tc>
          <w:tcPr>
            <w:tcW w:w="510" w:type="dxa"/>
            <w:shd w:val="clear" w:color="auto" w:fill="B4C6E7" w:themeFill="accent5" w:themeFillTint="66"/>
          </w:tcPr>
          <w:p w:rsidR="00862951" w:rsidRDefault="00862951">
            <w:pPr>
              <w:pStyle w:val="ListParagraph"/>
              <w:rPr>
                <w:b/>
                <w:i/>
                <w:sz w:val="22"/>
              </w:rPr>
            </w:pPr>
          </w:p>
        </w:tc>
        <w:tc>
          <w:tcPr>
            <w:tcW w:w="8421" w:type="dxa"/>
          </w:tcPr>
          <w:p w:rsidR="00862951" w:rsidRDefault="000F7C71">
            <w:pPr>
              <w:spacing w:line="276" w:lineRule="auto"/>
              <w:ind w:left="169" w:right="293"/>
              <w:rPr>
                <w:b/>
                <w:sz w:val="22"/>
              </w:rPr>
            </w:pPr>
            <w:r>
              <w:rPr>
                <w:b/>
                <w:iCs/>
                <w:sz w:val="22"/>
              </w:rPr>
              <w:t>Il-protezzjoni soċjali fil-forma ta’ sostituzzjoni tad-dħul jew żieda fid-dħul</w:t>
            </w:r>
            <w:r>
              <w:rPr>
                <w:iCs/>
                <w:sz w:val="22"/>
              </w:rPr>
              <w:t xml:space="preserve"> </w:t>
            </w:r>
            <w:r>
              <w:rPr>
                <w:sz w:val="22"/>
              </w:rPr>
              <w:t xml:space="preserve">bħall-benefiċċji tal-qgħad, somom f’daqqa jew leave minħabba mard lil ħaddiema żgħażagħ li qabel kienu esklużi u/jew kellhom aċċess limitat għall-protezzjoni soċjali minħabba kriterji stretti ta’ eliġibbiltà jew l-istatus tagħhom fis-suq tax-xogħol (eż. dawk li jaħdmu għal rashom). </w:t>
            </w:r>
          </w:p>
        </w:tc>
        <w:tc>
          <w:tcPr>
            <w:tcW w:w="109" w:type="dxa"/>
            <w:shd w:val="clear" w:color="auto" w:fill="B4C6E7" w:themeFill="accent5" w:themeFillTint="66"/>
          </w:tcPr>
          <w:p w:rsidR="00862951" w:rsidRDefault="00862951">
            <w:pPr>
              <w:rPr>
                <w:b/>
                <w:sz w:val="6"/>
                <w:szCs w:val="6"/>
              </w:rPr>
            </w:pPr>
          </w:p>
        </w:tc>
      </w:tr>
      <w:tr w:rsidR="00862951">
        <w:tc>
          <w:tcPr>
            <w:tcW w:w="510" w:type="dxa"/>
            <w:shd w:val="clear" w:color="auto" w:fill="4472C4" w:themeFill="accent5"/>
          </w:tcPr>
          <w:p w:rsidR="00862951" w:rsidRDefault="00862951">
            <w:pPr>
              <w:pStyle w:val="ListParagraph"/>
              <w:rPr>
                <w:b/>
                <w:i/>
                <w:iCs/>
                <w:sz w:val="22"/>
              </w:rPr>
            </w:pPr>
          </w:p>
        </w:tc>
        <w:tc>
          <w:tcPr>
            <w:tcW w:w="8421" w:type="dxa"/>
          </w:tcPr>
          <w:p w:rsidR="00862951" w:rsidRDefault="000F7C71">
            <w:pPr>
              <w:spacing w:line="276" w:lineRule="auto"/>
              <w:ind w:left="169" w:right="293"/>
              <w:rPr>
                <w:sz w:val="22"/>
              </w:rPr>
            </w:pPr>
            <w:r>
              <w:rPr>
                <w:b/>
                <w:sz w:val="22"/>
              </w:rPr>
              <w:t xml:space="preserve">Is-sussidji diretti għall-apprendisti fl-SMEs </w:t>
            </w:r>
            <w:r>
              <w:rPr>
                <w:sz w:val="22"/>
              </w:rPr>
              <w:t>inkluż</w:t>
            </w:r>
            <w:r>
              <w:rPr>
                <w:b/>
                <w:sz w:val="22"/>
              </w:rPr>
              <w:t xml:space="preserve"> </w:t>
            </w:r>
            <w:r>
              <w:rPr>
                <w:sz w:val="22"/>
              </w:rPr>
              <w:t xml:space="preserve"> ir-rimunerazzjoni, il-bonusijiet għar-reklutaġġ u l-kopertura tal-kontribuzzjonijiet soċjali temporanji, kif ukoll il-pagi tal-ħarrieġa u/jew il-kontribuzzjonijiet soċjali tagħhom biex jistabbilizzaw u jżidu l-provvista ta’ apprendistati effettivi u ta’ kwalità.</w:t>
            </w:r>
          </w:p>
        </w:tc>
        <w:tc>
          <w:tcPr>
            <w:tcW w:w="109" w:type="dxa"/>
            <w:shd w:val="clear" w:color="auto" w:fill="4472C4" w:themeFill="accent5"/>
          </w:tcPr>
          <w:p w:rsidR="00862951" w:rsidRDefault="00862951">
            <w:pPr>
              <w:rPr>
                <w:b/>
                <w:iCs/>
                <w:sz w:val="6"/>
                <w:szCs w:val="6"/>
              </w:rPr>
            </w:pPr>
          </w:p>
        </w:tc>
      </w:tr>
      <w:tr w:rsidR="00862951">
        <w:tc>
          <w:tcPr>
            <w:tcW w:w="510" w:type="dxa"/>
            <w:shd w:val="clear" w:color="auto" w:fill="B4C6E7" w:themeFill="accent5" w:themeFillTint="66"/>
          </w:tcPr>
          <w:p w:rsidR="00862951" w:rsidRDefault="00862951">
            <w:pPr>
              <w:pStyle w:val="ListParagraph"/>
              <w:rPr>
                <w:b/>
                <w:i/>
                <w:sz w:val="22"/>
              </w:rPr>
            </w:pPr>
          </w:p>
        </w:tc>
        <w:tc>
          <w:tcPr>
            <w:tcW w:w="8421" w:type="dxa"/>
          </w:tcPr>
          <w:p w:rsidR="00862951" w:rsidRDefault="000F7C71">
            <w:pPr>
              <w:spacing w:line="276" w:lineRule="auto"/>
              <w:ind w:left="169" w:right="293"/>
              <w:rPr>
                <w:sz w:val="22"/>
              </w:rPr>
            </w:pPr>
            <w:r>
              <w:rPr>
                <w:b/>
                <w:sz w:val="22"/>
              </w:rPr>
              <w:t>Sussidji diretti għar-reklutaġġ</w:t>
            </w:r>
            <w:r>
              <w:rPr>
                <w:sz w:val="22"/>
              </w:rPr>
              <w:t xml:space="preserve"> inklużi sussidji fuq il-pagi, bonusijiet għar-reklutaġġ għal persunal ġdid u kontribuzzjonijiet temporanji għall-kopertura tal-protezzjoni soċjali biex jiffaċilitaw l-akkwist tal-esperjenza tax-xogħol u/jew id-dħul fl-ewwel impjiegi ta’ kwalità għaż-żgħażagħ. Dawn huma partikolarment effiċjenti jekk ikunu mmirati sew u kkombinati ma’ miżuri ta’ taħriġ. </w:t>
            </w:r>
          </w:p>
        </w:tc>
        <w:tc>
          <w:tcPr>
            <w:tcW w:w="109" w:type="dxa"/>
            <w:shd w:val="clear" w:color="auto" w:fill="B4C6E7" w:themeFill="accent5" w:themeFillTint="66"/>
          </w:tcPr>
          <w:p w:rsidR="00862951" w:rsidRDefault="00862951">
            <w:pPr>
              <w:rPr>
                <w:b/>
                <w:sz w:val="6"/>
                <w:szCs w:val="6"/>
              </w:rPr>
            </w:pPr>
          </w:p>
        </w:tc>
      </w:tr>
      <w:tr w:rsidR="00862951">
        <w:tc>
          <w:tcPr>
            <w:tcW w:w="510" w:type="dxa"/>
            <w:shd w:val="clear" w:color="auto" w:fill="4472C4" w:themeFill="accent5"/>
          </w:tcPr>
          <w:p w:rsidR="00862951" w:rsidRDefault="00862951">
            <w:pPr>
              <w:pStyle w:val="ListParagraph"/>
              <w:rPr>
                <w:i/>
              </w:rPr>
            </w:pPr>
          </w:p>
        </w:tc>
        <w:tc>
          <w:tcPr>
            <w:tcW w:w="8421" w:type="dxa"/>
          </w:tcPr>
          <w:p w:rsidR="00862951" w:rsidRDefault="000F7C71">
            <w:pPr>
              <w:spacing w:line="276" w:lineRule="auto"/>
              <w:ind w:left="169" w:right="257"/>
              <w:rPr>
                <w:b/>
                <w:sz w:val="22"/>
              </w:rPr>
            </w:pPr>
            <w:r>
              <w:rPr>
                <w:b/>
                <w:sz w:val="22"/>
              </w:rPr>
              <w:t>Għajnuna finanzjarja għall-istudenti</w:t>
            </w:r>
            <w:r>
              <w:rPr>
                <w:sz w:val="22"/>
              </w:rPr>
              <w:t>, kemm jekk isegwu programmi mħallta tal-kampus, programmi mħallta jew online, fil-forma ta' għotjiet jew self b'rati ta' mgħax favorevoli u garanziji mill-Istat, biex iż-żgħażagħ ikunu jistgħu jtawlu l-istudji tagħhom jew jerġgħu jidħlu fl-edukazzjoni jew fit-taħriġ.</w:t>
            </w:r>
            <w:r>
              <w:rPr>
                <w:b/>
                <w:sz w:val="22"/>
              </w:rPr>
              <w:t xml:space="preserve"> </w:t>
            </w:r>
          </w:p>
        </w:tc>
        <w:tc>
          <w:tcPr>
            <w:tcW w:w="109" w:type="dxa"/>
            <w:shd w:val="clear" w:color="auto" w:fill="4472C4" w:themeFill="accent5"/>
          </w:tcPr>
          <w:p w:rsidR="00862951" w:rsidRDefault="00862951"/>
        </w:tc>
      </w:tr>
      <w:tr w:rsidR="00862951">
        <w:tc>
          <w:tcPr>
            <w:tcW w:w="510" w:type="dxa"/>
            <w:shd w:val="clear" w:color="auto" w:fill="B4C6E7" w:themeFill="accent5" w:themeFillTint="66"/>
          </w:tcPr>
          <w:p w:rsidR="00862951" w:rsidRDefault="00862951">
            <w:pPr>
              <w:pStyle w:val="ListParagraph"/>
              <w:rPr>
                <w:i/>
              </w:rPr>
            </w:pPr>
          </w:p>
        </w:tc>
        <w:tc>
          <w:tcPr>
            <w:tcW w:w="8421" w:type="dxa"/>
          </w:tcPr>
          <w:p w:rsidR="00862951" w:rsidRDefault="000F7C71">
            <w:pPr>
              <w:spacing w:line="276" w:lineRule="auto"/>
              <w:ind w:left="169" w:right="257"/>
              <w:rPr>
                <w:b/>
                <w:sz w:val="22"/>
              </w:rPr>
            </w:pPr>
            <w:r>
              <w:rPr>
                <w:b/>
                <w:sz w:val="22"/>
              </w:rPr>
              <w:t xml:space="preserve">Sessjonijiet ta’ taħriġ għal żmien qasir </w:t>
            </w:r>
            <w:r>
              <w:rPr>
                <w:sz w:val="22"/>
              </w:rPr>
              <w:t>(bħal korsijiet qosra ta’ tagħlim, taħriġ intensiv jew workshops) biex tiżdied il-kapaċità ta’ persuni qiegħda jew żgħażagħ inattivi għall-integrazzjoni immedjata tagħhom fis-suq tax-xogħol, b’enfasi fuq eż. l-ħiliet diġitali, il-ħiliet ekoloġiċi, il-ħiliet intraprenditorjali u l-ħiliet ta’ ġestjoni tal-karriera.</w:t>
            </w:r>
          </w:p>
        </w:tc>
        <w:tc>
          <w:tcPr>
            <w:tcW w:w="109" w:type="dxa"/>
            <w:shd w:val="clear" w:color="auto" w:fill="B4C6E7" w:themeFill="accent5" w:themeFillTint="66"/>
          </w:tcPr>
          <w:p w:rsidR="00862951" w:rsidRDefault="00862951"/>
        </w:tc>
      </w:tr>
      <w:tr w:rsidR="00862951">
        <w:tc>
          <w:tcPr>
            <w:tcW w:w="510" w:type="dxa"/>
            <w:shd w:val="clear" w:color="auto" w:fill="4472C4" w:themeFill="accent5"/>
          </w:tcPr>
          <w:p w:rsidR="00862951" w:rsidRDefault="00862951">
            <w:pPr>
              <w:pStyle w:val="ListParagraph"/>
              <w:rPr>
                <w:b/>
                <w:i/>
                <w:sz w:val="22"/>
              </w:rPr>
            </w:pPr>
          </w:p>
        </w:tc>
        <w:tc>
          <w:tcPr>
            <w:tcW w:w="8421" w:type="dxa"/>
          </w:tcPr>
          <w:p w:rsidR="00862951" w:rsidRDefault="000F7C71">
            <w:pPr>
              <w:spacing w:line="276" w:lineRule="auto"/>
              <w:ind w:left="169" w:right="293"/>
              <w:rPr>
                <w:b/>
                <w:sz w:val="22"/>
              </w:rPr>
            </w:pPr>
            <w:r>
              <w:rPr>
                <w:b/>
                <w:sz w:val="22"/>
              </w:rPr>
              <w:t>Perkorsi għall-integrazzjoni mill-ġdid fl-edukazzjoni u t-taħriġ</w:t>
            </w:r>
            <w:r>
              <w:rPr>
                <w:sz w:val="22"/>
              </w:rPr>
              <w:t>, inklużi programmi ta' edukazzjoni li jagħtu ċans ieħor, b'mod partikolari għal dawk li jitilqu kmieni mill-edukazzjoni u t-taħriġ, u żgħażagħ b'ħiliet baxxi.</w:t>
            </w:r>
          </w:p>
        </w:tc>
        <w:tc>
          <w:tcPr>
            <w:tcW w:w="109" w:type="dxa"/>
            <w:shd w:val="clear" w:color="auto" w:fill="4472C4" w:themeFill="accent5"/>
          </w:tcPr>
          <w:p w:rsidR="00862951" w:rsidRDefault="00862951">
            <w:pPr>
              <w:rPr>
                <w:b/>
                <w:sz w:val="6"/>
                <w:szCs w:val="6"/>
              </w:rPr>
            </w:pPr>
          </w:p>
        </w:tc>
      </w:tr>
      <w:tr w:rsidR="00862951">
        <w:tc>
          <w:tcPr>
            <w:tcW w:w="510" w:type="dxa"/>
            <w:shd w:val="clear" w:color="auto" w:fill="B4C6E7" w:themeFill="accent5" w:themeFillTint="66"/>
          </w:tcPr>
          <w:p w:rsidR="00862951" w:rsidRDefault="00862951">
            <w:pPr>
              <w:pStyle w:val="ListParagraph"/>
              <w:rPr>
                <w:b/>
                <w:i/>
                <w:sz w:val="22"/>
              </w:rPr>
            </w:pPr>
          </w:p>
        </w:tc>
        <w:tc>
          <w:tcPr>
            <w:tcW w:w="8421" w:type="dxa"/>
          </w:tcPr>
          <w:p w:rsidR="00862951" w:rsidRDefault="000F7C71">
            <w:pPr>
              <w:spacing w:line="276" w:lineRule="auto"/>
              <w:ind w:left="169" w:right="293"/>
              <w:rPr>
                <w:b/>
                <w:sz w:val="22"/>
              </w:rPr>
            </w:pPr>
            <w:r>
              <w:rPr>
                <w:b/>
                <w:sz w:val="22"/>
              </w:rPr>
              <w:t>Il-kollokament ta’ apprendisti</w:t>
            </w:r>
            <w:r>
              <w:rPr>
                <w:sz w:val="22"/>
              </w:rPr>
              <w:t xml:space="preserve"> minn kumpaniji insolventi f’kumpaniji oħra jew f’ċentri ta’ taħriġ fi ħdan il-kumpanija.</w:t>
            </w:r>
          </w:p>
        </w:tc>
        <w:tc>
          <w:tcPr>
            <w:tcW w:w="109" w:type="dxa"/>
            <w:shd w:val="clear" w:color="auto" w:fill="B4C6E7" w:themeFill="accent5" w:themeFillTint="66"/>
          </w:tcPr>
          <w:p w:rsidR="00862951" w:rsidRDefault="00862951">
            <w:pPr>
              <w:rPr>
                <w:b/>
                <w:sz w:val="6"/>
                <w:szCs w:val="6"/>
              </w:rPr>
            </w:pPr>
          </w:p>
        </w:tc>
      </w:tr>
      <w:tr w:rsidR="00862951">
        <w:tc>
          <w:tcPr>
            <w:tcW w:w="510" w:type="dxa"/>
            <w:shd w:val="clear" w:color="auto" w:fill="4472C4" w:themeFill="accent5"/>
          </w:tcPr>
          <w:p w:rsidR="00862951" w:rsidRDefault="000F7C71">
            <w:pPr>
              <w:pStyle w:val="ListParagraph"/>
              <w:rPr>
                <w:b/>
                <w:i/>
                <w:sz w:val="22"/>
              </w:rPr>
            </w:pPr>
            <w:r>
              <w:rPr>
                <w:b/>
                <w:i/>
                <w:sz w:val="22"/>
              </w:rPr>
              <w:t>I</w:t>
            </w:r>
          </w:p>
        </w:tc>
        <w:tc>
          <w:tcPr>
            <w:tcW w:w="8421" w:type="dxa"/>
          </w:tcPr>
          <w:p w:rsidR="00862951" w:rsidRDefault="000F7C71">
            <w:pPr>
              <w:spacing w:line="276" w:lineRule="auto"/>
              <w:ind w:left="169" w:right="293"/>
              <w:rPr>
                <w:sz w:val="22"/>
              </w:rPr>
            </w:pPr>
            <w:r>
              <w:rPr>
                <w:b/>
                <w:sz w:val="22"/>
              </w:rPr>
              <w:t>Għotjiet għall-bidu u self</w:t>
            </w:r>
            <w:r>
              <w:rPr>
                <w:sz w:val="22"/>
              </w:rPr>
              <w:t xml:space="preserve"> għal intraprendituri żgħażagħ biex jistabbilixxu negozji ġodda u joħolqu l-impjiegi.</w:t>
            </w:r>
          </w:p>
        </w:tc>
        <w:tc>
          <w:tcPr>
            <w:tcW w:w="109" w:type="dxa"/>
            <w:shd w:val="clear" w:color="auto" w:fill="4472C4" w:themeFill="accent5"/>
          </w:tcPr>
          <w:p w:rsidR="00862951" w:rsidRDefault="00862951">
            <w:pPr>
              <w:rPr>
                <w:b/>
                <w:sz w:val="6"/>
                <w:szCs w:val="6"/>
              </w:rPr>
            </w:pPr>
          </w:p>
        </w:tc>
      </w:tr>
    </w:tbl>
    <w:p w:rsidR="00862951" w:rsidRDefault="00862951">
      <w:pPr>
        <w:spacing w:after="0"/>
      </w:pPr>
    </w:p>
    <w:p w:rsidR="00862951" w:rsidRDefault="000F7C71">
      <w:r>
        <w:t xml:space="preserve">Ħarsa ġenerali mhux eżawrjenti tal-operazzjonijiet li jistgħu jiġu appoġġati bil-baġit futur tal-UE b'riżultati mistennija fuq </w:t>
      </w:r>
      <w:r>
        <w:rPr>
          <w:i/>
        </w:rPr>
        <w:t>perjodu ta' żmien medju</w:t>
      </w:r>
      <w:r>
        <w:t xml:space="preserve">, b'mod partikolari bl-użu tar-riżorsi ta’ Next Generation EU u l-baġit fuq perjodu twil ta' żmien: </w:t>
      </w:r>
    </w:p>
    <w:tbl>
      <w:tblPr>
        <w:tblStyle w:val="TableGrid"/>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28" w:type="dxa"/>
          <w:right w:w="28" w:type="dxa"/>
        </w:tblCellMar>
        <w:tblLook w:val="04A0" w:firstRow="1" w:lastRow="0" w:firstColumn="1" w:lastColumn="0" w:noHBand="0" w:noVBand="1"/>
      </w:tblPr>
      <w:tblGrid>
        <w:gridCol w:w="510"/>
        <w:gridCol w:w="8421"/>
        <w:gridCol w:w="113"/>
      </w:tblGrid>
      <w:tr w:rsidR="00862951">
        <w:tc>
          <w:tcPr>
            <w:tcW w:w="510" w:type="dxa"/>
            <w:shd w:val="clear" w:color="auto" w:fill="4472C4" w:themeFill="accent5"/>
          </w:tcPr>
          <w:p w:rsidR="00862951" w:rsidRDefault="00862951">
            <w:pPr>
              <w:pStyle w:val="ListParagraph"/>
              <w:rPr>
                <w:i/>
              </w:rPr>
            </w:pPr>
          </w:p>
        </w:tc>
        <w:tc>
          <w:tcPr>
            <w:tcW w:w="8421" w:type="dxa"/>
          </w:tcPr>
          <w:p w:rsidR="00862951" w:rsidRDefault="000F7C71">
            <w:pPr>
              <w:spacing w:line="276" w:lineRule="auto"/>
              <w:ind w:left="169" w:right="257"/>
              <w:rPr>
                <w:sz w:val="22"/>
              </w:rPr>
            </w:pPr>
            <w:r>
              <w:rPr>
                <w:b/>
                <w:sz w:val="22"/>
              </w:rPr>
              <w:t>Il-bini tal-kapaċità tas-servizzi pubbliċi tal-impjiegi</w:t>
            </w:r>
            <w:r>
              <w:rPr>
                <w:sz w:val="22"/>
              </w:rPr>
              <w:t xml:space="preserve"> biex eż. jilħqu għadd akbar ta’ żgħażagħ (inklużi gruppi vulnerabbli), jipprovdu appoġġ aktar individwalizzat (f’termini ta’ konsulenza, gwida u mentoraġġ) u jsaħħu l-forniment ta’ servizz integrat. </w:t>
            </w:r>
          </w:p>
        </w:tc>
        <w:tc>
          <w:tcPr>
            <w:tcW w:w="113" w:type="dxa"/>
            <w:shd w:val="clear" w:color="auto" w:fill="4472C4" w:themeFill="accent5"/>
          </w:tcPr>
          <w:p w:rsidR="00862951" w:rsidRDefault="00862951"/>
        </w:tc>
      </w:tr>
      <w:tr w:rsidR="00862951">
        <w:tc>
          <w:tcPr>
            <w:tcW w:w="510" w:type="dxa"/>
            <w:shd w:val="clear" w:color="auto" w:fill="B4C6E7" w:themeFill="accent5" w:themeFillTint="66"/>
          </w:tcPr>
          <w:p w:rsidR="00862951" w:rsidRDefault="00862951">
            <w:pPr>
              <w:pStyle w:val="ListParagraph"/>
              <w:rPr>
                <w:i/>
              </w:rPr>
            </w:pPr>
          </w:p>
        </w:tc>
        <w:tc>
          <w:tcPr>
            <w:tcW w:w="8421" w:type="dxa"/>
          </w:tcPr>
          <w:p w:rsidR="00862951" w:rsidRDefault="000F7C71">
            <w:pPr>
              <w:spacing w:line="276" w:lineRule="auto"/>
              <w:ind w:left="169" w:right="257"/>
              <w:rPr>
                <w:b/>
                <w:sz w:val="22"/>
              </w:rPr>
            </w:pPr>
            <w:r>
              <w:rPr>
                <w:b/>
                <w:sz w:val="22"/>
              </w:rPr>
              <w:t>Sistemi ta’ mmappjar imsaħħa, sistemi ta’ twissija bikrija u kapaċitajiet ta’ traċċar</w:t>
            </w:r>
            <w:r>
              <w:rPr>
                <w:sz w:val="22"/>
              </w:rPr>
              <w:t xml:space="preserve"> biex jidentifikaw iż-żgħażagħ li huma (f’riskju li jsiru) qiegħda jew inattivi, kif ukoll miżuri ta’ implimentazzjoni mmirati biex jindirizzaw it-tluq bikri mill-edukazzjoni u t-taħriġ, sabiex jikkontribwixxu għal strateġija aħjar ta’ prevenzjoni.</w:t>
            </w:r>
          </w:p>
        </w:tc>
        <w:tc>
          <w:tcPr>
            <w:tcW w:w="113" w:type="dxa"/>
            <w:shd w:val="clear" w:color="auto" w:fill="B4C6E7" w:themeFill="accent5" w:themeFillTint="66"/>
          </w:tcPr>
          <w:p w:rsidR="00862951" w:rsidRDefault="00862951"/>
        </w:tc>
      </w:tr>
      <w:tr w:rsidR="00862951">
        <w:tc>
          <w:tcPr>
            <w:tcW w:w="510" w:type="dxa"/>
            <w:shd w:val="clear" w:color="auto" w:fill="4472C4" w:themeFill="accent5"/>
          </w:tcPr>
          <w:p w:rsidR="00862951" w:rsidRDefault="00862951">
            <w:pPr>
              <w:pStyle w:val="ListParagraph"/>
              <w:rPr>
                <w:i/>
              </w:rPr>
            </w:pPr>
          </w:p>
        </w:tc>
        <w:tc>
          <w:tcPr>
            <w:tcW w:w="8421" w:type="dxa"/>
          </w:tcPr>
          <w:p w:rsidR="00862951" w:rsidRDefault="000F7C71">
            <w:pPr>
              <w:spacing w:line="276" w:lineRule="auto"/>
              <w:ind w:left="169" w:right="257"/>
              <w:rPr>
                <w:b/>
                <w:sz w:val="22"/>
              </w:rPr>
            </w:pPr>
            <w:r>
              <w:rPr>
                <w:b/>
                <w:sz w:val="22"/>
              </w:rPr>
              <w:t>Networks ta’ intraprendituri żgħażagħ, skemi ta’ mentoraġġ u</w:t>
            </w:r>
            <w:r>
              <w:rPr>
                <w:sz w:val="22"/>
              </w:rPr>
              <w:t xml:space="preserve"> </w:t>
            </w:r>
            <w:r>
              <w:rPr>
                <w:b/>
                <w:sz w:val="22"/>
              </w:rPr>
              <w:t>inkubaturi tan-negozju</w:t>
            </w:r>
            <w:r>
              <w:rPr>
                <w:sz w:val="22"/>
              </w:rPr>
              <w:t xml:space="preserve"> biex jgħinu lill-intraprendituri aspiranti, speċjalment nisa żgħażagħ u gruppi diskriminati jew marġinalizzati, jidħlu fis-suq tax-xogħol u jibnu l-ħiliet meħtieġa għal diversi mudelli ta’ negozju, inkluża l-intraprenditorija soċjali.</w:t>
            </w:r>
          </w:p>
        </w:tc>
        <w:tc>
          <w:tcPr>
            <w:tcW w:w="113" w:type="dxa"/>
            <w:shd w:val="clear" w:color="auto" w:fill="4472C4" w:themeFill="accent5"/>
          </w:tcPr>
          <w:p w:rsidR="00862951" w:rsidRDefault="00862951"/>
        </w:tc>
      </w:tr>
      <w:tr w:rsidR="00862951">
        <w:tc>
          <w:tcPr>
            <w:tcW w:w="510" w:type="dxa"/>
            <w:shd w:val="clear" w:color="auto" w:fill="B4C6E7" w:themeFill="accent5" w:themeFillTint="66"/>
          </w:tcPr>
          <w:p w:rsidR="00862951" w:rsidRDefault="00862951">
            <w:pPr>
              <w:pStyle w:val="ListParagraph"/>
              <w:rPr>
                <w:i/>
              </w:rPr>
            </w:pPr>
          </w:p>
        </w:tc>
        <w:tc>
          <w:tcPr>
            <w:tcW w:w="8421" w:type="dxa"/>
          </w:tcPr>
          <w:p w:rsidR="00862951" w:rsidRDefault="000F7C71">
            <w:pPr>
              <w:spacing w:line="276" w:lineRule="auto"/>
              <w:ind w:left="169" w:right="257"/>
              <w:rPr>
                <w:b/>
                <w:sz w:val="22"/>
              </w:rPr>
            </w:pPr>
            <w:r>
              <w:rPr>
                <w:b/>
                <w:sz w:val="22"/>
              </w:rPr>
              <w:t xml:space="preserve">Taħriġ dwar il-ġestjoni tal-karriera fl-edukazzjoni u t-taħriġ formali </w:t>
            </w:r>
            <w:r>
              <w:rPr>
                <w:sz w:val="22"/>
              </w:rPr>
              <w:t xml:space="preserve">biex iż-żgħażagħ jitħejjew għal dinja tax-xogħol volatili u prekarja u biex jiġu spjegati l-passi possibbli biex jinstab xogħol jew biex jirċievu l-appoġġ. </w:t>
            </w:r>
          </w:p>
        </w:tc>
        <w:tc>
          <w:tcPr>
            <w:tcW w:w="113" w:type="dxa"/>
            <w:shd w:val="clear" w:color="auto" w:fill="B4C6E7" w:themeFill="accent5" w:themeFillTint="66"/>
          </w:tcPr>
          <w:p w:rsidR="00862951" w:rsidRDefault="00862951"/>
        </w:tc>
      </w:tr>
      <w:tr w:rsidR="00862951">
        <w:tc>
          <w:tcPr>
            <w:tcW w:w="510" w:type="dxa"/>
            <w:shd w:val="clear" w:color="auto" w:fill="4472C4" w:themeFill="accent5"/>
          </w:tcPr>
          <w:p w:rsidR="00862951" w:rsidRDefault="00862951">
            <w:pPr>
              <w:pStyle w:val="ListParagraph"/>
              <w:rPr>
                <w:i/>
              </w:rPr>
            </w:pPr>
          </w:p>
        </w:tc>
        <w:tc>
          <w:tcPr>
            <w:tcW w:w="8421" w:type="dxa"/>
          </w:tcPr>
          <w:p w:rsidR="00862951" w:rsidRDefault="000F7C71">
            <w:pPr>
              <w:spacing w:line="276" w:lineRule="auto"/>
              <w:ind w:left="169" w:right="257"/>
              <w:rPr>
                <w:sz w:val="22"/>
              </w:rPr>
            </w:pPr>
            <w:r>
              <w:rPr>
                <w:b/>
                <w:sz w:val="22"/>
              </w:rPr>
              <w:t>L-implimentazzjoni tar-riformi tal-VET u tal-apprendistati</w:t>
            </w:r>
            <w:r>
              <w:rPr>
                <w:sz w:val="22"/>
              </w:rPr>
              <w:t>, li jistgħu jinkludu investimenti fir-riformi tal-kurrikuli għal rilevanza akbar għas-suq tax-xogħol, flessibbiltà u modularizzazzjoni, espansjoni ta' programmi ogħla tal-VET</w:t>
            </w:r>
            <w:r>
              <w:rPr>
                <w:rStyle w:val="FootnoteReference"/>
                <w:sz w:val="22"/>
              </w:rPr>
              <w:footnoteReference w:id="30"/>
            </w:r>
            <w:r>
              <w:rPr>
                <w:sz w:val="22"/>
              </w:rPr>
              <w:t>, l-istabbiliment ta' sistemi ta' assigurazzjoni tal-kwalità u ta' traċċar tal-gradwati, it-taħriġ tal-għalliema u l-ħarrieġa fil-VET, appoġġ għall-mobbiltà tal-istudenti, l-għalliema u l-ħarrieġa fil-VET.</w:t>
            </w:r>
          </w:p>
        </w:tc>
        <w:tc>
          <w:tcPr>
            <w:tcW w:w="113" w:type="dxa"/>
            <w:shd w:val="clear" w:color="auto" w:fill="4472C4" w:themeFill="accent5"/>
          </w:tcPr>
          <w:p w:rsidR="00862951" w:rsidRDefault="00862951"/>
        </w:tc>
      </w:tr>
      <w:tr w:rsidR="00862951">
        <w:tc>
          <w:tcPr>
            <w:tcW w:w="510" w:type="dxa"/>
            <w:shd w:val="clear" w:color="auto" w:fill="B4C6E7" w:themeFill="accent5" w:themeFillTint="66"/>
          </w:tcPr>
          <w:p w:rsidR="00862951" w:rsidRDefault="00862951">
            <w:pPr>
              <w:pStyle w:val="ListParagraph"/>
              <w:rPr>
                <w:i/>
              </w:rPr>
            </w:pPr>
          </w:p>
        </w:tc>
        <w:tc>
          <w:tcPr>
            <w:tcW w:w="8421" w:type="dxa"/>
          </w:tcPr>
          <w:p w:rsidR="00862951" w:rsidRDefault="000F7C71">
            <w:pPr>
              <w:spacing w:line="276" w:lineRule="auto"/>
              <w:ind w:left="169" w:right="257"/>
              <w:rPr>
                <w:b/>
                <w:sz w:val="22"/>
              </w:rPr>
            </w:pPr>
            <w:r>
              <w:rPr>
                <w:b/>
                <w:sz w:val="22"/>
              </w:rPr>
              <w:t xml:space="preserve">Investimenti fl-infrastruttura u t-teknoloġija tat-tagħlim diġitali, it-tagħmir u t-teknoloġiji tal-industrija l-aktar avvanzati </w:t>
            </w:r>
            <w:r>
              <w:rPr>
                <w:sz w:val="22"/>
              </w:rPr>
              <w:t>għall-iskejjel tal-VET u ċ-ċentri ta’ taħriġ tal-VET (inklużi għaċ-ċentri ta’ Eċċellenza Vokazzjonali), biex il-VET ikunu mgħammra għat-tranżizzjonijiet diġitali u ekoloġiċi.</w:t>
            </w:r>
          </w:p>
        </w:tc>
        <w:tc>
          <w:tcPr>
            <w:tcW w:w="113" w:type="dxa"/>
            <w:shd w:val="clear" w:color="auto" w:fill="B4C6E7" w:themeFill="accent5" w:themeFillTint="66"/>
          </w:tcPr>
          <w:p w:rsidR="00862951" w:rsidRDefault="00862951"/>
        </w:tc>
      </w:tr>
      <w:tr w:rsidR="00862951">
        <w:tc>
          <w:tcPr>
            <w:tcW w:w="510" w:type="dxa"/>
            <w:shd w:val="clear" w:color="auto" w:fill="4472C4" w:themeFill="accent5"/>
          </w:tcPr>
          <w:p w:rsidR="00862951" w:rsidRDefault="00862951">
            <w:pPr>
              <w:pStyle w:val="ListParagraph"/>
              <w:rPr>
                <w:i/>
              </w:rPr>
            </w:pPr>
          </w:p>
        </w:tc>
        <w:tc>
          <w:tcPr>
            <w:tcW w:w="8421" w:type="dxa"/>
          </w:tcPr>
          <w:p w:rsidR="00862951" w:rsidRDefault="000F7C71">
            <w:pPr>
              <w:spacing w:line="276" w:lineRule="auto"/>
              <w:ind w:left="169" w:right="257"/>
              <w:rPr>
                <w:b/>
                <w:sz w:val="22"/>
              </w:rPr>
            </w:pPr>
            <w:r>
              <w:rPr>
                <w:b/>
                <w:sz w:val="22"/>
              </w:rPr>
              <w:t>Investimenti fiċ-ċentri ta’ taħriġ bejn il-kumpaniji</w:t>
            </w:r>
            <w:r>
              <w:rPr>
                <w:sz w:val="22"/>
              </w:rPr>
              <w:t xml:space="preserve"> (kemm jekk jistabbilixxu oħrajn ġodda, isaħħu dawk eżistenti jew ikunu inkorporati f’Ċentri ta’ Eċċellenza Vokazzjonali), biex jgħinu lill-SMEs jipprovdu VET u apprendistati mill-aktar avvanzati.</w:t>
            </w:r>
          </w:p>
        </w:tc>
        <w:tc>
          <w:tcPr>
            <w:tcW w:w="113" w:type="dxa"/>
            <w:shd w:val="clear" w:color="auto" w:fill="4472C4" w:themeFill="accent5"/>
          </w:tcPr>
          <w:p w:rsidR="00862951" w:rsidRDefault="00862951"/>
        </w:tc>
      </w:tr>
      <w:tr w:rsidR="00862951">
        <w:tc>
          <w:tcPr>
            <w:tcW w:w="510" w:type="dxa"/>
            <w:shd w:val="clear" w:color="auto" w:fill="B4C6E7" w:themeFill="accent5" w:themeFillTint="66"/>
          </w:tcPr>
          <w:p w:rsidR="00862951" w:rsidRDefault="00862951">
            <w:pPr>
              <w:pStyle w:val="ListParagraph"/>
              <w:rPr>
                <w:i/>
              </w:rPr>
            </w:pPr>
          </w:p>
        </w:tc>
        <w:tc>
          <w:tcPr>
            <w:tcW w:w="8421" w:type="dxa"/>
          </w:tcPr>
          <w:p w:rsidR="00862951" w:rsidRDefault="000F7C71">
            <w:pPr>
              <w:spacing w:line="276" w:lineRule="auto"/>
              <w:ind w:left="169" w:right="257"/>
              <w:rPr>
                <w:b/>
                <w:sz w:val="22"/>
                <w:highlight w:val="yellow"/>
              </w:rPr>
            </w:pPr>
            <w:r>
              <w:rPr>
                <w:b/>
                <w:sz w:val="22"/>
              </w:rPr>
              <w:t>Investimenti biex tiżdied ir-rilevanza tal-edukazzjoni u t-taħriġ fis-suq tax-xogħol</w:t>
            </w:r>
            <w:r>
              <w:rPr>
                <w:sz w:val="22"/>
              </w:rPr>
              <w:t>, inkluż fis-settur tal-edukazzjoni għolja, billi jiġu appoġġati sħubijiet bejn in-negozji u l-edukazzjoni li jappoġġaw ekosistemi industrijali ewlenin u netwerks tal-SMEs, kif ukoll billi tiżdied il-prevalenza ta' tagħlim ibbażat fuq ix-xogħol fi ħdan programmi eżistenti.</w:t>
            </w:r>
          </w:p>
        </w:tc>
        <w:tc>
          <w:tcPr>
            <w:tcW w:w="113" w:type="dxa"/>
            <w:shd w:val="clear" w:color="auto" w:fill="B4C6E7" w:themeFill="accent5" w:themeFillTint="66"/>
          </w:tcPr>
          <w:p w:rsidR="00862951" w:rsidRDefault="00862951"/>
        </w:tc>
      </w:tr>
    </w:tbl>
    <w:p w:rsidR="00862951" w:rsidRDefault="00862951"/>
    <w:p w:rsidR="00862951" w:rsidRDefault="000F7C71">
      <w:pPr>
        <w:pStyle w:val="Heading1"/>
        <w:numPr>
          <w:ilvl w:val="0"/>
          <w:numId w:val="1"/>
        </w:numPr>
        <w:ind w:left="426" w:hanging="426"/>
      </w:pPr>
      <w:r>
        <w:t>Konklużjoni</w:t>
      </w:r>
    </w:p>
    <w:p w:rsidR="00862951" w:rsidRDefault="000F7C71">
      <w:pPr>
        <w:rPr>
          <w:rFonts w:cs="Times New Roman"/>
        </w:rPr>
      </w:pPr>
      <w:r>
        <w:rPr>
          <w:b/>
        </w:rPr>
        <w:t>Il-Kummissjoni tappella lill-Istati Membri biex jimmobilizzaw is-solidarjetà interġenerazzjonali qawwija tal-UE biex jappoġġaw liż-żgħażagħ bħala parti mill-irkupru mill-pandemija COVID-19.</w:t>
      </w:r>
      <w:r>
        <w:t xml:space="preserve"> Aħna għandna obbligu lejn il-miljuni ta’ gradwati, dawk li jidħlu fis-suq tax-xogħol u dawk fit-tranżizzjonijiet minn kmieni minn impjieg għall-ieħor biex nimmobilizzaw l-appoġġ kollu li nistgħu biex dawn ikunu jistgħu jiżviluppaw il-potenzjal sħiħ tagħhom. Issa wasal iż-żmien li ninvestu fil-ġenerazzjoni li jmiss tagħna, u li ngħinu liż-żgħażagħ isiru l-ixprunaturi għal ekonomija diġitali u ekoloġika.</w:t>
      </w:r>
    </w:p>
    <w:p w:rsidR="00862951" w:rsidRDefault="000F7C71">
      <w:pPr>
        <w:rPr>
          <w:rFonts w:cs="Times New Roman"/>
        </w:rPr>
      </w:pPr>
      <w:r>
        <w:rPr>
          <w:b/>
        </w:rPr>
        <w:t xml:space="preserve">Il-proposti għar-rakkomandazzjonijiet tal-Kunsill dwar “Pont għall-impjiegi - Tissaħħaħ il-Garanzija għaż-Żgħażagħ” u dwar “l-Edukazzjoni u t-taħriġ Vokazzjonali </w:t>
      </w:r>
      <w:r>
        <w:rPr>
          <w:b/>
          <w:color w:val="000000" w:themeColor="text1"/>
        </w:rPr>
        <w:t xml:space="preserve">għall-Kompetittività Sostenibbli, il-Ġustizzja Soċjali u r-Reżiljenza” </w:t>
      </w:r>
      <w:r>
        <w:rPr>
          <w:b/>
        </w:rPr>
        <w:t xml:space="preserve">jipprovdu l-oqfsa. </w:t>
      </w:r>
      <w:r>
        <w:t xml:space="preserve">Il-Kummissjoni pproponiet ukoll strumenti biex tagħti l-finanzjament meħtieġ. Il-Kummissjoni tistieden lill-Istati Membri biex japprovaw iż-żewġ proposti malajr u biex jisfruttaw il-potenzjal sħiħ tal-baġit tal-UE meta jżidu l-appoġġ tagħhom għall-impjieg taż-żgħażagħ. </w:t>
      </w:r>
    </w:p>
    <w:p w:rsidR="00862951" w:rsidRPr="000F7C71" w:rsidRDefault="000F7C71">
      <w:r>
        <w:rPr>
          <w:b/>
        </w:rPr>
        <w:t>Il-fatt li naħdmu flimkien se jkun importanti ħafna.</w:t>
      </w:r>
      <w:r>
        <w:t xml:space="preserve"> Il-promozzjoni tal-impjieg taż-żgħażagħ teħtieġ kooperazzjoni b’saħħitha fost l-atturi kollha (b’mod partikolari s-sħab soċjali, is-settur tal-edukazzjoni u l-organizzazzjonijiet tas-soċjetà ċivili), kif ukoll fost l-awtoritajiet fil-livell reġjonali u lokali. Fil-livell tal-UE, il-Kummissjoni se tagħti spinta ġdida lill-</w:t>
      </w:r>
      <w:r>
        <w:rPr>
          <w:b/>
        </w:rPr>
        <w:t>Alleanza Ewropea għall-Apprendistati</w:t>
      </w:r>
      <w:r>
        <w:t xml:space="preserve"> biex tiżgura li l-apprendistati jaqdu r-rwol tagħhom fl-irkupru tas-suq tax-xogħol. Il-Kummissjoni sserraħ fuq l-isforzi kontinwi tal-Parlament Ewropew u tal-Kunsill, u tipproponi li tiddiskuti l-appoġġ imsaħħaħ għall-impjieg taż-żgħażagħ mat-tnejn li huma. Dan huwa sforz konġunt – għall-benefiċċju tal-ġenerazzjoni li jmiss.</w:t>
      </w:r>
    </w:p>
    <w:sectPr w:rsidR="00862951" w:rsidRPr="000F7C71">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51" w:rsidRDefault="000F7C71">
      <w:pPr>
        <w:spacing w:after="0" w:line="240" w:lineRule="auto"/>
      </w:pPr>
      <w:r>
        <w:separator/>
      </w:r>
    </w:p>
  </w:endnote>
  <w:endnote w:type="continuationSeparator" w:id="0">
    <w:p w:rsidR="00862951" w:rsidRDefault="000F7C71">
      <w:pPr>
        <w:spacing w:after="0" w:line="240" w:lineRule="auto"/>
      </w:pPr>
      <w:r>
        <w:continuationSeparator/>
      </w:r>
    </w:p>
  </w:endnote>
  <w:endnote w:type="continuationNotice" w:id="1">
    <w:p w:rsidR="00862951" w:rsidRDefault="00862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3B" w:rsidRPr="00B0373B" w:rsidRDefault="00B0373B" w:rsidP="00B03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3B" w:rsidRPr="00B0373B" w:rsidRDefault="00B0373B" w:rsidP="00B0373B">
    <w:pPr>
      <w:pStyle w:val="FooterCoverPage"/>
      <w:rPr>
        <w:rFonts w:ascii="Arial" w:hAnsi="Arial" w:cs="Arial"/>
        <w:b/>
        <w:sz w:val="48"/>
      </w:rPr>
    </w:pPr>
    <w:r w:rsidRPr="00B0373B">
      <w:rPr>
        <w:rFonts w:ascii="Arial" w:hAnsi="Arial" w:cs="Arial"/>
        <w:b/>
        <w:sz w:val="48"/>
      </w:rPr>
      <w:t>MT</w:t>
    </w:r>
    <w:r w:rsidRPr="00B0373B">
      <w:rPr>
        <w:rFonts w:ascii="Arial" w:hAnsi="Arial" w:cs="Arial"/>
        <w:b/>
        <w:sz w:val="48"/>
      </w:rPr>
      <w:tab/>
    </w:r>
    <w:r w:rsidRPr="00B0373B">
      <w:rPr>
        <w:rFonts w:ascii="Arial" w:hAnsi="Arial" w:cs="Arial"/>
        <w:b/>
        <w:sz w:val="48"/>
      </w:rPr>
      <w:tab/>
    </w:r>
    <w:r w:rsidRPr="00B0373B">
      <w:tab/>
    </w:r>
    <w:r w:rsidRPr="00B0373B">
      <w:rPr>
        <w:rFonts w:ascii="Arial" w:hAnsi="Arial" w:cs="Arial"/>
        <w:b/>
        <w:sz w:val="48"/>
      </w:rPr>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3B" w:rsidRPr="00B0373B" w:rsidRDefault="00B0373B" w:rsidP="00B0373B">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20"/>
        <w:szCs w:val="20"/>
      </w:rPr>
      <w:id w:val="1196273067"/>
      <w:docPartObj>
        <w:docPartGallery w:val="Page Numbers (Bottom of Page)"/>
        <w:docPartUnique/>
      </w:docPartObj>
    </w:sdtPr>
    <w:sdtEndPr>
      <w:rPr>
        <w:noProof/>
      </w:rPr>
    </w:sdtEndPr>
    <w:sdtContent>
      <w:p w:rsidR="00862951" w:rsidRDefault="000F7C71">
        <w:pPr>
          <w:pStyle w:val="Footer"/>
          <w:jc w:val="center"/>
          <w:rPr>
            <w:rFonts w:cs="Times New Roman"/>
            <w:sz w:val="20"/>
            <w:szCs w:val="20"/>
          </w:rPr>
        </w:pPr>
        <w:r>
          <w:rPr>
            <w:rFonts w:cs="Times New Roman"/>
            <w:sz w:val="20"/>
            <w:szCs w:val="20"/>
          </w:rPr>
          <w:fldChar w:fldCharType="begin"/>
        </w:r>
        <w:r>
          <w:rPr>
            <w:rFonts w:cs="Times New Roman"/>
            <w:sz w:val="20"/>
            <w:szCs w:val="20"/>
          </w:rPr>
          <w:instrText xml:space="preserve"> PAGE   \* MERGEFORMAT </w:instrText>
        </w:r>
        <w:r>
          <w:rPr>
            <w:rFonts w:cs="Times New Roman"/>
            <w:sz w:val="20"/>
            <w:szCs w:val="20"/>
          </w:rPr>
          <w:fldChar w:fldCharType="separate"/>
        </w:r>
        <w:r w:rsidR="00B0373B">
          <w:rPr>
            <w:rFonts w:cs="Times New Roman"/>
            <w:noProof/>
            <w:sz w:val="20"/>
            <w:szCs w:val="20"/>
          </w:rPr>
          <w:t>1</w:t>
        </w:r>
        <w:r>
          <w:rPr>
            <w:rFonts w:cs="Times New Roman"/>
            <w:sz w:val="20"/>
            <w:szCs w:val="20"/>
          </w:rPr>
          <w:fldChar w:fldCharType="end"/>
        </w:r>
      </w:p>
    </w:sdtContent>
  </w:sdt>
  <w:p w:rsidR="00862951" w:rsidRDefault="00862951">
    <w:pPr>
      <w:pStyle w:val="Footer"/>
      <w:rPr>
        <w:rFonts w:cs="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51" w:rsidRDefault="000F7C71">
      <w:pPr>
        <w:spacing w:after="0" w:line="240" w:lineRule="auto"/>
      </w:pPr>
      <w:r>
        <w:separator/>
      </w:r>
    </w:p>
  </w:footnote>
  <w:footnote w:type="continuationSeparator" w:id="0">
    <w:p w:rsidR="00862951" w:rsidRDefault="000F7C71">
      <w:pPr>
        <w:spacing w:after="0" w:line="240" w:lineRule="auto"/>
      </w:pPr>
      <w:r>
        <w:continuationSeparator/>
      </w:r>
    </w:p>
  </w:footnote>
  <w:footnote w:type="continuationNotice" w:id="1">
    <w:p w:rsidR="00862951" w:rsidRDefault="00862951">
      <w:pPr>
        <w:spacing w:after="0" w:line="240" w:lineRule="auto"/>
      </w:pPr>
    </w:p>
  </w:footnote>
  <w:footnote w:id="2">
    <w:p w:rsidR="00862951" w:rsidRDefault="000F7C71">
      <w:pPr>
        <w:pStyle w:val="FootnoteText"/>
        <w:rPr>
          <w:rFonts w:cs="Times New Roman"/>
        </w:rPr>
      </w:pPr>
      <w:r>
        <w:rPr>
          <w:rStyle w:val="FootnoteReference"/>
          <w:rFonts w:cs="Times New Roman"/>
        </w:rPr>
        <w:footnoteRef/>
      </w:r>
      <w:r>
        <w:t xml:space="preserve"> </w:t>
      </w:r>
      <w:r>
        <w:tab/>
        <w:t>Diskors mill-President von der Leyen fil-Parlament Ewropew, 27 ta’ Mejju 2020.</w:t>
      </w:r>
    </w:p>
  </w:footnote>
  <w:footnote w:id="3">
    <w:p w:rsidR="00862951" w:rsidRDefault="000F7C71">
      <w:pPr>
        <w:pStyle w:val="FootnoteText"/>
        <w:rPr>
          <w:rFonts w:cs="Times New Roman"/>
        </w:rPr>
      </w:pPr>
      <w:r>
        <w:rPr>
          <w:rStyle w:val="FootnoteReference"/>
          <w:rFonts w:cs="Times New Roman"/>
        </w:rPr>
        <w:footnoteRef/>
      </w:r>
      <w:r>
        <w:t xml:space="preserve"> </w:t>
      </w:r>
      <w:r>
        <w:tab/>
        <w:t>Il-Komunikazzjoni dwar “Ewropa Soċjali b’Saħħitha għal Tranżizzjonijiet Ġusti,” COM(2020)14 final.</w:t>
      </w:r>
    </w:p>
  </w:footnote>
  <w:footnote w:id="4">
    <w:p w:rsidR="00862951" w:rsidRDefault="000F7C71">
      <w:pPr>
        <w:pStyle w:val="FootnoteText"/>
        <w:rPr>
          <w:rFonts w:cs="Times New Roman"/>
        </w:rPr>
      </w:pPr>
      <w:r>
        <w:rPr>
          <w:rStyle w:val="FootnoteReference"/>
          <w:rFonts w:cs="Times New Roman"/>
        </w:rPr>
        <w:footnoteRef/>
      </w:r>
      <w:r>
        <w:t xml:space="preserve"> </w:t>
      </w:r>
      <w:r>
        <w:tab/>
        <w:t>Il-Kummissjoni Ewropea (2020), Tbassir Ekonomiku Ewropew, Rebbiegħa 2020.</w:t>
      </w:r>
    </w:p>
  </w:footnote>
  <w:footnote w:id="5">
    <w:p w:rsidR="00862951" w:rsidRDefault="000F7C71">
      <w:pPr>
        <w:pStyle w:val="FootnoteText"/>
        <w:rPr>
          <w:rFonts w:cs="Times New Roman"/>
        </w:rPr>
      </w:pPr>
      <w:r>
        <w:rPr>
          <w:rStyle w:val="FootnoteReference"/>
          <w:rFonts w:cs="Times New Roman"/>
        </w:rPr>
        <w:footnoteRef/>
      </w:r>
      <w:r>
        <w:t xml:space="preserve"> </w:t>
      </w:r>
      <w:r>
        <w:tab/>
        <w:t>ILO (2020), Prevenzjoni tal-esklużjoni mis-suq tax-xogħol: L-indirizzar tal-kriżi tal-impjieg taż-żgħażagħ minħabba l-COVID-19.</w:t>
      </w:r>
    </w:p>
  </w:footnote>
  <w:footnote w:id="6">
    <w:p w:rsidR="00862951" w:rsidRDefault="000F7C71">
      <w:pPr>
        <w:pStyle w:val="FootnoteText"/>
        <w:rPr>
          <w:rFonts w:cs="Times New Roman"/>
        </w:rPr>
      </w:pPr>
      <w:r>
        <w:rPr>
          <w:rStyle w:val="FootnoteReference"/>
          <w:rFonts w:cs="Times New Roman"/>
        </w:rPr>
        <w:footnoteRef/>
      </w:r>
      <w:r>
        <w:t xml:space="preserve"> </w:t>
      </w:r>
      <w:r>
        <w:tab/>
        <w:t>ILO (2020), Monitor tal-ILO: COVID-19 u d-dinja tax-xogħol (ir-Raba’ edizzjoni).</w:t>
      </w:r>
    </w:p>
  </w:footnote>
  <w:footnote w:id="7">
    <w:p w:rsidR="00862951" w:rsidRDefault="000F7C71">
      <w:pPr>
        <w:pStyle w:val="FootnoteText"/>
        <w:rPr>
          <w:rFonts w:cs="Times New Roman"/>
        </w:rPr>
      </w:pPr>
      <w:r>
        <w:rPr>
          <w:rStyle w:val="FootnoteReference"/>
          <w:rFonts w:cs="Times New Roman"/>
        </w:rPr>
        <w:footnoteRef/>
      </w:r>
      <w:r>
        <w:t xml:space="preserve"> </w:t>
      </w:r>
      <w:r>
        <w:tab/>
        <w:t xml:space="preserve">McKinsey &amp; Company (2020), Salvagwardja tal-għajxien tal-Ewropa: mitigazzjoni tal-impatt tal-impjiegi tal-COVID-19. </w:t>
      </w:r>
    </w:p>
  </w:footnote>
  <w:footnote w:id="8">
    <w:p w:rsidR="00862951" w:rsidRDefault="000F7C71">
      <w:pPr>
        <w:pStyle w:val="FootnoteText"/>
        <w:rPr>
          <w:rFonts w:cs="Times New Roman"/>
        </w:rPr>
      </w:pPr>
      <w:r>
        <w:rPr>
          <w:rStyle w:val="FootnoteReference"/>
          <w:rFonts w:cs="Times New Roman"/>
        </w:rPr>
        <w:footnoteRef/>
      </w:r>
      <w:r>
        <w:t xml:space="preserve"> </w:t>
      </w:r>
      <w:r>
        <w:tab/>
      </w:r>
      <w:r>
        <w:rPr>
          <w:rStyle w:val="Emphasis"/>
          <w:i w:val="0"/>
        </w:rPr>
        <w:t xml:space="preserve">ĠU L 159, 20.5.2020, </w:t>
      </w:r>
      <w:r>
        <w:t xml:space="preserve">Proposta mill-Kummissjoni fit-2 ta’ April 2020. </w:t>
      </w:r>
    </w:p>
  </w:footnote>
  <w:footnote w:id="9">
    <w:p w:rsidR="00862951" w:rsidRDefault="000F7C71">
      <w:pPr>
        <w:pStyle w:val="FootnoteText"/>
        <w:rPr>
          <w:rFonts w:cs="Times New Roman"/>
        </w:rPr>
      </w:pPr>
      <w:r>
        <w:rPr>
          <w:rStyle w:val="FootnoteReference"/>
          <w:rFonts w:cs="Times New Roman"/>
        </w:rPr>
        <w:footnoteRef/>
      </w:r>
      <w:r>
        <w:t xml:space="preserve"> </w:t>
      </w:r>
      <w:r>
        <w:tab/>
        <w:t>COM(2020)441 final/2.</w:t>
      </w:r>
    </w:p>
  </w:footnote>
  <w:footnote w:id="10">
    <w:p w:rsidR="00862951" w:rsidRDefault="000F7C71">
      <w:pPr>
        <w:pStyle w:val="FootnoteText"/>
        <w:rPr>
          <w:rFonts w:cs="Times New Roman"/>
        </w:rPr>
      </w:pPr>
      <w:r>
        <w:rPr>
          <w:rStyle w:val="FootnoteReference"/>
          <w:rFonts w:cs="Times New Roman"/>
        </w:rPr>
        <w:footnoteRef/>
      </w:r>
      <w:r>
        <w:t xml:space="preserve"> </w:t>
      </w:r>
      <w:r>
        <w:tab/>
        <w:t>Dan jirrikjedi l-għoti ta’ trattament ugwali għall-persuni kollha irrispettivament mill-ġeneru, l-oriġini razzjali jew etnika, ir-reliġjon jew it-twemmin, id-diżabbiltà, l-età jew l-orjentazzjoni sesswali, u persuni bi sfond ta’ migrazzjoni. Barra minn hekk, dan huwa marbut mar-riflessjoni kontinwa dwar it-tibdil demografiku, li tindirizza l-eżodu tal-imħuħ u t-tnaqqis fil-popolazzjoni fir-reġjuni li huma partikolarment affettwati minn dan il-fenomenu (COM (2020) 241 final).</w:t>
      </w:r>
    </w:p>
  </w:footnote>
  <w:footnote w:id="11">
    <w:p w:rsidR="00862951" w:rsidRDefault="000F7C71">
      <w:pPr>
        <w:pStyle w:val="FootnoteText"/>
      </w:pPr>
      <w:r>
        <w:rPr>
          <w:rStyle w:val="FootnoteReference"/>
        </w:rPr>
        <w:footnoteRef/>
      </w:r>
      <w:r>
        <w:t xml:space="preserve"> </w:t>
      </w:r>
      <w:r>
        <w:tab/>
        <w:t>Skont l-ANED bl-użu tad-</w:t>
      </w:r>
      <w:r>
        <w:rPr>
          <w:i/>
          <w:iCs/>
        </w:rPr>
        <w:t>data</w:t>
      </w:r>
      <w:r>
        <w:t xml:space="preserve"> Silc tal-2016, ir-rata ta' impjieg taż-żgħażagħ b'diżabilità bejn l-età ta' 20 u 29 sena kienet ftit inqas minn 45 % u d-differenza fl-impjiegi fir-rigward taż-żgħażagħ mingħajr diżabilità żdiedet bejn l-2008 u l-2016.</w:t>
      </w:r>
    </w:p>
  </w:footnote>
  <w:footnote w:id="12">
    <w:p w:rsidR="00862951" w:rsidRDefault="000F7C71">
      <w:pPr>
        <w:pStyle w:val="FootnoteText"/>
        <w:rPr>
          <w:rFonts w:cs="Times New Roman"/>
        </w:rPr>
      </w:pPr>
      <w:r>
        <w:rPr>
          <w:rStyle w:val="FootnoteReference"/>
          <w:rFonts w:cs="Times New Roman"/>
        </w:rPr>
        <w:footnoteRef/>
      </w:r>
      <w:r>
        <w:t xml:space="preserve"> </w:t>
      </w:r>
      <w:r>
        <w:tab/>
        <w:t>COM(2020) 274 final. Din il-Komunikazzjoni hija kkumplimentata mill-proposti li ġejjin tal-Kummissjoni dwar il-Pjan ta’ Azzjoni għall-Edukazzjoni Diġitali u ż-Żona Ewropea tal-Edukazzjoni, dawn l-inizjattivi se jiffurmaw tweġiba olistika għall-isfidi li qed tiffaċċja l-ġenerazzjoni li jmiss tagħna.</w:t>
      </w:r>
    </w:p>
  </w:footnote>
  <w:footnote w:id="13">
    <w:p w:rsidR="00862951" w:rsidRDefault="000F7C71">
      <w:pPr>
        <w:pStyle w:val="FootnoteText"/>
        <w:rPr>
          <w:rFonts w:cs="Times New Roman"/>
        </w:rPr>
      </w:pPr>
      <w:r>
        <w:rPr>
          <w:rStyle w:val="FootnoteReference"/>
          <w:rFonts w:cs="Times New Roman"/>
        </w:rPr>
        <w:footnoteRef/>
      </w:r>
      <w:r>
        <w:t xml:space="preserve"> Il-punti ta' kuntatt lokali għall-introduzzjoni tal-Garanzija għaż-Żgħażagħ jinsabu fuq Europa: </w:t>
      </w:r>
      <w:hyperlink r:id="rId1" w:history="1">
        <w:r>
          <w:rPr>
            <w:rStyle w:val="Hyperlink"/>
            <w:color w:val="auto"/>
          </w:rPr>
          <w:t>https://ec.europa.eu/social/main.jsp?catId=1218&amp;langId=mt</w:t>
        </w:r>
      </w:hyperlink>
      <w:r>
        <w:t>.</w:t>
      </w:r>
    </w:p>
  </w:footnote>
  <w:footnote w:id="14">
    <w:p w:rsidR="00862951" w:rsidRDefault="000F7C71">
      <w:pPr>
        <w:pStyle w:val="FootnoteText"/>
        <w:rPr>
          <w:rFonts w:cs="Times New Roman"/>
        </w:rPr>
      </w:pPr>
      <w:r>
        <w:rPr>
          <w:rStyle w:val="FootnoteReference"/>
          <w:rFonts w:cs="Times New Roman"/>
        </w:rPr>
        <w:footnoteRef/>
      </w:r>
      <w:r>
        <w:t xml:space="preserve"> </w:t>
      </w:r>
      <w:r>
        <w:tab/>
        <w:t>COM(2020) 277 final.</w:t>
      </w:r>
    </w:p>
  </w:footnote>
  <w:footnote w:id="15">
    <w:p w:rsidR="00862951" w:rsidRDefault="000F7C71">
      <w:pPr>
        <w:pStyle w:val="FootnoteText"/>
      </w:pPr>
      <w:r>
        <w:rPr>
          <w:rStyle w:val="FootnoteReference"/>
          <w:rFonts w:cs="Times New Roman"/>
        </w:rPr>
        <w:footnoteRef/>
      </w:r>
      <w:r>
        <w:t xml:space="preserve"> </w:t>
      </w:r>
      <w:r>
        <w:tab/>
        <w:t>Matul ir-reċessjoni ekonomika li ġabet magħha l-kriżi finanzjarja u ekonomika globali, il-VET ta prova li kien parti essenzjali mill-isforzi ta' appoġġ għall-impjieg taż-żgħażagħ. B'mod partikolari l-apprendistati u l-programmi tal-VET fuq perjodu qasir immirati lejn dawk qiegħda rnexxielhom iżidu l-impjegabbiltà.</w:t>
      </w:r>
    </w:p>
  </w:footnote>
  <w:footnote w:id="16">
    <w:p w:rsidR="00862951" w:rsidRDefault="000F7C71">
      <w:pPr>
        <w:pStyle w:val="FootnoteText"/>
        <w:rPr>
          <w:rFonts w:cs="Times New Roman"/>
        </w:rPr>
      </w:pPr>
      <w:r>
        <w:rPr>
          <w:rStyle w:val="FootnoteReference"/>
          <w:rFonts w:cs="Times New Roman"/>
        </w:rPr>
        <w:footnoteRef/>
      </w:r>
      <w:r>
        <w:t xml:space="preserve"> </w:t>
      </w:r>
      <w:r>
        <w:tab/>
        <w:t>Cedefop (2020), Il-pajjiżi Ewropej kif qed imexxu l-apprendistati biex jirrispondu għall-kriżi tal-COVID19? Rapport ta' sinteżi bbażat fuq informazzjoni pprovduta mill-komunità tas-Cedefop tal-esperti tal-apprendistat.</w:t>
      </w:r>
    </w:p>
  </w:footnote>
  <w:footnote w:id="17">
    <w:p w:rsidR="00862951" w:rsidRDefault="000F7C71">
      <w:pPr>
        <w:pStyle w:val="FootnoteText"/>
        <w:rPr>
          <w:rFonts w:cs="Times New Roman"/>
        </w:rPr>
      </w:pPr>
      <w:r>
        <w:rPr>
          <w:rStyle w:val="FootnoteReference"/>
          <w:rFonts w:cs="Times New Roman"/>
        </w:rPr>
        <w:footnoteRef/>
      </w:r>
      <w:r>
        <w:t xml:space="preserve"> </w:t>
      </w:r>
      <w:r>
        <w:tab/>
        <w:t>COM(2020) 275 final.</w:t>
      </w:r>
    </w:p>
  </w:footnote>
  <w:footnote w:id="18">
    <w:p w:rsidR="00862951" w:rsidRDefault="000F7C71">
      <w:pPr>
        <w:pStyle w:val="FootnoteText"/>
        <w:rPr>
          <w:rFonts w:cs="Times New Roman"/>
        </w:rPr>
      </w:pPr>
      <w:r>
        <w:rPr>
          <w:rStyle w:val="FootnoteReference"/>
          <w:rFonts w:cs="Times New Roman"/>
        </w:rPr>
        <w:footnoteRef/>
      </w:r>
      <w:r>
        <w:t xml:space="preserve"> </w:t>
      </w:r>
      <w:r>
        <w:tab/>
        <w:t xml:space="preserve">L-Alleanza ssaħħaħ il-kwalità, il-provvista u l-immaġni ġenerali tal-apprendistati madwar l-Ewropa, filwaqt li tippromwovi wkoll il-mobbiltà tal-apprendisti. Dawn l-għanijiet huma promossi permezz ta’ impenji nazzjonali u wegħdiet volontarji mill-partijiet ikkonċernati. </w:t>
      </w:r>
    </w:p>
  </w:footnote>
  <w:footnote w:id="19">
    <w:p w:rsidR="00862951" w:rsidRDefault="000F7C71">
      <w:pPr>
        <w:pStyle w:val="FootnoteText"/>
        <w:rPr>
          <w:rFonts w:cs="Times New Roman"/>
        </w:rPr>
      </w:pPr>
      <w:r>
        <w:rPr>
          <w:rStyle w:val="FootnoteReference"/>
          <w:rFonts w:cs="Times New Roman"/>
        </w:rPr>
        <w:footnoteRef/>
      </w:r>
      <w:r>
        <w:t xml:space="preserve"> </w:t>
      </w:r>
      <w:r>
        <w:tab/>
        <w:t>Bħal setturi li jikkontribwixxu għal ekonomija ċirkolari, l-ekonomija blu, il-bini u r-rinnovazzjoni sostenibbli tal-bini, l-agrikoltura, il-mobbiltà intelliġenti u l-enerġija.</w:t>
      </w:r>
    </w:p>
  </w:footnote>
  <w:footnote w:id="20">
    <w:p w:rsidR="00862951" w:rsidRDefault="000F7C71">
      <w:pPr>
        <w:tabs>
          <w:tab w:val="left" w:pos="284"/>
        </w:tabs>
        <w:spacing w:after="0" w:line="240" w:lineRule="auto"/>
        <w:ind w:left="284" w:hanging="284"/>
        <w:rPr>
          <w:rFonts w:cs="Times New Roman"/>
        </w:rPr>
      </w:pPr>
      <w:r>
        <w:rPr>
          <w:rStyle w:val="FootnoteReference"/>
          <w:rFonts w:cs="Times New Roman"/>
          <w:sz w:val="20"/>
          <w:szCs w:val="20"/>
        </w:rPr>
        <w:footnoteRef/>
      </w:r>
      <w:r>
        <w:rPr>
          <w:sz w:val="20"/>
          <w:szCs w:val="20"/>
        </w:rPr>
        <w:t xml:space="preserve"> </w:t>
      </w:r>
      <w:r>
        <w:tab/>
      </w:r>
      <w:r>
        <w:rPr>
          <w:sz w:val="20"/>
          <w:szCs w:val="20"/>
        </w:rPr>
        <w:t>L-Alleanza mġedda se tkun inkorporata fil-Patt għall-Ħiliet bħala parti mill-Aġenda għall-Ħiliet għall-Ewropa għall-kompetittività sostenibbli, il-ġustizzja soċjali u r-reżiljenza.</w:t>
      </w:r>
    </w:p>
  </w:footnote>
  <w:footnote w:id="21">
    <w:p w:rsidR="00862951" w:rsidRDefault="000F7C71">
      <w:pPr>
        <w:pStyle w:val="FootnoteText"/>
        <w:rPr>
          <w:rFonts w:cs="Times New Roman"/>
          <w:highlight w:val="yellow"/>
        </w:rPr>
      </w:pPr>
      <w:r>
        <w:rPr>
          <w:rStyle w:val="FootnoteReference"/>
          <w:rFonts w:cs="Times New Roman"/>
        </w:rPr>
        <w:footnoteRef/>
      </w:r>
      <w:r>
        <w:t xml:space="preserve"> </w:t>
      </w:r>
      <w:r>
        <w:tab/>
        <w:t>Il-Kummissjoni Ewropea (2020), in-Netwerk Ewropea tas-Servizzi Pubbliċi tal-Impjiegi: Miżuri u attivitajiet tal-PES li jirrispondu għal Covid-19.</w:t>
      </w:r>
    </w:p>
  </w:footnote>
  <w:footnote w:id="22">
    <w:p w:rsidR="00862951" w:rsidRDefault="000F7C71">
      <w:pPr>
        <w:pStyle w:val="FootnoteText"/>
        <w:rPr>
          <w:rFonts w:cs="Times New Roman"/>
        </w:rPr>
      </w:pPr>
      <w:r>
        <w:rPr>
          <w:rStyle w:val="FootnoteReference"/>
          <w:rFonts w:cs="Times New Roman"/>
        </w:rPr>
        <w:footnoteRef/>
      </w:r>
      <w:r>
        <w:t xml:space="preserve"> </w:t>
      </w:r>
      <w:r>
        <w:tab/>
        <w:t>Barra minn hekk, il-Pjan ta’ Azzjoni se jesplora kif jistgħu jittejbu l-ħiliet intraprenditorjali taż-żgħażagħ fl-organizzazzjonijiet tal-ekonomija soċjali u l-intrapriżi soċjali, abbażi wkoll tal-esperjenzi tal-programm “Erasmus għall-Intraprendituri Żgħażagħ” u l-azzjonijiet appoġġati mill-FSE+.</w:t>
      </w:r>
    </w:p>
  </w:footnote>
  <w:footnote w:id="23">
    <w:p w:rsidR="00862951" w:rsidRDefault="000F7C71">
      <w:pPr>
        <w:pStyle w:val="FootnoteText"/>
        <w:rPr>
          <w:rFonts w:cs="Times New Roman"/>
        </w:rPr>
      </w:pPr>
      <w:r>
        <w:rPr>
          <w:rStyle w:val="FootnoteReference"/>
          <w:rFonts w:cs="Times New Roman"/>
        </w:rPr>
        <w:footnoteRef/>
      </w:r>
      <w:r>
        <w:t xml:space="preserve"> </w:t>
      </w:r>
      <w:r>
        <w:tab/>
        <w:t>L-ammonti kollha huma fi prezzijiet tal-2018, ħlief għall-EUR 5 biljun ta’ REACT-UE għall-2020.</w:t>
      </w:r>
    </w:p>
  </w:footnote>
  <w:footnote w:id="24">
    <w:p w:rsidR="00862951" w:rsidRDefault="000F7C71">
      <w:pPr>
        <w:pStyle w:val="FootnoteText"/>
        <w:rPr>
          <w:rFonts w:cs="Times New Roman"/>
        </w:rPr>
      </w:pPr>
      <w:r>
        <w:rPr>
          <w:rStyle w:val="FootnoteReference"/>
          <w:rFonts w:cs="Times New Roman"/>
        </w:rPr>
        <w:footnoteRef/>
      </w:r>
      <w:r>
        <w:t xml:space="preserve"> </w:t>
      </w:r>
      <w:r>
        <w:tab/>
        <w:t>Iffinanzjat mir-rikavat ta' Next Generation EU għal wara l-2020 u bl-adattament tal-qafas finanzjarju attwali għall-2020.</w:t>
      </w:r>
    </w:p>
  </w:footnote>
  <w:footnote w:id="25">
    <w:p w:rsidR="00862951" w:rsidRDefault="000F7C71">
      <w:pPr>
        <w:pStyle w:val="FootnoteText"/>
        <w:rPr>
          <w:rFonts w:cs="Times New Roman"/>
        </w:rPr>
      </w:pPr>
      <w:r>
        <w:rPr>
          <w:rStyle w:val="FootnoteReference"/>
          <w:rFonts w:cs="Times New Roman"/>
        </w:rPr>
        <w:footnoteRef/>
      </w:r>
      <w:r>
        <w:t xml:space="preserve"> </w:t>
      </w:r>
      <w:r>
        <w:tab/>
        <w:t>Sakemm jiġu approvati mill-Kunsill, il-proposti tal-Kummissjoni għar-rakkomandazzjonijiet speċifiċi għall-pajjiż għall-2020, fil-kuntest tas-Semestru Ewropew, poġġew enfasi qawwija fuq it-tisħiħ tal-politiki attivi tas-suq tax-xogħol (ALMPs) u t-titjib tal-ħiliet, b’mod partikolari għaż-żgħażagħ. Il-Kummissjoni pproponiet 19-il rakkomandazzjoni dwar l-ALMPs u s-servizzi tal-impjiegi, kif ukoll 22 rakkomandazzjoni dwar it-trawwim tal-iżvilupp tal-ħiliet, l-aċċess ugwali għal edukazzjoni u taħriġ ta' kwalità u tagħlim diġitali. Dawn ir-rakkomandazzjonijiet speċifiċi għall-pajjiż se jipprovdu direzzjoni kruċjali għar-riformi rilevanti.</w:t>
      </w:r>
    </w:p>
  </w:footnote>
  <w:footnote w:id="26">
    <w:p w:rsidR="00862951" w:rsidRDefault="000F7C71">
      <w:pPr>
        <w:pStyle w:val="FootnoteText"/>
        <w:rPr>
          <w:rFonts w:cs="Times New Roman"/>
        </w:rPr>
      </w:pPr>
      <w:r>
        <w:rPr>
          <w:rStyle w:val="FootnoteReference"/>
          <w:rFonts w:cs="Times New Roman"/>
        </w:rPr>
        <w:footnoteRef/>
      </w:r>
      <w:r>
        <w:t xml:space="preserve"> </w:t>
      </w:r>
      <w:r>
        <w:tab/>
        <w:t>Il-Kummissjoni pproponiet li l-Istati Membri b'rata ta’ żgħażagħ barra mill-impjieg, edukazzjoni jew taħriġ ogħla mill-medja tal-UE jiddedikaw 15 % (minflok l-10 % propost aktar kmieni) tal-Fond Soċjali Ewropew Plus għall-miżuri tal-impjieg taż-żgħażagħ. Fil-kuntest tal-appoġġ għall-offerti ta’ impjiegi, l-edukazzjoni kontinwa, l-apprendistati u l-iskemi ta’ taħriġ, se jkun importanti li l-mira tkun li jinkiseb bilanċ aħjar bejn l-erba’ tipi disponibbli.</w:t>
      </w:r>
    </w:p>
  </w:footnote>
  <w:footnote w:id="27">
    <w:p w:rsidR="00862951" w:rsidRDefault="000F7C71">
      <w:pPr>
        <w:pStyle w:val="FootnoteText"/>
        <w:rPr>
          <w:rFonts w:cs="Times New Roman"/>
        </w:rPr>
      </w:pPr>
      <w:r>
        <w:rPr>
          <w:rStyle w:val="FootnoteReference"/>
          <w:rFonts w:cs="Times New Roman"/>
        </w:rPr>
        <w:footnoteRef/>
      </w:r>
      <w:r>
        <w:t xml:space="preserve"> </w:t>
      </w:r>
      <w:r>
        <w:tab/>
        <w:t>Barra minn hekk, Erasmus+ se jżid b'mod sostanzjali l-opportunitajiet għat-tagħlim u t-taħriġ barra mill-pajjiż għaż-żgħażagħ, l-għalliema u l-ħarrieġa, inkluż fl-edukazzjoni u t-taħriġ vokazzjonali. Il-Politika Agrikola Komuni se tkompli tappoġġa, b’sett imtejjeb ta’ strumenti, liż-żgħażagħ li jixtiequ jinvolvu ruħhom fl-agrikoltura u ż-żgħażagħ li jgħixu f’żoni rurali. Il-Programm Ewropa Diġitali u l-Programm għas-Suq Uniku se jgħinu fil-finanzjament tal-objettiv li jitrawwem l-impjieg taż-żgħażagħ, b’mod partikolari permezz ta’ azzjonijiet immirati lejn il-kisba ta’ ħiliet diġitali u l-promozzjoni tal-intraprenditorija għaż-żgħażagħ.</w:t>
      </w:r>
    </w:p>
  </w:footnote>
  <w:footnote w:id="28">
    <w:p w:rsidR="00862951" w:rsidRDefault="000F7C71">
      <w:pPr>
        <w:pStyle w:val="FootnoteText"/>
      </w:pPr>
      <w:r>
        <w:rPr>
          <w:rStyle w:val="FootnoteReference"/>
        </w:rPr>
        <w:footnoteRef/>
      </w:r>
      <w:r>
        <w:t xml:space="preserve"> </w:t>
      </w:r>
      <w:r>
        <w:tab/>
        <w:t>COM(2020) 409 final.</w:t>
      </w:r>
    </w:p>
  </w:footnote>
  <w:footnote w:id="29">
    <w:p w:rsidR="00862951" w:rsidRDefault="000F7C71">
      <w:pPr>
        <w:pStyle w:val="FootnoteText"/>
      </w:pPr>
      <w:r>
        <w:rPr>
          <w:rStyle w:val="FootnoteReference"/>
        </w:rPr>
        <w:footnoteRef/>
      </w:r>
      <w:r>
        <w:t xml:space="preserve"> </w:t>
      </w:r>
      <w:r>
        <w:tab/>
        <w:t>Dan jinkludi investimenti mill-Fond Soċjali Ewropew u l-Inizjattiva favur l-Impjieg taż-Żgħażagħ, inkluż kofinanzjament nazzjonali.</w:t>
      </w:r>
    </w:p>
  </w:footnote>
  <w:footnote w:id="30">
    <w:p w:rsidR="00862951" w:rsidRDefault="000F7C71">
      <w:pPr>
        <w:pStyle w:val="FootnoteText"/>
        <w:rPr>
          <w:rFonts w:cs="Times New Roman"/>
        </w:rPr>
      </w:pPr>
      <w:r>
        <w:rPr>
          <w:rStyle w:val="FootnoteReference"/>
          <w:rFonts w:cs="Times New Roman"/>
        </w:rPr>
        <w:footnoteRef/>
      </w:r>
      <w:r>
        <w:t xml:space="preserve"> </w:t>
      </w:r>
      <w:r>
        <w:tab/>
        <w:t>Programmi fil-livelli tal-Qafas Ewropew tal-Kwalifiki (QEK) minn 5 sa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3B" w:rsidRPr="00B0373B" w:rsidRDefault="00B0373B" w:rsidP="00B03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3B" w:rsidRPr="00B0373B" w:rsidRDefault="00B0373B" w:rsidP="00B0373B">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3B" w:rsidRPr="00B0373B" w:rsidRDefault="00B0373B" w:rsidP="00B0373B">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8F9"/>
    <w:multiLevelType w:val="hybridMultilevel"/>
    <w:tmpl w:val="B5AAE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17060"/>
    <w:multiLevelType w:val="hybridMultilevel"/>
    <w:tmpl w:val="1B0E6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0B38A5"/>
    <w:multiLevelType w:val="hybridMultilevel"/>
    <w:tmpl w:val="47BEB834"/>
    <w:lvl w:ilvl="0" w:tplc="A996902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BA5D71"/>
    <w:multiLevelType w:val="hybridMultilevel"/>
    <w:tmpl w:val="9D9C1074"/>
    <w:lvl w:ilvl="0" w:tplc="919E089E">
      <w:start w:val="1"/>
      <w:numFmt w:val="bullet"/>
      <w:lvlText w:val=""/>
      <w:lvlJc w:val="left"/>
      <w:pPr>
        <w:ind w:left="720" w:hanging="360"/>
      </w:pPr>
      <w:rPr>
        <w:rFonts w:ascii="Wingdings" w:eastAsiaTheme="minorHAnsi" w:hAnsi="Wingding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C0875"/>
    <w:multiLevelType w:val="hybridMultilevel"/>
    <w:tmpl w:val="1E6C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C0812"/>
    <w:multiLevelType w:val="hybridMultilevel"/>
    <w:tmpl w:val="86446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583EF3"/>
    <w:multiLevelType w:val="hybridMultilevel"/>
    <w:tmpl w:val="583E95D4"/>
    <w:lvl w:ilvl="0" w:tplc="66EE178E">
      <w:start w:val="1"/>
      <w:numFmt w:val="bullet"/>
      <w:lvlText w:val=""/>
      <w:lvlJc w:val="left"/>
      <w:pPr>
        <w:tabs>
          <w:tab w:val="num" w:pos="720"/>
        </w:tabs>
        <w:ind w:left="720" w:hanging="360"/>
      </w:pPr>
      <w:rPr>
        <w:rFonts w:ascii="Wingdings" w:hAnsi="Wingdings" w:hint="default"/>
      </w:rPr>
    </w:lvl>
    <w:lvl w:ilvl="1" w:tplc="29F87424">
      <w:start w:val="1"/>
      <w:numFmt w:val="bullet"/>
      <w:lvlText w:val=""/>
      <w:lvlJc w:val="left"/>
      <w:pPr>
        <w:tabs>
          <w:tab w:val="num" w:pos="1440"/>
        </w:tabs>
        <w:ind w:left="1440" w:hanging="360"/>
      </w:pPr>
      <w:rPr>
        <w:rFonts w:ascii="Wingdings" w:hAnsi="Wingdings" w:hint="default"/>
      </w:rPr>
    </w:lvl>
    <w:lvl w:ilvl="2" w:tplc="E97CBF2E" w:tentative="1">
      <w:start w:val="1"/>
      <w:numFmt w:val="bullet"/>
      <w:lvlText w:val=""/>
      <w:lvlJc w:val="left"/>
      <w:pPr>
        <w:tabs>
          <w:tab w:val="num" w:pos="2160"/>
        </w:tabs>
        <w:ind w:left="2160" w:hanging="360"/>
      </w:pPr>
      <w:rPr>
        <w:rFonts w:ascii="Wingdings" w:hAnsi="Wingdings" w:hint="default"/>
      </w:rPr>
    </w:lvl>
    <w:lvl w:ilvl="3" w:tplc="F64679DC" w:tentative="1">
      <w:start w:val="1"/>
      <w:numFmt w:val="bullet"/>
      <w:lvlText w:val=""/>
      <w:lvlJc w:val="left"/>
      <w:pPr>
        <w:tabs>
          <w:tab w:val="num" w:pos="2880"/>
        </w:tabs>
        <w:ind w:left="2880" w:hanging="360"/>
      </w:pPr>
      <w:rPr>
        <w:rFonts w:ascii="Wingdings" w:hAnsi="Wingdings" w:hint="default"/>
      </w:rPr>
    </w:lvl>
    <w:lvl w:ilvl="4" w:tplc="5470B75C" w:tentative="1">
      <w:start w:val="1"/>
      <w:numFmt w:val="bullet"/>
      <w:lvlText w:val=""/>
      <w:lvlJc w:val="left"/>
      <w:pPr>
        <w:tabs>
          <w:tab w:val="num" w:pos="3600"/>
        </w:tabs>
        <w:ind w:left="3600" w:hanging="360"/>
      </w:pPr>
      <w:rPr>
        <w:rFonts w:ascii="Wingdings" w:hAnsi="Wingdings" w:hint="default"/>
      </w:rPr>
    </w:lvl>
    <w:lvl w:ilvl="5" w:tplc="EE58483A" w:tentative="1">
      <w:start w:val="1"/>
      <w:numFmt w:val="bullet"/>
      <w:lvlText w:val=""/>
      <w:lvlJc w:val="left"/>
      <w:pPr>
        <w:tabs>
          <w:tab w:val="num" w:pos="4320"/>
        </w:tabs>
        <w:ind w:left="4320" w:hanging="360"/>
      </w:pPr>
      <w:rPr>
        <w:rFonts w:ascii="Wingdings" w:hAnsi="Wingdings" w:hint="default"/>
      </w:rPr>
    </w:lvl>
    <w:lvl w:ilvl="6" w:tplc="5FAA590E" w:tentative="1">
      <w:start w:val="1"/>
      <w:numFmt w:val="bullet"/>
      <w:lvlText w:val=""/>
      <w:lvlJc w:val="left"/>
      <w:pPr>
        <w:tabs>
          <w:tab w:val="num" w:pos="5040"/>
        </w:tabs>
        <w:ind w:left="5040" w:hanging="360"/>
      </w:pPr>
      <w:rPr>
        <w:rFonts w:ascii="Wingdings" w:hAnsi="Wingdings" w:hint="default"/>
      </w:rPr>
    </w:lvl>
    <w:lvl w:ilvl="7" w:tplc="09C0459C" w:tentative="1">
      <w:start w:val="1"/>
      <w:numFmt w:val="bullet"/>
      <w:lvlText w:val=""/>
      <w:lvlJc w:val="left"/>
      <w:pPr>
        <w:tabs>
          <w:tab w:val="num" w:pos="5760"/>
        </w:tabs>
        <w:ind w:left="5760" w:hanging="360"/>
      </w:pPr>
      <w:rPr>
        <w:rFonts w:ascii="Wingdings" w:hAnsi="Wingdings" w:hint="default"/>
      </w:rPr>
    </w:lvl>
    <w:lvl w:ilvl="8" w:tplc="E66C3C0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D08B3"/>
    <w:multiLevelType w:val="multilevel"/>
    <w:tmpl w:val="FB9E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D5CF9"/>
    <w:multiLevelType w:val="hybridMultilevel"/>
    <w:tmpl w:val="32C2A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540AF4"/>
    <w:multiLevelType w:val="hybridMultilevel"/>
    <w:tmpl w:val="3BFA62E4"/>
    <w:lvl w:ilvl="0" w:tplc="219CA15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C62D94"/>
    <w:multiLevelType w:val="hybridMultilevel"/>
    <w:tmpl w:val="5F36FE98"/>
    <w:lvl w:ilvl="0" w:tplc="1C0C744E">
      <w:start w:val="1"/>
      <w:numFmt w:val="bullet"/>
      <w:lvlText w:val=""/>
      <w:lvlJc w:val="left"/>
      <w:pPr>
        <w:ind w:left="720" w:hanging="360"/>
      </w:pPr>
      <w:rPr>
        <w:rFonts w:ascii="Wingdings" w:hAnsi="Wingdings" w:hint="default"/>
        <w:i/>
        <w:color w:val="41719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16EF1"/>
    <w:multiLevelType w:val="hybridMultilevel"/>
    <w:tmpl w:val="A29CD03C"/>
    <w:lvl w:ilvl="0" w:tplc="1C0C744E">
      <w:start w:val="1"/>
      <w:numFmt w:val="bullet"/>
      <w:lvlText w:val=""/>
      <w:lvlJc w:val="left"/>
      <w:pPr>
        <w:ind w:left="720" w:hanging="360"/>
      </w:pPr>
      <w:rPr>
        <w:rFonts w:ascii="Wingdings" w:hAnsi="Wingdings" w:hint="default"/>
        <w:color w:val="41719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ED2E40"/>
    <w:multiLevelType w:val="hybridMultilevel"/>
    <w:tmpl w:val="2E549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36146"/>
    <w:multiLevelType w:val="hybridMultilevel"/>
    <w:tmpl w:val="77AEC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54D0A"/>
    <w:multiLevelType w:val="hybridMultilevel"/>
    <w:tmpl w:val="5BC036E4"/>
    <w:lvl w:ilvl="0" w:tplc="3E1C0B80">
      <w:start w:val="1"/>
      <w:numFmt w:val="bullet"/>
      <w:lvlText w:val=""/>
      <w:lvlJc w:val="left"/>
      <w:pPr>
        <w:tabs>
          <w:tab w:val="num" w:pos="720"/>
        </w:tabs>
        <w:ind w:left="720" w:hanging="360"/>
      </w:pPr>
      <w:rPr>
        <w:rFonts w:ascii="Wingdings" w:hAnsi="Wingdings" w:hint="default"/>
      </w:rPr>
    </w:lvl>
    <w:lvl w:ilvl="1" w:tplc="9030070C">
      <w:start w:val="1"/>
      <w:numFmt w:val="bullet"/>
      <w:lvlText w:val=""/>
      <w:lvlJc w:val="left"/>
      <w:pPr>
        <w:tabs>
          <w:tab w:val="num" w:pos="1440"/>
        </w:tabs>
        <w:ind w:left="1440" w:hanging="360"/>
      </w:pPr>
      <w:rPr>
        <w:rFonts w:ascii="Wingdings" w:hAnsi="Wingdings" w:hint="default"/>
      </w:rPr>
    </w:lvl>
    <w:lvl w:ilvl="2" w:tplc="92C05F2E" w:tentative="1">
      <w:start w:val="1"/>
      <w:numFmt w:val="bullet"/>
      <w:lvlText w:val=""/>
      <w:lvlJc w:val="left"/>
      <w:pPr>
        <w:tabs>
          <w:tab w:val="num" w:pos="2160"/>
        </w:tabs>
        <w:ind w:left="2160" w:hanging="360"/>
      </w:pPr>
      <w:rPr>
        <w:rFonts w:ascii="Wingdings" w:hAnsi="Wingdings" w:hint="default"/>
      </w:rPr>
    </w:lvl>
    <w:lvl w:ilvl="3" w:tplc="05BAEFDC" w:tentative="1">
      <w:start w:val="1"/>
      <w:numFmt w:val="bullet"/>
      <w:lvlText w:val=""/>
      <w:lvlJc w:val="left"/>
      <w:pPr>
        <w:tabs>
          <w:tab w:val="num" w:pos="2880"/>
        </w:tabs>
        <w:ind w:left="2880" w:hanging="360"/>
      </w:pPr>
      <w:rPr>
        <w:rFonts w:ascii="Wingdings" w:hAnsi="Wingdings" w:hint="default"/>
      </w:rPr>
    </w:lvl>
    <w:lvl w:ilvl="4" w:tplc="49524568" w:tentative="1">
      <w:start w:val="1"/>
      <w:numFmt w:val="bullet"/>
      <w:lvlText w:val=""/>
      <w:lvlJc w:val="left"/>
      <w:pPr>
        <w:tabs>
          <w:tab w:val="num" w:pos="3600"/>
        </w:tabs>
        <w:ind w:left="3600" w:hanging="360"/>
      </w:pPr>
      <w:rPr>
        <w:rFonts w:ascii="Wingdings" w:hAnsi="Wingdings" w:hint="default"/>
      </w:rPr>
    </w:lvl>
    <w:lvl w:ilvl="5" w:tplc="0E0ADDF6" w:tentative="1">
      <w:start w:val="1"/>
      <w:numFmt w:val="bullet"/>
      <w:lvlText w:val=""/>
      <w:lvlJc w:val="left"/>
      <w:pPr>
        <w:tabs>
          <w:tab w:val="num" w:pos="4320"/>
        </w:tabs>
        <w:ind w:left="4320" w:hanging="360"/>
      </w:pPr>
      <w:rPr>
        <w:rFonts w:ascii="Wingdings" w:hAnsi="Wingdings" w:hint="default"/>
      </w:rPr>
    </w:lvl>
    <w:lvl w:ilvl="6" w:tplc="EB8E47DA" w:tentative="1">
      <w:start w:val="1"/>
      <w:numFmt w:val="bullet"/>
      <w:lvlText w:val=""/>
      <w:lvlJc w:val="left"/>
      <w:pPr>
        <w:tabs>
          <w:tab w:val="num" w:pos="5040"/>
        </w:tabs>
        <w:ind w:left="5040" w:hanging="360"/>
      </w:pPr>
      <w:rPr>
        <w:rFonts w:ascii="Wingdings" w:hAnsi="Wingdings" w:hint="default"/>
      </w:rPr>
    </w:lvl>
    <w:lvl w:ilvl="7" w:tplc="F6EC87EE" w:tentative="1">
      <w:start w:val="1"/>
      <w:numFmt w:val="bullet"/>
      <w:lvlText w:val=""/>
      <w:lvlJc w:val="left"/>
      <w:pPr>
        <w:tabs>
          <w:tab w:val="num" w:pos="5760"/>
        </w:tabs>
        <w:ind w:left="5760" w:hanging="360"/>
      </w:pPr>
      <w:rPr>
        <w:rFonts w:ascii="Wingdings" w:hAnsi="Wingdings" w:hint="default"/>
      </w:rPr>
    </w:lvl>
    <w:lvl w:ilvl="8" w:tplc="60DE966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A443EC"/>
    <w:multiLevelType w:val="hybridMultilevel"/>
    <w:tmpl w:val="DDF80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6C1224"/>
    <w:multiLevelType w:val="multilevel"/>
    <w:tmpl w:val="0C8486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B16883"/>
    <w:multiLevelType w:val="hybridMultilevel"/>
    <w:tmpl w:val="1C02EF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7C4717C"/>
    <w:multiLevelType w:val="hybridMultilevel"/>
    <w:tmpl w:val="C8F62C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5"/>
  </w:num>
  <w:num w:numId="5">
    <w:abstractNumId w:val="5"/>
  </w:num>
  <w:num w:numId="6">
    <w:abstractNumId w:val="6"/>
  </w:num>
  <w:num w:numId="7">
    <w:abstractNumId w:val="14"/>
  </w:num>
  <w:num w:numId="8">
    <w:abstractNumId w:val="18"/>
  </w:num>
  <w:num w:numId="9">
    <w:abstractNumId w:val="7"/>
  </w:num>
  <w:num w:numId="10">
    <w:abstractNumId w:val="0"/>
  </w:num>
  <w:num w:numId="11">
    <w:abstractNumId w:val="2"/>
  </w:num>
  <w:num w:numId="12">
    <w:abstractNumId w:val="2"/>
  </w:num>
  <w:num w:numId="13">
    <w:abstractNumId w:val="4"/>
  </w:num>
  <w:num w:numId="14">
    <w:abstractNumId w:val="17"/>
  </w:num>
  <w:num w:numId="15">
    <w:abstractNumId w:val="3"/>
  </w:num>
  <w:num w:numId="16">
    <w:abstractNumId w:val="12"/>
  </w:num>
  <w:num w:numId="17">
    <w:abstractNumId w:val="5"/>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nl-NL"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IE" w:vendorID="64" w:dllVersion="131078" w:nlCheck="1" w:checkStyle="1"/>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87014E8-D296-446E-A0B4-2D21D5F935E3"/>
    <w:docVar w:name="LW_COVERPAGE_TYPE" w:val="1"/>
    <w:docVar w:name="LW_CROSSREFERENCE" w:val="&lt;UNUSED&gt;"/>
    <w:docVar w:name="LW_DocType" w:val="NORMAL"/>
    <w:docVar w:name="LW_EMISSION" w:val="1.7.2020"/>
    <w:docVar w:name="LW_EMISSION_ISODATE" w:val="2020-07-01"/>
    <w:docVar w:name="LW_EMISSION_LOCATION" w:val="BRX"/>
    <w:docVar w:name="LW_EMISSION_PREFIX" w:val="Brussell, "/>
    <w:docVar w:name="LW_EMISSION_SUFFIX" w:val=" "/>
    <w:docVar w:name="LW_ID_DOCTYPE_NONLW" w:val="CP-014"/>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lt;EMPTY&gt;"/>
    <w:docVar w:name="LW_REF.INST.NEW_TEXT" w:val="(2020) 276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CE&gt;L-Appo\u289?\u289? g\u295?all-Impjieg ta\u380?-\u379?g\u295?a\u380?ag\u295?: Pont g\u295?all-Impjiegi g\u295?all-\u288?enerazzjoni li Jmiss&lt;/FMT&gt;_x000d__x000b_"/>
    <w:docVar w:name="LW_TYPE.DOC.CP" w:val="KOMUNIKAZZJONI TAL-KUMMISSJONI LILL-PARLAMENT EWROPEW, LILL-KUNSILL, LILL-KUMITAT EKONOMIKU U SO\u266?JALI EWROPEW U LILL-KUMITAT TAR-RE\u288?JUNI"/>
    <w:docVar w:name="LW_TYPE.DOC.CP.USERTEXT" w:val="&lt;EMPTY&gt;"/>
  </w:docVars>
  <w:rsids>
    <w:rsidRoot w:val="00862951"/>
    <w:rsid w:val="000F7C71"/>
    <w:rsid w:val="00862951"/>
    <w:rsid w:val="00B0373B"/>
    <w:rsid w:val="00E7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8533145-3A07-4555-9C44-11E188CF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t-M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300" w:lineRule="auto"/>
      <w:jc w:val="both"/>
    </w:pPr>
    <w:rPr>
      <w:rFonts w:ascii="Times New Roman" w:hAnsi="Times New Roman"/>
      <w:sz w:val="24"/>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b/>
      <w:smallCaps/>
      <w:sz w:val="26"/>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smallCap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mallCaps/>
      <w:sz w:val="26"/>
      <w:szCs w:val="3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Char,Carattere,fn"/>
    <w:basedOn w:val="Normal"/>
    <w:link w:val="FootnoteTextChar"/>
    <w:autoRedefine/>
    <w:uiPriority w:val="99"/>
    <w:unhideWhenUsed/>
    <w:qFormat/>
    <w:pPr>
      <w:spacing w:after="0" w:line="240" w:lineRule="auto"/>
      <w:ind w:left="284" w:hanging="284"/>
      <w:contextualSpacing/>
    </w:pPr>
    <w:rPr>
      <w:sz w:val="20"/>
      <w:szCs w:val="20"/>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Pr>
      <w:rFonts w:ascii="Times New Roman" w:hAnsi="Times New Roman"/>
      <w:sz w:val="20"/>
      <w:szCs w:val="20"/>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basedOn w:val="DefaultParagraphFont"/>
    <w:link w:val="BVIfnrCharCar1CarChar"/>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BVIfnrCharCar1CarChar">
    <w:name w:val="BVI fnr Char Car1 Car Char"/>
    <w:basedOn w:val="Normal"/>
    <w:next w:val="Normal"/>
    <w:link w:val="FootnoteReference"/>
    <w:uiPriority w:val="99"/>
    <w:pPr>
      <w:spacing w:after="0" w:line="240" w:lineRule="auto"/>
      <w:contextualSpacing/>
    </w:pPr>
    <w:rPr>
      <w:rFonts w:asciiTheme="minorHAnsi" w:hAnsiTheme="minorHAnsi"/>
      <w:sz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paragraph" w:styleId="CommentSubject">
    <w:name w:val="annotation subject"/>
    <w:basedOn w:val="CommentText"/>
    <w:next w:val="CommentText"/>
    <w:link w:val="CommentSubjectChar"/>
    <w:uiPriority w:val="99"/>
    <w:semiHidden/>
    <w:unhideWhenUsed/>
    <w:rPr>
      <w:rFonts w:eastAsia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Pr>
      <w:rFonts w:ascii="Times New Roman" w:eastAsiaTheme="majorEastAsia" w:hAnsi="Times New Roman" w:cstheme="majorBidi"/>
      <w:smallCaps/>
      <w:sz w:val="24"/>
      <w:szCs w:val="26"/>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R"/>
    <w:basedOn w:val="Normal"/>
    <w:uiPriority w:val="99"/>
    <w:pPr>
      <w:spacing w:after="0" w:line="240" w:lineRule="auto"/>
      <w:jc w:val="left"/>
    </w:pPr>
    <w:rPr>
      <w:rFonts w:asciiTheme="minorHAnsi" w:hAnsiTheme="minorHAnsi"/>
      <w:sz w:val="22"/>
      <w:vertAlign w:val="superscript"/>
    </w:rPr>
  </w:style>
  <w:style w:type="paragraph" w:styleId="NormalWeb">
    <w:name w:val="Normal (Web)"/>
    <w:basedOn w:val="Normal"/>
    <w:uiPriority w:val="99"/>
    <w:unhideWhenUsed/>
    <w:pPr>
      <w:spacing w:before="100" w:beforeAutospacing="1" w:after="100" w:afterAutospacing="1" w:line="240" w:lineRule="auto"/>
      <w:jc w:val="left"/>
    </w:pPr>
    <w:rPr>
      <w:rFonts w:eastAsia="Times New Roman" w:cs="Times New Roman"/>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after="0" w:line="240" w:lineRule="auto"/>
      <w:jc w:val="left"/>
    </w:pPr>
    <w:rPr>
      <w:rFonts w:cs="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customStyle="1" w:styleId="DGEMPLStandard">
    <w:name w:val="DGEMPL_Standard"/>
    <w:link w:val="DGEMPLStandardCarattere"/>
    <w:qFormat/>
    <w:pPr>
      <w:spacing w:before="120" w:after="120" w:line="240" w:lineRule="auto"/>
      <w:jc w:val="both"/>
    </w:pPr>
    <w:rPr>
      <w:rFonts w:ascii="Verdana" w:eastAsia="Times New Roman" w:hAnsi="Verdana" w:cs="Times New Roman"/>
      <w:sz w:val="20"/>
      <w:szCs w:val="20"/>
      <w:lang w:eastAsia="de-DE"/>
    </w:rPr>
  </w:style>
  <w:style w:type="paragraph" w:customStyle="1" w:styleId="BVIfnrCarCarCarCarCharCharCharChar">
    <w:name w:val="BVI fnr Car Car Car Car Char Char Char Char"/>
    <w:basedOn w:val="Normal"/>
    <w:pPr>
      <w:spacing w:before="200" w:after="160" w:line="240" w:lineRule="exact"/>
    </w:pPr>
    <w:rPr>
      <w:rFonts w:eastAsia="Times New Roman" w:cs="Times New Roman"/>
      <w:position w:val="6"/>
      <w:sz w:val="12"/>
      <w:szCs w:val="12"/>
      <w:lang w:eastAsia="de-DE"/>
    </w:rPr>
  </w:style>
  <w:style w:type="character" w:customStyle="1" w:styleId="DGEMPLStandardCarattere">
    <w:name w:val="DGEMPL_Standard Carattere"/>
    <w:basedOn w:val="DefaultParagraphFont"/>
    <w:link w:val="DGEMPLStandard"/>
    <w:locked/>
    <w:rPr>
      <w:rFonts w:ascii="Verdana" w:eastAsia="Times New Roman" w:hAnsi="Verdana" w:cs="Times New Roman"/>
      <w:sz w:val="20"/>
      <w:szCs w:val="20"/>
      <w:lang w:eastAsia="de-D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3512">
      <w:bodyDiv w:val="1"/>
      <w:marLeft w:val="0"/>
      <w:marRight w:val="0"/>
      <w:marTop w:val="0"/>
      <w:marBottom w:val="0"/>
      <w:divBdr>
        <w:top w:val="none" w:sz="0" w:space="0" w:color="auto"/>
        <w:left w:val="none" w:sz="0" w:space="0" w:color="auto"/>
        <w:bottom w:val="none" w:sz="0" w:space="0" w:color="auto"/>
        <w:right w:val="none" w:sz="0" w:space="0" w:color="auto"/>
      </w:divBdr>
    </w:div>
    <w:div w:id="130828107">
      <w:bodyDiv w:val="1"/>
      <w:marLeft w:val="0"/>
      <w:marRight w:val="0"/>
      <w:marTop w:val="0"/>
      <w:marBottom w:val="0"/>
      <w:divBdr>
        <w:top w:val="none" w:sz="0" w:space="0" w:color="auto"/>
        <w:left w:val="none" w:sz="0" w:space="0" w:color="auto"/>
        <w:bottom w:val="none" w:sz="0" w:space="0" w:color="auto"/>
        <w:right w:val="none" w:sz="0" w:space="0" w:color="auto"/>
      </w:divBdr>
    </w:div>
    <w:div w:id="369457003">
      <w:bodyDiv w:val="1"/>
      <w:marLeft w:val="0"/>
      <w:marRight w:val="0"/>
      <w:marTop w:val="0"/>
      <w:marBottom w:val="0"/>
      <w:divBdr>
        <w:top w:val="none" w:sz="0" w:space="0" w:color="auto"/>
        <w:left w:val="none" w:sz="0" w:space="0" w:color="auto"/>
        <w:bottom w:val="none" w:sz="0" w:space="0" w:color="auto"/>
        <w:right w:val="none" w:sz="0" w:space="0" w:color="auto"/>
      </w:divBdr>
    </w:div>
    <w:div w:id="406537711">
      <w:bodyDiv w:val="1"/>
      <w:marLeft w:val="0"/>
      <w:marRight w:val="0"/>
      <w:marTop w:val="0"/>
      <w:marBottom w:val="0"/>
      <w:divBdr>
        <w:top w:val="none" w:sz="0" w:space="0" w:color="auto"/>
        <w:left w:val="none" w:sz="0" w:space="0" w:color="auto"/>
        <w:bottom w:val="none" w:sz="0" w:space="0" w:color="auto"/>
        <w:right w:val="none" w:sz="0" w:space="0" w:color="auto"/>
      </w:divBdr>
    </w:div>
    <w:div w:id="672076261">
      <w:bodyDiv w:val="1"/>
      <w:marLeft w:val="0"/>
      <w:marRight w:val="0"/>
      <w:marTop w:val="0"/>
      <w:marBottom w:val="0"/>
      <w:divBdr>
        <w:top w:val="none" w:sz="0" w:space="0" w:color="auto"/>
        <w:left w:val="none" w:sz="0" w:space="0" w:color="auto"/>
        <w:bottom w:val="none" w:sz="0" w:space="0" w:color="auto"/>
        <w:right w:val="none" w:sz="0" w:space="0" w:color="auto"/>
      </w:divBdr>
    </w:div>
    <w:div w:id="880023070">
      <w:bodyDiv w:val="1"/>
      <w:marLeft w:val="0"/>
      <w:marRight w:val="0"/>
      <w:marTop w:val="0"/>
      <w:marBottom w:val="0"/>
      <w:divBdr>
        <w:top w:val="none" w:sz="0" w:space="0" w:color="auto"/>
        <w:left w:val="none" w:sz="0" w:space="0" w:color="auto"/>
        <w:bottom w:val="none" w:sz="0" w:space="0" w:color="auto"/>
        <w:right w:val="none" w:sz="0" w:space="0" w:color="auto"/>
      </w:divBdr>
    </w:div>
    <w:div w:id="899025330">
      <w:bodyDiv w:val="1"/>
      <w:marLeft w:val="0"/>
      <w:marRight w:val="0"/>
      <w:marTop w:val="0"/>
      <w:marBottom w:val="0"/>
      <w:divBdr>
        <w:top w:val="none" w:sz="0" w:space="0" w:color="auto"/>
        <w:left w:val="none" w:sz="0" w:space="0" w:color="auto"/>
        <w:bottom w:val="none" w:sz="0" w:space="0" w:color="auto"/>
        <w:right w:val="none" w:sz="0" w:space="0" w:color="auto"/>
      </w:divBdr>
    </w:div>
    <w:div w:id="997542385">
      <w:bodyDiv w:val="1"/>
      <w:marLeft w:val="0"/>
      <w:marRight w:val="0"/>
      <w:marTop w:val="0"/>
      <w:marBottom w:val="0"/>
      <w:divBdr>
        <w:top w:val="none" w:sz="0" w:space="0" w:color="auto"/>
        <w:left w:val="none" w:sz="0" w:space="0" w:color="auto"/>
        <w:bottom w:val="none" w:sz="0" w:space="0" w:color="auto"/>
        <w:right w:val="none" w:sz="0" w:space="0" w:color="auto"/>
      </w:divBdr>
    </w:div>
    <w:div w:id="1119759847">
      <w:bodyDiv w:val="1"/>
      <w:marLeft w:val="0"/>
      <w:marRight w:val="0"/>
      <w:marTop w:val="0"/>
      <w:marBottom w:val="0"/>
      <w:divBdr>
        <w:top w:val="none" w:sz="0" w:space="0" w:color="auto"/>
        <w:left w:val="none" w:sz="0" w:space="0" w:color="auto"/>
        <w:bottom w:val="none" w:sz="0" w:space="0" w:color="auto"/>
        <w:right w:val="none" w:sz="0" w:space="0" w:color="auto"/>
      </w:divBdr>
    </w:div>
    <w:div w:id="1168521011">
      <w:bodyDiv w:val="1"/>
      <w:marLeft w:val="0"/>
      <w:marRight w:val="0"/>
      <w:marTop w:val="0"/>
      <w:marBottom w:val="0"/>
      <w:divBdr>
        <w:top w:val="none" w:sz="0" w:space="0" w:color="auto"/>
        <w:left w:val="none" w:sz="0" w:space="0" w:color="auto"/>
        <w:bottom w:val="none" w:sz="0" w:space="0" w:color="auto"/>
        <w:right w:val="none" w:sz="0" w:space="0" w:color="auto"/>
      </w:divBdr>
    </w:div>
    <w:div w:id="1170634479">
      <w:bodyDiv w:val="1"/>
      <w:marLeft w:val="0"/>
      <w:marRight w:val="0"/>
      <w:marTop w:val="0"/>
      <w:marBottom w:val="0"/>
      <w:divBdr>
        <w:top w:val="none" w:sz="0" w:space="0" w:color="auto"/>
        <w:left w:val="none" w:sz="0" w:space="0" w:color="auto"/>
        <w:bottom w:val="none" w:sz="0" w:space="0" w:color="auto"/>
        <w:right w:val="none" w:sz="0" w:space="0" w:color="auto"/>
      </w:divBdr>
    </w:div>
    <w:div w:id="1263687057">
      <w:bodyDiv w:val="1"/>
      <w:marLeft w:val="0"/>
      <w:marRight w:val="0"/>
      <w:marTop w:val="0"/>
      <w:marBottom w:val="0"/>
      <w:divBdr>
        <w:top w:val="none" w:sz="0" w:space="0" w:color="auto"/>
        <w:left w:val="none" w:sz="0" w:space="0" w:color="auto"/>
        <w:bottom w:val="none" w:sz="0" w:space="0" w:color="auto"/>
        <w:right w:val="none" w:sz="0" w:space="0" w:color="auto"/>
      </w:divBdr>
    </w:div>
    <w:div w:id="1337340635">
      <w:bodyDiv w:val="1"/>
      <w:marLeft w:val="0"/>
      <w:marRight w:val="0"/>
      <w:marTop w:val="0"/>
      <w:marBottom w:val="0"/>
      <w:divBdr>
        <w:top w:val="none" w:sz="0" w:space="0" w:color="auto"/>
        <w:left w:val="none" w:sz="0" w:space="0" w:color="auto"/>
        <w:bottom w:val="none" w:sz="0" w:space="0" w:color="auto"/>
        <w:right w:val="none" w:sz="0" w:space="0" w:color="auto"/>
      </w:divBdr>
    </w:div>
    <w:div w:id="1337542012">
      <w:bodyDiv w:val="1"/>
      <w:marLeft w:val="0"/>
      <w:marRight w:val="0"/>
      <w:marTop w:val="0"/>
      <w:marBottom w:val="0"/>
      <w:divBdr>
        <w:top w:val="none" w:sz="0" w:space="0" w:color="auto"/>
        <w:left w:val="none" w:sz="0" w:space="0" w:color="auto"/>
        <w:bottom w:val="none" w:sz="0" w:space="0" w:color="auto"/>
        <w:right w:val="none" w:sz="0" w:space="0" w:color="auto"/>
      </w:divBdr>
    </w:div>
    <w:div w:id="1343043730">
      <w:bodyDiv w:val="1"/>
      <w:marLeft w:val="0"/>
      <w:marRight w:val="0"/>
      <w:marTop w:val="0"/>
      <w:marBottom w:val="0"/>
      <w:divBdr>
        <w:top w:val="none" w:sz="0" w:space="0" w:color="auto"/>
        <w:left w:val="none" w:sz="0" w:space="0" w:color="auto"/>
        <w:bottom w:val="none" w:sz="0" w:space="0" w:color="auto"/>
        <w:right w:val="none" w:sz="0" w:space="0" w:color="auto"/>
      </w:divBdr>
    </w:div>
    <w:div w:id="1385257255">
      <w:bodyDiv w:val="1"/>
      <w:marLeft w:val="0"/>
      <w:marRight w:val="0"/>
      <w:marTop w:val="0"/>
      <w:marBottom w:val="0"/>
      <w:divBdr>
        <w:top w:val="none" w:sz="0" w:space="0" w:color="auto"/>
        <w:left w:val="none" w:sz="0" w:space="0" w:color="auto"/>
        <w:bottom w:val="none" w:sz="0" w:space="0" w:color="auto"/>
        <w:right w:val="none" w:sz="0" w:space="0" w:color="auto"/>
      </w:divBdr>
    </w:div>
    <w:div w:id="1559046477">
      <w:bodyDiv w:val="1"/>
      <w:marLeft w:val="0"/>
      <w:marRight w:val="0"/>
      <w:marTop w:val="0"/>
      <w:marBottom w:val="0"/>
      <w:divBdr>
        <w:top w:val="none" w:sz="0" w:space="0" w:color="auto"/>
        <w:left w:val="none" w:sz="0" w:space="0" w:color="auto"/>
        <w:bottom w:val="none" w:sz="0" w:space="0" w:color="auto"/>
        <w:right w:val="none" w:sz="0" w:space="0" w:color="auto"/>
      </w:divBdr>
    </w:div>
    <w:div w:id="1804688259">
      <w:bodyDiv w:val="1"/>
      <w:marLeft w:val="0"/>
      <w:marRight w:val="0"/>
      <w:marTop w:val="0"/>
      <w:marBottom w:val="0"/>
      <w:divBdr>
        <w:top w:val="none" w:sz="0" w:space="0" w:color="auto"/>
        <w:left w:val="none" w:sz="0" w:space="0" w:color="auto"/>
        <w:bottom w:val="none" w:sz="0" w:space="0" w:color="auto"/>
        <w:right w:val="none" w:sz="0" w:space="0" w:color="auto"/>
      </w:divBdr>
    </w:div>
    <w:div w:id="1912999397">
      <w:bodyDiv w:val="1"/>
      <w:marLeft w:val="0"/>
      <w:marRight w:val="0"/>
      <w:marTop w:val="0"/>
      <w:marBottom w:val="0"/>
      <w:divBdr>
        <w:top w:val="none" w:sz="0" w:space="0" w:color="auto"/>
        <w:left w:val="none" w:sz="0" w:space="0" w:color="auto"/>
        <w:bottom w:val="none" w:sz="0" w:space="0" w:color="auto"/>
        <w:right w:val="none" w:sz="0" w:space="0" w:color="auto"/>
      </w:divBdr>
    </w:div>
    <w:div w:id="2008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1218&amp;langId=m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vanalst\AppData\Local\Packages\Microsoft.MicrosoftEdge_8wekyb3d8bbwe\TempState\Downloads\une_rt_m%20(1).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686393235655672E-2"/>
          <c:y val="4.4879640962872294E-2"/>
          <c:w val="0.90694229874746646"/>
          <c:h val="0.85450836393308849"/>
        </c:manualLayout>
      </c:layout>
      <c:lineChart>
        <c:grouping val="standard"/>
        <c:varyColors val="0"/>
        <c:ser>
          <c:idx val="0"/>
          <c:order val="0"/>
          <c:spPr>
            <a:ln w="12700" cap="rnd">
              <a:solidFill>
                <a:schemeClr val="bg1"/>
              </a:solidFill>
              <a:round/>
            </a:ln>
            <a:effectLst/>
          </c:spPr>
          <c:marker>
            <c:symbol val="none"/>
          </c:marker>
          <c:dPt>
            <c:idx val="147"/>
            <c:marker>
              <c:symbol val="none"/>
            </c:marker>
            <c:bubble3D val="0"/>
            <c:spPr>
              <a:ln w="12700" cap="rnd">
                <a:solidFill>
                  <a:schemeClr val="bg1"/>
                </a:solidFill>
                <a:round/>
                <a:headEnd type="none" w="sm" len="sm"/>
                <a:tailEnd type="triangle" w="sm" len="sm"/>
              </a:ln>
              <a:effectLst/>
            </c:spPr>
            <c:extLst>
              <c:ext xmlns:c16="http://schemas.microsoft.com/office/drawing/2014/chart" uri="{C3380CC4-5D6E-409C-BE32-E72D297353CC}">
                <c16:uniqueId val="{00000001-593D-4265-BB2E-C5CA3B2CD838}"/>
              </c:ext>
            </c:extLst>
          </c:dPt>
          <c:cat>
            <c:numRef>
              <c:f>Data!$D$13:$D$160</c:f>
              <c:numCache>
                <c:formatCode>General</c:formatCode>
                <c:ptCount val="148"/>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numCache>
            </c:numRef>
          </c:cat>
          <c:val>
            <c:numRef>
              <c:f>Data!$C$13:$C$161</c:f>
              <c:numCache>
                <c:formatCode>0%</c:formatCode>
                <c:ptCount val="149"/>
                <c:pt idx="0">
                  <c:v>0.155</c:v>
                </c:pt>
                <c:pt idx="1">
                  <c:v>0.155</c:v>
                </c:pt>
                <c:pt idx="2">
                  <c:v>0.155</c:v>
                </c:pt>
                <c:pt idx="3">
                  <c:v>0.156</c:v>
                </c:pt>
                <c:pt idx="4">
                  <c:v>0.158</c:v>
                </c:pt>
                <c:pt idx="5">
                  <c:v>0.16200000000000001</c:v>
                </c:pt>
                <c:pt idx="6">
                  <c:v>0.161</c:v>
                </c:pt>
                <c:pt idx="7">
                  <c:v>0.16200000000000001</c:v>
                </c:pt>
                <c:pt idx="8">
                  <c:v>0.16399999999999998</c:v>
                </c:pt>
                <c:pt idx="9">
                  <c:v>0.16800000000000001</c:v>
                </c:pt>
                <c:pt idx="10">
                  <c:v>0.17300000000000001</c:v>
                </c:pt>
                <c:pt idx="11">
                  <c:v>0.17699999999999999</c:v>
                </c:pt>
                <c:pt idx="12">
                  <c:v>0.18600000000000003</c:v>
                </c:pt>
                <c:pt idx="13">
                  <c:v>0.192</c:v>
                </c:pt>
                <c:pt idx="14">
                  <c:v>0.19800000000000001</c:v>
                </c:pt>
                <c:pt idx="15">
                  <c:v>0.20100000000000001</c:v>
                </c:pt>
                <c:pt idx="16">
                  <c:v>0.20399999999999999</c:v>
                </c:pt>
                <c:pt idx="17">
                  <c:v>0.20600000000000002</c:v>
                </c:pt>
                <c:pt idx="18">
                  <c:v>0.21100000000000002</c:v>
                </c:pt>
                <c:pt idx="19">
                  <c:v>0.21299999999999999</c:v>
                </c:pt>
                <c:pt idx="20">
                  <c:v>0.215</c:v>
                </c:pt>
                <c:pt idx="21">
                  <c:v>0.21600000000000003</c:v>
                </c:pt>
                <c:pt idx="22">
                  <c:v>0.215</c:v>
                </c:pt>
                <c:pt idx="23">
                  <c:v>0.21600000000000003</c:v>
                </c:pt>
                <c:pt idx="24">
                  <c:v>0.217</c:v>
                </c:pt>
                <c:pt idx="25">
                  <c:v>0.218</c:v>
                </c:pt>
                <c:pt idx="26">
                  <c:v>0.217</c:v>
                </c:pt>
                <c:pt idx="27">
                  <c:v>0.21899999999999997</c:v>
                </c:pt>
                <c:pt idx="28">
                  <c:v>0.22</c:v>
                </c:pt>
                <c:pt idx="29">
                  <c:v>0.218</c:v>
                </c:pt>
                <c:pt idx="30">
                  <c:v>0.217</c:v>
                </c:pt>
                <c:pt idx="31">
                  <c:v>0.217</c:v>
                </c:pt>
                <c:pt idx="32">
                  <c:v>0.218</c:v>
                </c:pt>
                <c:pt idx="33">
                  <c:v>0.21600000000000003</c:v>
                </c:pt>
                <c:pt idx="34">
                  <c:v>0.215</c:v>
                </c:pt>
                <c:pt idx="35">
                  <c:v>0.21600000000000003</c:v>
                </c:pt>
                <c:pt idx="36">
                  <c:v>0.21600000000000003</c:v>
                </c:pt>
                <c:pt idx="37">
                  <c:v>0.21600000000000003</c:v>
                </c:pt>
                <c:pt idx="38">
                  <c:v>0.217</c:v>
                </c:pt>
                <c:pt idx="39">
                  <c:v>0.21600000000000003</c:v>
                </c:pt>
                <c:pt idx="40">
                  <c:v>0.21600000000000003</c:v>
                </c:pt>
                <c:pt idx="41">
                  <c:v>0.217</c:v>
                </c:pt>
                <c:pt idx="42">
                  <c:v>0.21899999999999997</c:v>
                </c:pt>
                <c:pt idx="43">
                  <c:v>0.21899999999999997</c:v>
                </c:pt>
                <c:pt idx="44">
                  <c:v>0.222</c:v>
                </c:pt>
                <c:pt idx="45">
                  <c:v>0.222</c:v>
                </c:pt>
                <c:pt idx="46">
                  <c:v>0.22600000000000001</c:v>
                </c:pt>
                <c:pt idx="47">
                  <c:v>0.22699999999999998</c:v>
                </c:pt>
                <c:pt idx="48">
                  <c:v>0.22800000000000001</c:v>
                </c:pt>
                <c:pt idx="49">
                  <c:v>0.23</c:v>
                </c:pt>
                <c:pt idx="50">
                  <c:v>0.23300000000000001</c:v>
                </c:pt>
                <c:pt idx="51">
                  <c:v>0.23399999999999999</c:v>
                </c:pt>
                <c:pt idx="52">
                  <c:v>0.23800000000000002</c:v>
                </c:pt>
                <c:pt idx="53">
                  <c:v>0.23600000000000002</c:v>
                </c:pt>
                <c:pt idx="54">
                  <c:v>0.23800000000000002</c:v>
                </c:pt>
                <c:pt idx="55">
                  <c:v>0.24</c:v>
                </c:pt>
                <c:pt idx="56">
                  <c:v>0.24100000000000002</c:v>
                </c:pt>
                <c:pt idx="57">
                  <c:v>0.24299999999999999</c:v>
                </c:pt>
                <c:pt idx="58">
                  <c:v>0.245</c:v>
                </c:pt>
                <c:pt idx="59">
                  <c:v>0.24600000000000002</c:v>
                </c:pt>
                <c:pt idx="60">
                  <c:v>0.247</c:v>
                </c:pt>
                <c:pt idx="61">
                  <c:v>0.249</c:v>
                </c:pt>
                <c:pt idx="62">
                  <c:v>0.24600000000000002</c:v>
                </c:pt>
                <c:pt idx="63">
                  <c:v>0.247</c:v>
                </c:pt>
                <c:pt idx="64">
                  <c:v>0.24399999999999999</c:v>
                </c:pt>
                <c:pt idx="65">
                  <c:v>0.245</c:v>
                </c:pt>
                <c:pt idx="66">
                  <c:v>0.245</c:v>
                </c:pt>
                <c:pt idx="67">
                  <c:v>0.245</c:v>
                </c:pt>
                <c:pt idx="68">
                  <c:v>0.245</c:v>
                </c:pt>
                <c:pt idx="69">
                  <c:v>0.24399999999999999</c:v>
                </c:pt>
                <c:pt idx="70">
                  <c:v>0.24399999999999999</c:v>
                </c:pt>
                <c:pt idx="71">
                  <c:v>0.24399999999999999</c:v>
                </c:pt>
                <c:pt idx="72">
                  <c:v>0.245</c:v>
                </c:pt>
                <c:pt idx="73">
                  <c:v>0.24199999999999999</c:v>
                </c:pt>
                <c:pt idx="74">
                  <c:v>0.24100000000000002</c:v>
                </c:pt>
                <c:pt idx="75">
                  <c:v>0.23899999999999999</c:v>
                </c:pt>
                <c:pt idx="76">
                  <c:v>0.23699999999999999</c:v>
                </c:pt>
                <c:pt idx="77">
                  <c:v>0.23499999999999999</c:v>
                </c:pt>
                <c:pt idx="78">
                  <c:v>0.23399999999999999</c:v>
                </c:pt>
                <c:pt idx="79">
                  <c:v>0.23100000000000001</c:v>
                </c:pt>
                <c:pt idx="80">
                  <c:v>0.23</c:v>
                </c:pt>
                <c:pt idx="81">
                  <c:v>0.22899999999999998</c:v>
                </c:pt>
                <c:pt idx="82">
                  <c:v>0.23</c:v>
                </c:pt>
                <c:pt idx="83">
                  <c:v>0.22500000000000001</c:v>
                </c:pt>
                <c:pt idx="84">
                  <c:v>0.22500000000000001</c:v>
                </c:pt>
                <c:pt idx="85">
                  <c:v>0.22399999999999998</c:v>
                </c:pt>
                <c:pt idx="86">
                  <c:v>0.223</c:v>
                </c:pt>
                <c:pt idx="87">
                  <c:v>0.22</c:v>
                </c:pt>
                <c:pt idx="88">
                  <c:v>0.218</c:v>
                </c:pt>
                <c:pt idx="89">
                  <c:v>0.21899999999999997</c:v>
                </c:pt>
                <c:pt idx="90">
                  <c:v>0.214</c:v>
                </c:pt>
                <c:pt idx="91">
                  <c:v>0.214</c:v>
                </c:pt>
                <c:pt idx="92">
                  <c:v>0.215</c:v>
                </c:pt>
                <c:pt idx="93">
                  <c:v>0.215</c:v>
                </c:pt>
                <c:pt idx="94">
                  <c:v>0.21100000000000002</c:v>
                </c:pt>
                <c:pt idx="95">
                  <c:v>0.21</c:v>
                </c:pt>
                <c:pt idx="96">
                  <c:v>0.20899999999999999</c:v>
                </c:pt>
                <c:pt idx="97">
                  <c:v>0.20699999999999999</c:v>
                </c:pt>
                <c:pt idx="98">
                  <c:v>0.20499999999999999</c:v>
                </c:pt>
                <c:pt idx="99">
                  <c:v>0.20399999999999999</c:v>
                </c:pt>
                <c:pt idx="100">
                  <c:v>0.20399999999999999</c:v>
                </c:pt>
                <c:pt idx="101">
                  <c:v>0.20100000000000001</c:v>
                </c:pt>
                <c:pt idx="102">
                  <c:v>0.20100000000000001</c:v>
                </c:pt>
                <c:pt idx="103">
                  <c:v>0.19800000000000001</c:v>
                </c:pt>
                <c:pt idx="104">
                  <c:v>0.19600000000000001</c:v>
                </c:pt>
                <c:pt idx="105">
                  <c:v>0.19399999999999998</c:v>
                </c:pt>
                <c:pt idx="106">
                  <c:v>0.19600000000000001</c:v>
                </c:pt>
                <c:pt idx="107">
                  <c:v>0.193</c:v>
                </c:pt>
                <c:pt idx="108">
                  <c:v>0.188</c:v>
                </c:pt>
                <c:pt idx="109">
                  <c:v>0.185</c:v>
                </c:pt>
                <c:pt idx="110">
                  <c:v>0.185</c:v>
                </c:pt>
                <c:pt idx="111">
                  <c:v>0.184</c:v>
                </c:pt>
                <c:pt idx="112">
                  <c:v>0.185</c:v>
                </c:pt>
                <c:pt idx="113">
                  <c:v>0.17899999999999999</c:v>
                </c:pt>
                <c:pt idx="114">
                  <c:v>0.17800000000000002</c:v>
                </c:pt>
                <c:pt idx="115">
                  <c:v>0.17600000000000002</c:v>
                </c:pt>
                <c:pt idx="116">
                  <c:v>0.17499999999999999</c:v>
                </c:pt>
                <c:pt idx="117">
                  <c:v>0.17399999999999999</c:v>
                </c:pt>
                <c:pt idx="118">
                  <c:v>0.17199999999999999</c:v>
                </c:pt>
                <c:pt idx="119">
                  <c:v>0.17100000000000001</c:v>
                </c:pt>
                <c:pt idx="120">
                  <c:v>0.16800000000000001</c:v>
                </c:pt>
                <c:pt idx="121">
                  <c:v>0.16600000000000001</c:v>
                </c:pt>
                <c:pt idx="122">
                  <c:v>0.16399999999999998</c:v>
                </c:pt>
                <c:pt idx="123">
                  <c:v>0.16300000000000001</c:v>
                </c:pt>
                <c:pt idx="124">
                  <c:v>0.161</c:v>
                </c:pt>
                <c:pt idx="125">
                  <c:v>0.16300000000000001</c:v>
                </c:pt>
                <c:pt idx="126">
                  <c:v>0.16200000000000001</c:v>
                </c:pt>
                <c:pt idx="127">
                  <c:v>0.16200000000000001</c:v>
                </c:pt>
                <c:pt idx="128">
                  <c:v>0.16</c:v>
                </c:pt>
                <c:pt idx="129">
                  <c:v>0.16</c:v>
                </c:pt>
                <c:pt idx="130">
                  <c:v>0.156</c:v>
                </c:pt>
                <c:pt idx="131">
                  <c:v>0.154</c:v>
                </c:pt>
                <c:pt idx="132">
                  <c:v>0.155</c:v>
                </c:pt>
                <c:pt idx="133">
                  <c:v>0.154</c:v>
                </c:pt>
                <c:pt idx="134">
                  <c:v>0.154</c:v>
                </c:pt>
                <c:pt idx="135">
                  <c:v>0.152</c:v>
                </c:pt>
                <c:pt idx="136">
                  <c:v>0.152</c:v>
                </c:pt>
                <c:pt idx="137">
                  <c:v>0.15</c:v>
                </c:pt>
                <c:pt idx="138">
                  <c:v>0.152</c:v>
                </c:pt>
                <c:pt idx="139">
                  <c:v>0.14899999999999999</c:v>
                </c:pt>
                <c:pt idx="140">
                  <c:v>0.15</c:v>
                </c:pt>
                <c:pt idx="141">
                  <c:v>0.14800000000000002</c:v>
                </c:pt>
                <c:pt idx="142">
                  <c:v>0.14899999999999999</c:v>
                </c:pt>
                <c:pt idx="143">
                  <c:v>0.14699999999999999</c:v>
                </c:pt>
                <c:pt idx="144">
                  <c:v>0.14800000000000002</c:v>
                </c:pt>
                <c:pt idx="145">
                  <c:v>0.14800000000000002</c:v>
                </c:pt>
                <c:pt idx="146">
                  <c:v>0.14599999999999999</c:v>
                </c:pt>
                <c:pt idx="147">
                  <c:v>0.154</c:v>
                </c:pt>
              </c:numCache>
            </c:numRef>
          </c:val>
          <c:smooth val="1"/>
          <c:extLst>
            <c:ext xmlns:c16="http://schemas.microsoft.com/office/drawing/2014/chart" uri="{C3380CC4-5D6E-409C-BE32-E72D297353CC}">
              <c16:uniqueId val="{00000002-593D-4265-BB2E-C5CA3B2CD838}"/>
            </c:ext>
          </c:extLst>
        </c:ser>
        <c:dLbls>
          <c:showLegendKey val="0"/>
          <c:showVal val="0"/>
          <c:showCatName val="0"/>
          <c:showSerName val="0"/>
          <c:showPercent val="0"/>
          <c:showBubbleSize val="0"/>
        </c:dLbls>
        <c:smooth val="0"/>
        <c:axId val="104355328"/>
        <c:axId val="104356864"/>
      </c:lineChart>
      <c:catAx>
        <c:axId val="10435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104356864"/>
        <c:crosses val="autoZero"/>
        <c:auto val="1"/>
        <c:lblAlgn val="ctr"/>
        <c:lblOffset val="100"/>
        <c:noMultiLvlLbl val="0"/>
      </c:catAx>
      <c:valAx>
        <c:axId val="104356864"/>
        <c:scaling>
          <c:orientation val="minMax"/>
          <c:max val="0.25"/>
          <c:min val="0.14000000000000001"/>
        </c:scaling>
        <c:delete val="0"/>
        <c:axPos val="l"/>
        <c:majorGridlines>
          <c:spPr>
            <a:ln w="9525" cap="flat" cmpd="sng" algn="ctr">
              <a:solidFill>
                <a:schemeClr val="bg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104355328"/>
        <c:crosses val="autoZero"/>
        <c:crossBetween val="between"/>
      </c:valAx>
      <c:spPr>
        <a:noFill/>
        <a:ln>
          <a:noFill/>
        </a:ln>
        <a:effectLst/>
      </c:spPr>
    </c:plotArea>
    <c:plotVisOnly val="1"/>
    <c:dispBlanksAs val="gap"/>
    <c:showDLblsOverMax val="0"/>
  </c:chart>
  <c:spPr>
    <a:solidFill>
      <a:schemeClr val="accent5"/>
    </a:solidFill>
    <a:ln w="9525" cap="flat" cmpd="sng" algn="ctr">
      <a:noFill/>
      <a:round/>
    </a:ln>
    <a:effectLst/>
  </c:spPr>
  <c:txPr>
    <a:bodyPr/>
    <a:lstStyle/>
    <a:p>
      <a:pPr>
        <a:defRPr sz="7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EC Document" ma:contentTypeID="0x010100258AA79CEB83498886A3A086811232500013474F87E96564419940A5CCF6AFB011" ma:contentTypeVersion="0" ma:contentTypeDescription="Create a new document in this library." ma:contentTypeScope="" ma:versionID="e49b80d28ad0e74f08d5e8fe4c5e5f1c" xmlns:ct="http://schemas.microsoft.com/office/2006/metadata/contentType" xmlns:ma="http://schemas.microsoft.com/office/2006/metadata/properties/metaAttributes">
<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
<xsd:import namespace="http://schemas.microsoft.com/sharepoint/v3/fields"/>
<xsd:import namespace="$ListId:Working Documents;"/>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targetNamespace="$ListId:Working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EC_Collab_Reference xmlns="$ListId:Working Documents;" xsi:nil="true"></EC_Collab_Referenc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749B8E3-E896-4C3A-A2A5-5E3ECBEDC3E4}">
  <ds:schemaRefs>
    <ds:schemaRef ds:uri="http://schemas.microsoft.com/sharepoint/v3/contenttype/forms"/>
  </ds:schemaRefs>
</ds:datastoreItem>
</file>

<file path=customXml/itemProps2.xml><?xml version="1.0" encoding="utf-8"?>
<ds:datastoreItem xmlns:ds="http://schemas.openxmlformats.org/officeDocument/2006/customXml" ds:itemID="{C9D4339C-2323-475A-BFD4-22772C52D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B2E11-5149-4916-ACE4-A067B2B61A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ListId:Working Document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FEF2A08C-16DA-4E2E-9088-92DF5F9F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4095</Words>
  <Characters>30346</Characters>
  <Application>Microsoft Office Word</Application>
  <DocSecurity>0</DocSecurity>
  <Lines>481</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BARDELLA Nuria (DGT)</dc:creator>
  <cp:keywords/>
  <dc:description/>
  <cp:lastModifiedBy>ROUBI Vasiliki (SG)</cp:lastModifiedBy>
  <cp:revision>4</cp:revision>
  <dcterms:created xsi:type="dcterms:W3CDTF">2020-06-26T11:25:00Z</dcterms:created>
  <dcterms:modified xsi:type="dcterms:W3CDTF">2020-07-07T17:50:00Z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_LW_INVALIDATED__LW_INVALIDATED_ContentTypeId">
    <vt:lpwstr>0x010100258AA79CEB83498886A3A086811232500013474F87E96564419940A5CCF6AFB011</vt:lpwstr>
  </property>
  <property fmtid="{D5CDD505-2E9C-101B-9397-08002B2CF9AE}" pid="10" name="_LW_INVALIDATED__LW_INVALIDATED__LW_INVALIDATED__LW_INVALIDATED__LW_INVALIDATED__LW_INVALIDATED__LW_INVALIDATED__LW_INVALIDATED__LW_INVALIDATED__LW_INVALIDATED_ContentTypeId">
    <vt:lpwstr>0x010100258AA79CEB83498886A3A086811232500013474F87E96564419940A5CCF6AFB011</vt:lpwstr>
  </property>
  <property fmtid="{D5CDD505-2E9C-101B-9397-08002B2CF9AE}" pid="11" name="_LW_INVALIDATED__LW_INVALIDATED__LW_INVALIDATED__LW_INVALIDATED__LW_INVALIDATED__LW_INVALIDATED__LW_INVALIDATED__LW_INVALIDATED__LW_INVALIDATED_ContentTypeId">
    <vt:lpwstr>0x010100258AA79CEB83498886A3A086811232500013474F87E96564419940A5CCF6AFB011</vt:lpwstr>
  </property>
  <property fmtid="{D5CDD505-2E9C-101B-9397-08002B2CF9AE}" pid="12" name="_LW_INVALIDATED__LW_INVALIDATED__LW_INVALIDATED__LW_INVALIDATED__LW_INVALIDATED__LW_INVALIDATED__LW_INVALIDATED__LW_INVALIDATED_ContentTypeId">
    <vt:lpwstr>0x010100258AA79CEB83498886A3A086811232500013474F87E96564419940A5CCF6AFB011</vt:lpwstr>
  </property>
  <property fmtid="{D5CDD505-2E9C-101B-9397-08002B2CF9AE}" pid="13" name="_LW_INVALIDATED__LW_INVALIDATED__LW_INVALIDATED__LW_INVALIDATED__LW_INVALIDATED__LW_INVALIDATED__LW_INVALIDATED_ContentTypeId">
    <vt:lpwstr>0x010100258AA79CEB83498886A3A086811232500013474F87E96564419940A5CCF6AFB011</vt:lpwstr>
  </property>
</Properties>
</file>