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FEB976E-8F5E-42A4-A8A0-3D984829C4E4" style="width:450.75pt;height:424.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Liite I  Taitoja ja koulutusta koskevat säädökset</w:t>
      </w:r>
    </w:p>
    <w:p>
      <w:pPr>
        <w:pStyle w:val="NumPar1"/>
        <w:numPr>
          <w:ilvl w:val="0"/>
          <w:numId w:val="11"/>
        </w:numPr>
        <w:rPr>
          <w:noProof/>
        </w:rPr>
      </w:pPr>
      <w:r>
        <w:rPr>
          <w:noProof/>
        </w:rPr>
        <w:t>Yhteisen ammatillista koulutusta koskevan politiikan toteuttamisen yleisperiaatteista 2. huhtikuuta 1963 tehty neuvoston päätös</w:t>
      </w:r>
      <w:r>
        <w:rPr>
          <w:rStyle w:val="FootnoteReference"/>
          <w:noProof/>
        </w:rPr>
        <w:footnoteReference w:id="1"/>
      </w:r>
      <w:r>
        <w:rPr>
          <w:noProof/>
        </w:rPr>
        <w:t>.</w:t>
      </w:r>
    </w:p>
    <w:p>
      <w:pPr>
        <w:pStyle w:val="NumPar1"/>
        <w:rPr>
          <w:noProof/>
        </w:rPr>
      </w:pPr>
      <w:r>
        <w:rPr>
          <w:noProof/>
        </w:rPr>
        <w:t>Epävirallisen ja arkioppimisen validoinnista 20. joulukuuta 2012 annetussa neuvoston suosituksessa</w:t>
      </w:r>
      <w:r>
        <w:rPr>
          <w:rStyle w:val="FootnoteReference"/>
          <w:noProof/>
        </w:rPr>
        <w:footnoteReference w:id="2"/>
      </w:r>
      <w:r>
        <w:rPr>
          <w:noProof/>
        </w:rPr>
        <w:t xml:space="preserve"> kehotetaan jäsenvaltioita ottamaan käyttöön järjestelyjä epävirallisen ja arkioppimisen validoimiseksi, jotta oppijat voivat saada tutkinnon sellaisten sovittujen vaatimusten mukaisesti, jotka ovat joko samat tai vastaavat kuin virallisten koulutusohjelmien kautta hankituissa tutkinnoissa.</w:t>
      </w:r>
    </w:p>
    <w:p>
      <w:pPr>
        <w:pStyle w:val="NumPar1"/>
        <w:rPr>
          <w:noProof/>
        </w:rPr>
      </w:pPr>
      <w:r>
        <w:rPr>
          <w:noProof/>
        </w:rPr>
        <w:t>Eurooppalaisen koulutusyhteistyön strategisten puitteiden (ET 2020) täytäntöönpanosta 15. joulukuuta 2015 annetussa neuvoston ja komission yhteisessä raportissa määritellään aikuiskoulutuksen alalla toiminnan painopisteiksi muiden muassa luku- ja laskutaidon sekä digitaalisten taitojen opetustarjonnan lisääminen ja riittävien uusien mahdollisuuksien tarjoaminen niille, joilla ei ole EQF-viitekehyksen tason 4 tutkintoa, jotta he voivat saada EQF:n mukaisen tunnustetun tutkinnon</w:t>
      </w:r>
      <w:r>
        <w:rPr>
          <w:rStyle w:val="FootnoteReference"/>
          <w:noProof/>
        </w:rPr>
        <w:footnoteReference w:id="3"/>
      </w:r>
      <w:r>
        <w:rPr>
          <w:noProof/>
        </w:rPr>
        <w:t>. Yhteinen raportti sisältää myös keskipitkän aikavälin tavoitteet ammatilliselle koulutukselle; yksi niistä on ammatillisen koulutuksen saatavuuden parantaminen ja kaikille varmistettavat tutkinnot joustavammilla ja helppopääsyisemmillä järjestelmillä erityisesti tarjoamalla tehokkaita ja yhdennettyjä neuvontapalveluja sekä asettamalla saataville epävirallisen ja arkioppimisen validointimahdollisuudet.</w:t>
      </w:r>
    </w:p>
    <w:p>
      <w:pPr>
        <w:pStyle w:val="NumPar1"/>
        <w:rPr>
          <w:noProof/>
        </w:rPr>
      </w:pPr>
      <w:r>
        <w:rPr>
          <w:noProof/>
        </w:rPr>
        <w:t>Neuvoston suosituksessa ”Taitojen parantamisesta: uusia mahdollisuuksia aikuisille”</w:t>
      </w:r>
      <w:r>
        <w:rPr>
          <w:rStyle w:val="FootnoteReference"/>
          <w:noProof/>
        </w:rPr>
        <w:footnoteReference w:id="4"/>
      </w:r>
      <w:r>
        <w:rPr>
          <w:noProof/>
        </w:rPr>
        <w:t>, joka annettiin 19. joulukuuta 2016, kehotetaan jäsenvaltioita tehostamaan matalan taitotason aikuisille tarjottavien laadukkaiden oppimismahdollisuuksien saantia ja hyödyntämistä kolmessa keskisessä vaiheessa: taitojen arviointi, räätälöity koulutustarjonta ja hankittujen taitojen validointi ja tunnustaminen.</w:t>
      </w:r>
    </w:p>
    <w:p>
      <w:pPr>
        <w:pStyle w:val="NumPar1"/>
        <w:rPr>
          <w:noProof/>
        </w:rPr>
      </w:pPr>
      <w:r>
        <w:rPr>
          <w:noProof/>
        </w:rPr>
        <w:t>Eurooppalaista tutkintojen viitekehystä koskevalla 22. toukokuuta 2017 annetulla neuvoston suosituksella</w:t>
      </w:r>
      <w:r>
        <w:rPr>
          <w:rStyle w:val="FootnoteReference"/>
          <w:noProof/>
        </w:rPr>
        <w:footnoteReference w:id="5"/>
      </w:r>
      <w:r>
        <w:rPr>
          <w:noProof/>
        </w:rPr>
        <w:t xml:space="preserve"> varmistetaan, että tietyn EQF-tason tutkinnot perustuvat laadunvarmistuksen yhteisiin periaatteisiin (EQF-suosituksen liite IV) ja että opintosuoritusjärjestelmiä koskevia yhteisiä periaatteita käytetään, kun tietyn EQF-tason tutkinnot perustuvat opintopisteisiin (EQF-suosituksen liite V). </w:t>
      </w:r>
    </w:p>
    <w:p>
      <w:pPr>
        <w:pStyle w:val="NumPar1"/>
        <w:rPr>
          <w:noProof/>
        </w:rPr>
      </w:pPr>
      <w:r>
        <w:rPr>
          <w:noProof/>
        </w:rPr>
        <w:t>Tutkinnon suorittaneiden seurannasta 20. marraskuuta 2017 annetussa neuvoston suosituksessa</w:t>
      </w:r>
      <w:r>
        <w:rPr>
          <w:rStyle w:val="FootnoteReference"/>
          <w:noProof/>
        </w:rPr>
        <w:footnoteReference w:id="6"/>
      </w:r>
      <w:r>
        <w:rPr>
          <w:noProof/>
        </w:rPr>
        <w:t xml:space="preserve"> kehotetaan jäsenvaltioita parantamaan ammatillisen koulutuksen ja korkea-asteen tutkinnon suorittaneiden tuloksia koskevien tietojen saatavuutta ja laatua vuoteen 2020 mennessä.</w:t>
      </w:r>
    </w:p>
    <w:p>
      <w:pPr>
        <w:pStyle w:val="NumPar1"/>
        <w:rPr>
          <w:noProof/>
        </w:rPr>
      </w:pPr>
      <w:r>
        <w:rPr>
          <w:noProof/>
        </w:rPr>
        <w:t>Yhteisistä puitteista parempien palvelujen tarjoamiseksi taitojen ja tutkintojen alalla (Europass) 18. huhtikuuta 2018 annetussa Euroopan parlamentin ja neuvoston päätöksessä (EU) 2018/646</w:t>
      </w:r>
      <w:r>
        <w:rPr>
          <w:rStyle w:val="FootnoteReference"/>
          <w:noProof/>
        </w:rPr>
        <w:footnoteReference w:id="7"/>
      </w:r>
      <w:r>
        <w:rPr>
          <w:noProof/>
        </w:rPr>
        <w:t xml:space="preserve"> luodaan välineet, joilla tuetaan taitojen ja tutkintojen dokumentointia ja kuvausta ja tarjotaan käyttäjille (esim. työnhakijoille ja oppijoille) sähköinen portfolio taitojen ja tutkintojen säilyttämistä ja ansioluetteloiden ja työhakemusten laatimista varten. Se toimii myös verkkoportaalina, jossa on tietoa tutkinnoista ja tutkintojärjestelmistä, ohjauksesta, validoinnista, tunnustamisesta ja </w:t>
      </w:r>
      <w:r>
        <w:rPr>
          <w:noProof/>
        </w:rPr>
        <w:lastRenderedPageBreak/>
        <w:t xml:space="preserve">muista taitoihin ja tutkintoihin liittyvistä aiheista. Uusi Europass-palvelu tukee myös todentamispalveluiden (esim. sähköisten allekirjoitusten/varmenteiden) käyttöä. </w:t>
      </w:r>
    </w:p>
    <w:p>
      <w:pPr>
        <w:pStyle w:val="NumPar1"/>
        <w:rPr>
          <w:noProof/>
        </w:rPr>
      </w:pPr>
      <w:r>
        <w:rPr>
          <w:noProof/>
        </w:rPr>
        <w:t>Elinikäisen oppimisen avaintaidoista 22. toukokuuta 2018 annetussa neuvoston suosituksessa</w:t>
      </w:r>
      <w:r>
        <w:rPr>
          <w:rStyle w:val="FootnoteReference"/>
          <w:noProof/>
        </w:rPr>
        <w:footnoteReference w:id="8"/>
      </w:r>
      <w:r>
        <w:rPr>
          <w:noProof/>
        </w:rPr>
        <w:t xml:space="preserve"> korostetaan tarvetta käsitellä avaintaitojen kehittämistä elinikäisen oppimisen näkökulmasta ja varmistaa tuki kaikilla koulutuksen ja oppimisen tasoilla, myös kehittämällä edelleen ammatillista perus- ja jatkokoulutusta.</w:t>
      </w:r>
    </w:p>
    <w:p>
      <w:pPr>
        <w:pStyle w:val="NumPar1"/>
        <w:rPr>
          <w:noProof/>
        </w:rPr>
      </w:pPr>
      <w:r>
        <w:rPr>
          <w:noProof/>
        </w:rPr>
        <w:t>Korkea-asteen ja toisen asteen koulutuksen tutkintojen ja ulkomailla suoritettujen opintojaksojen automaattisen vastavuoroisen tunnustamisen edistämisestä 26. marraskuuta 2018 annetussa neuvoston suosituksessa</w:t>
      </w:r>
      <w:r>
        <w:rPr>
          <w:rStyle w:val="FootnoteReference"/>
          <w:noProof/>
        </w:rPr>
        <w:footnoteReference w:id="9"/>
      </w:r>
      <w:r>
        <w:rPr>
          <w:noProof/>
        </w:rPr>
        <w:t xml:space="preserve"> kehotetaan jäsenvaltioita toteuttamaan tarvittavat toimet, jotta vuoteen 2025 mennessä saavutetaan korkea-asteen ja toisen asteen koulutuksen tutkintojen automaattinen tunnustaminen sekä suoritettujen toisen asteen opintojaksojen tunnustaminen eurooppalaisen koulutusalueen edistämiseksi. Suosituksessa korostetaan, että ammatillisen koulutuksen laadunvarmistusvälineiden jatkokehitys on tarpeen ammatillisen koulutuksen laadunvarmistuksen eurooppalaisen viitekehyksen ja sen lisäkehityksen suuntaisesti, jotta voidaan edistää avoimuutta ja rakentaa luottamusta toisen asteen koulutusjärjestelmiin vastavuoroisesti. Liikkuvuuden tukemiseksi ja ulkomailla suoritettujen opintojaksojen tulosten tunnustamiseksi suosituksessa kehotetaan myös laajentamaan ammatillisen koulutuksen alalla kehitettyjen EU:n välineiden käyttöä: näitä ovat esimerkiksi Europass-verkkoalustan sekä yhteisymmärryspöytäkirjan ja opintosopimuksen kautta saataville asetetut välineet, jotka ovat osa ammatillisen koulutuksen opintosuoritusten ja arvosanojen eurooppalaista siirtojärjestelmää.</w:t>
      </w:r>
    </w:p>
    <w:p>
      <w:pPr>
        <w:pStyle w:val="NumPar1"/>
        <w:rPr>
          <w:noProof/>
        </w:rPr>
      </w:pPr>
      <w:r>
        <w:rPr>
          <w:noProof/>
        </w:rPr>
        <w:t>Neuvoston päätelmissä</w:t>
      </w:r>
      <w:r>
        <w:rPr>
          <w:rStyle w:val="FootnoteReference"/>
          <w:noProof/>
        </w:rPr>
        <w:footnoteReference w:id="10"/>
      </w:r>
      <w:r>
        <w:rPr>
          <w:noProof/>
        </w:rPr>
        <w:t xml:space="preserve"> eurooppalaista koulutusaluetta koskevan vision toteuttamisesta korostetaan, että eurooppalaisen koulutusalueen käsitteeseen sisältyviin aloitteisiin ja sen osana toteutettaviin tuleviin toimiin ”[... ] tulisi sisältyä kaikki koulutustasot ja -tyypit, myös aikuiskoulutus ja ammatillinen koulutus”.</w:t>
      </w:r>
    </w:p>
    <w:p>
      <w:pPr>
        <w:pStyle w:val="NumPar1"/>
        <w:rPr>
          <w:noProof/>
        </w:rPr>
      </w:pPr>
      <w:r>
        <w:rPr>
          <w:noProof/>
        </w:rPr>
        <w:t>Neuvoston päätöslauselmassa</w:t>
      </w:r>
      <w:r>
        <w:rPr>
          <w:rStyle w:val="FootnoteReference"/>
          <w:noProof/>
        </w:rPr>
        <w:footnoteReference w:id="11"/>
      </w:r>
      <w:r>
        <w:rPr>
          <w:noProof/>
        </w:rPr>
        <w:t xml:space="preserve"> eurooppalaisen koulutusalueen kehittämisestä tulevaisuuteen suuntautuvien koulutusjärjestelmien tukemiseksi muistutetaan, että ”koulutusalueen olisi perustuttava elinikäisen oppimisen jatkumoon aina varhaiskasvatuksesta kouluun ja ammatilliseen koulutukseen sekä korkeakoulutukseen ja aikuisoppimiseen”.</w:t>
      </w:r>
    </w:p>
    <w:p>
      <w:pPr>
        <w:pStyle w:val="NumPar1"/>
        <w:rPr>
          <w:noProof/>
        </w:rPr>
      </w:pPr>
      <w:r>
        <w:rPr>
          <w:noProof/>
        </w:rPr>
        <w:t>Vuonna 2019 annetuissa neuvoston päätelmissä</w:t>
      </w:r>
      <w:r>
        <w:rPr>
          <w:rStyle w:val="FootnoteReference"/>
          <w:noProof/>
        </w:rPr>
        <w:footnoteReference w:id="12"/>
      </w:r>
      <w:r>
        <w:rPr>
          <w:noProof/>
        </w:rPr>
        <w:t xml:space="preserve"> neuvoston suosituksen ”Taitojen parantaminen: uusia mahdollisuuksia aikuisille” täytäntöönpanosta korostetaan tarvetta ottaa käyttöön kestäviä pitkän aikavälin toimenpiteitä aikuisten täydennys- ja uudelleenkoulutusta varten osana laajempaa strategista lähestymistapaa elinikäiseen osaamisen kehittämiseen.</w:t>
      </w:r>
    </w:p>
    <w:p>
      <w:pPr>
        <w:pStyle w:val="NumPar1"/>
        <w:rPr>
          <w:noProof/>
        </w:rPr>
      </w:pPr>
      <w:r>
        <w:rPr>
          <w:noProof/>
        </w:rPr>
        <w:t>Myös vuonna 2019 annetuissa neuvoston päätelmissä hyvinvointitaloudesta jäsenvaltioita kehotetaan edistämään kattavia elinikäisen oppimisen politiikkoja sekä koko elämän mittaista osaamisen kehittämistä.</w:t>
      </w:r>
    </w:p>
    <w:p>
      <w:pPr>
        <w:pStyle w:val="NumPar1"/>
        <w:ind w:left="851" w:hanging="851"/>
        <w:rPr>
          <w:noProof/>
        </w:rPr>
      </w:pPr>
      <w:r>
        <w:rPr>
          <w:noProof/>
        </w:rPr>
        <w:t>Komission tiedonannossa ”Vuotuinen kestävän kasvun strategia 2020”</w:t>
      </w:r>
      <w:r>
        <w:rPr>
          <w:rStyle w:val="FootnoteReference"/>
          <w:noProof/>
        </w:rPr>
        <w:footnoteReference w:id="13"/>
      </w:r>
      <w:r>
        <w:rPr>
          <w:noProof/>
        </w:rPr>
        <w:t xml:space="preserve"> asetetaan painopisteet unionin muuttamiseksi kestäväksi taloudeksi, digitaalisen ja vihreän siirtymän edistämiseksi ja sosiaalisen markkinataloutemme uudistamiseksi, jotta varmistetaan, että Euroopassa on edelleen maailman kehittyneimmät sosiaaliturvajärjestelmät ja että Eurooppa on vireä innovoinnin ja kilpailukykyisen yrittäjyyden keskus. Siinä korostetaan voimakkaasti tarvetta lisätä investointeja osaamiseen ja koulutusjärjestelmien uudistamiseen.</w:t>
      </w:r>
    </w:p>
    <w:p>
      <w:pPr>
        <w:pStyle w:val="Text1"/>
        <w:tabs>
          <w:tab w:val="left" w:pos="1792"/>
        </w:tabs>
        <w:rPr>
          <w:noProof/>
        </w:rPr>
      </w:pPr>
      <w:r>
        <w:rPr>
          <w:noProof/>
        </w:rPr>
        <w:tab/>
      </w:r>
    </w:p>
    <w:p>
      <w:pPr>
        <w:tabs>
          <w:tab w:val="left" w:pos="1792"/>
        </w:tabs>
        <w:rPr>
          <w:noProof/>
        </w:rPr>
        <w:sectPr>
          <w:footerReference w:type="default" r:id="rId19"/>
          <w:footerReference w:type="first" r:id="rId20"/>
          <w:pgSz w:w="11907" w:h="16839"/>
          <w:pgMar w:top="1134" w:right="1417" w:bottom="1134" w:left="1417" w:header="709" w:footer="709" w:gutter="0"/>
          <w:cols w:space="720"/>
          <w:docGrid w:linePitch="360"/>
        </w:sectPr>
      </w:pPr>
      <w:r>
        <w:rPr>
          <w:noProof/>
        </w:rPr>
        <w:tab/>
      </w:r>
    </w:p>
    <w:p>
      <w:pPr>
        <w:pStyle w:val="Annexetitre"/>
        <w:rPr>
          <w:noProof/>
        </w:rPr>
      </w:pPr>
      <w:r>
        <w:rPr>
          <w:noProof/>
        </w:rPr>
        <w:t>Liite II  EQAVET-viitekehys</w:t>
      </w:r>
    </w:p>
    <w:p>
      <w:pPr>
        <w:widowControl w:val="0"/>
        <w:tabs>
          <w:tab w:val="left" w:pos="842"/>
        </w:tabs>
        <w:rPr>
          <w:rFonts w:eastAsia="Times New Roman"/>
          <w:b/>
          <w:noProof/>
          <w:szCs w:val="24"/>
        </w:rPr>
      </w:pPr>
      <w:r>
        <w:rPr>
          <w:b/>
          <w:noProof/>
          <w:szCs w:val="24"/>
        </w:rPr>
        <w:t xml:space="preserve">Osa A.  EQAVET:n ohjeelliset kuvaajat </w:t>
      </w:r>
    </w:p>
    <w:p>
      <w:pPr>
        <w:rPr>
          <w:noProof/>
        </w:rPr>
      </w:pPr>
      <w:r>
        <w:rPr>
          <w:noProof/>
        </w:rPr>
        <w:t xml:space="preserve">EQAVET-viitekehyksen ohjeellisilla kuvaajilla pyritään tukemaan jäsenvaltioita ja ammatillisen koulutuksen tarjoajia EQAVET-viitekehyksen täytäntöönpanossa. Ne on jäsennelty laatusyklin vaiheiden mukaan: </w:t>
      </w:r>
      <w:r>
        <w:rPr>
          <w:i/>
          <w:noProof/>
        </w:rPr>
        <w:t>suunnittelu – täytäntöönpano – arviointi – tarkistaminen</w:t>
      </w:r>
      <w:r>
        <w:rPr>
          <w:noProof/>
        </w:rPr>
        <w:t>. Niitä sovelletaan sekä ammatilliseen perus- että jatkokoulutukseen ja niitä voidaan soveltaa kaikkiin oppimisympäristöihin: niin kouluopetukseen kuin työssäoppimiseenkin, oppisopimusjärjestelmät mukaan luettuina.</w:t>
      </w:r>
    </w:p>
    <w:tbl>
      <w:tblPr>
        <w:tblStyle w:val="TableGrid"/>
        <w:tblW w:w="5095" w:type="pct"/>
        <w:tblLook w:val="04A0" w:firstRow="1" w:lastRow="0" w:firstColumn="1" w:lastColumn="0" w:noHBand="0" w:noVBand="1"/>
      </w:tblPr>
      <w:tblGrid>
        <w:gridCol w:w="2416"/>
        <w:gridCol w:w="3646"/>
        <w:gridCol w:w="3403"/>
      </w:tblGrid>
      <w:tr>
        <w:trPr>
          <w:tblHeader/>
        </w:trPr>
        <w:tc>
          <w:tcPr>
            <w:tcW w:w="1031" w:type="pct"/>
            <w:shd w:val="clear" w:color="auto" w:fill="F2F2F2" w:themeFill="background1" w:themeFillShade="F2"/>
            <w:vAlign w:val="center"/>
          </w:tcPr>
          <w:p>
            <w:pPr>
              <w:jc w:val="center"/>
              <w:rPr>
                <w:rFonts w:eastAsia="Times New Roman"/>
                <w:b/>
                <w:noProof/>
                <w:szCs w:val="24"/>
              </w:rPr>
            </w:pPr>
            <w:r>
              <w:rPr>
                <w:b/>
                <w:noProof/>
                <w:szCs w:val="24"/>
              </w:rPr>
              <w:t>Laatuvaatimukset</w:t>
            </w:r>
          </w:p>
        </w:tc>
        <w:tc>
          <w:tcPr>
            <w:tcW w:w="2049" w:type="pct"/>
            <w:shd w:val="clear" w:color="auto" w:fill="F2F2F2" w:themeFill="background1" w:themeFillShade="F2"/>
            <w:vAlign w:val="center"/>
          </w:tcPr>
          <w:p>
            <w:pPr>
              <w:jc w:val="center"/>
              <w:rPr>
                <w:rFonts w:eastAsia="Times New Roman"/>
                <w:b/>
                <w:noProof/>
                <w:szCs w:val="24"/>
              </w:rPr>
            </w:pPr>
            <w:r>
              <w:rPr>
                <w:b/>
                <w:noProof/>
                <w:szCs w:val="24"/>
              </w:rPr>
              <w:t>Ohjeelliset kuvaajat ammatillisen koulutuksen järjestelmän tasolla</w:t>
            </w:r>
          </w:p>
        </w:tc>
        <w:tc>
          <w:tcPr>
            <w:tcW w:w="1920" w:type="pct"/>
            <w:shd w:val="clear" w:color="auto" w:fill="F2F2F2" w:themeFill="background1" w:themeFillShade="F2"/>
            <w:vAlign w:val="center"/>
          </w:tcPr>
          <w:p>
            <w:pPr>
              <w:jc w:val="center"/>
              <w:rPr>
                <w:rFonts w:eastAsia="Times New Roman"/>
                <w:b/>
                <w:noProof/>
                <w:szCs w:val="24"/>
              </w:rPr>
            </w:pPr>
            <w:r>
              <w:rPr>
                <w:b/>
                <w:noProof/>
                <w:szCs w:val="24"/>
              </w:rPr>
              <w:t>Ohjeelliset kuvaajat ammatillisen koulutuksen tarjoajan tasolla</w:t>
            </w:r>
          </w:p>
        </w:tc>
      </w:tr>
      <w:tr>
        <w:tc>
          <w:tcPr>
            <w:tcW w:w="1031" w:type="pct"/>
            <w:vAlign w:val="center"/>
          </w:tcPr>
          <w:p>
            <w:pPr>
              <w:jc w:val="left"/>
              <w:rPr>
                <w:noProof/>
              </w:rPr>
            </w:pPr>
            <w:r>
              <w:rPr>
                <w:noProof/>
              </w:rPr>
              <w:t>Suunnittelu perustuu asianomaisten sidosryhmien yhteiseen strategiseen näkemykseen ja sisältää selkeitä päämääriä/tavoitteita, toimia ja indikaattoreita.</w:t>
            </w:r>
          </w:p>
        </w:tc>
        <w:tc>
          <w:tcPr>
            <w:tcW w:w="2049" w:type="pct"/>
            <w:vAlign w:val="center"/>
          </w:tcPr>
          <w:p>
            <w:pPr>
              <w:jc w:val="left"/>
              <w:rPr>
                <w:rFonts w:eastAsia="Times New Roman"/>
                <w:noProof/>
                <w:szCs w:val="24"/>
              </w:rPr>
            </w:pPr>
            <w:r>
              <w:rPr>
                <w:noProof/>
              </w:rPr>
              <w:t xml:space="preserve">Ammatillisen koulutuksen päämäärät/tavoitteet kuvataan keskipitkällä ja pitkällä aikavälillä, ja ne liittyvät Euroopan tason tavoitteisiin ja kestävän kehityksen tavoitteisiin ottaen huomioon ympäristöä ja kestävyyttä koskevat näkökohdat. </w:t>
            </w:r>
          </w:p>
          <w:p>
            <w:pPr>
              <w:jc w:val="left"/>
              <w:rPr>
                <w:rFonts w:eastAsia="Times New Roman"/>
                <w:noProof/>
                <w:szCs w:val="24"/>
              </w:rPr>
            </w:pPr>
            <w:r>
              <w:rPr>
                <w:noProof/>
              </w:rPr>
              <w:t>Työmarkkinaosapuolet ja kaikki muut asiaankuuluvat sidosryhmät osallistuvat ammatillisen koulutuksen tavoitteiden asettamiseen eri tasoilla.</w:t>
            </w:r>
          </w:p>
          <w:p>
            <w:pPr>
              <w:jc w:val="left"/>
              <w:rPr>
                <w:rFonts w:eastAsia="Times New Roman"/>
                <w:noProof/>
                <w:szCs w:val="24"/>
              </w:rPr>
            </w:pPr>
            <w:r>
              <w:rPr>
                <w:noProof/>
              </w:rPr>
              <w:t>Tavoitteet asetetaan ja niiden toteutumista seurataan erityisten indikaattorien avulla (onnistumiskriteerit).</w:t>
            </w:r>
          </w:p>
          <w:p>
            <w:pPr>
              <w:jc w:val="left"/>
              <w:rPr>
                <w:rFonts w:eastAsia="Times New Roman"/>
                <w:noProof/>
                <w:szCs w:val="24"/>
              </w:rPr>
            </w:pPr>
            <w:r>
              <w:rPr>
                <w:noProof/>
              </w:rPr>
              <w:t xml:space="preserve">Työmarkkinoiden ja yhteiskunnan koulutustarpeiden tunnistamiseen on määritelty mekanismit ja menettelyt. </w:t>
            </w:r>
          </w:p>
          <w:p>
            <w:pPr>
              <w:jc w:val="left"/>
              <w:rPr>
                <w:rFonts w:eastAsia="Times New Roman"/>
                <w:noProof/>
                <w:szCs w:val="24"/>
              </w:rPr>
            </w:pPr>
            <w:r>
              <w:rPr>
                <w:noProof/>
              </w:rPr>
              <w:t>On suunniteltu tiedotuspolitiikka, jolla varmistetaan laatua koskevien tulosten optimaalinen julkistaminen kansallisten tai alueellisten tietosuojavaatimusten mukaisesti.</w:t>
            </w:r>
          </w:p>
          <w:p>
            <w:pPr>
              <w:jc w:val="left"/>
              <w:rPr>
                <w:rFonts w:eastAsia="Times New Roman"/>
                <w:noProof/>
                <w:szCs w:val="24"/>
              </w:rPr>
            </w:pPr>
            <w:r>
              <w:rPr>
                <w:noProof/>
              </w:rPr>
              <w:t>Henkilöiden pätevyyden tunnustamista, hyväksyntää ja todistusten myöntämistä varten on määritelty normit ja suuntaviivat.</w:t>
            </w:r>
          </w:p>
          <w:p>
            <w:pPr>
              <w:jc w:val="left"/>
              <w:rPr>
                <w:noProof/>
                <w:szCs w:val="24"/>
              </w:rPr>
            </w:pPr>
            <w:r>
              <w:rPr>
                <w:noProof/>
              </w:rPr>
              <w:t>Ammatillisen koulutuksen tutkinnot kuvataan oppimistuloksilla.</w:t>
            </w:r>
          </w:p>
          <w:p>
            <w:pPr>
              <w:jc w:val="left"/>
              <w:rPr>
                <w:noProof/>
                <w:szCs w:val="24"/>
              </w:rPr>
            </w:pPr>
            <w:r>
              <w:rPr>
                <w:noProof/>
              </w:rPr>
              <w:t>Tutkintojen suunnittelun, arvioinnin ja tarkistamisen laadunvarmistusta varten on määritelty mekanismit.</w:t>
            </w:r>
          </w:p>
          <w:p>
            <w:pPr>
              <w:jc w:val="left"/>
              <w:rPr>
                <w:noProof/>
              </w:rPr>
            </w:pPr>
            <w:r>
              <w:rPr>
                <w:noProof/>
              </w:rPr>
              <w:t>Ammatillisten koulutusohjelmien tarkoituksena on mahdollistaa joustavat oppimisväylät ja vastata nopeasti työmarkkinoiden muuttuviin tarpeisiin.</w:t>
            </w:r>
          </w:p>
        </w:tc>
        <w:tc>
          <w:tcPr>
            <w:tcW w:w="1920" w:type="pct"/>
            <w:vAlign w:val="center"/>
          </w:tcPr>
          <w:p>
            <w:pPr>
              <w:jc w:val="left"/>
              <w:rPr>
                <w:rFonts w:eastAsia="Times New Roman"/>
                <w:noProof/>
                <w:szCs w:val="24"/>
              </w:rPr>
            </w:pPr>
            <w:r>
              <w:rPr>
                <w:noProof/>
              </w:rPr>
              <w:t>Ammatillisen koulutuksen tarjoajien asettamat paikalliset päämäärät/tavoitteet vastaavat ammatillista koulutusta koskevan politiikan eurooppalaisia, kansallisia ja alueellisia tavoitteita.</w:t>
            </w:r>
          </w:p>
          <w:p>
            <w:pPr>
              <w:jc w:val="left"/>
              <w:rPr>
                <w:rFonts w:eastAsia="Times New Roman"/>
                <w:noProof/>
                <w:szCs w:val="24"/>
              </w:rPr>
            </w:pPr>
            <w:r>
              <w:rPr>
                <w:noProof/>
              </w:rPr>
              <w:t>Selkeät päämäärät/tavoitteet on asetettu ja niiden toteutumista seurataan, ja ohjelmat suunnitellaan niiden saavuttamiseksi.</w:t>
            </w:r>
          </w:p>
          <w:p>
            <w:pPr>
              <w:jc w:val="left"/>
              <w:rPr>
                <w:rFonts w:eastAsia="Times New Roman"/>
                <w:noProof/>
                <w:szCs w:val="24"/>
              </w:rPr>
            </w:pPr>
            <w:r>
              <w:rPr>
                <w:noProof/>
              </w:rPr>
              <w:t>Työmarkkinaosapuolia ja kaikkia muita asiaankuuluvia sidosryhmiä kuullaan jatkuvasti paikallisten tai yksilöllisten erityistarpeiden tunnistamiseksi.</w:t>
            </w:r>
          </w:p>
          <w:p>
            <w:pPr>
              <w:jc w:val="left"/>
              <w:rPr>
                <w:rFonts w:eastAsia="Times New Roman"/>
                <w:noProof/>
                <w:szCs w:val="24"/>
              </w:rPr>
            </w:pPr>
            <w:r>
              <w:rPr>
                <w:noProof/>
              </w:rPr>
              <w:t>Vastuu laadunhallinnasta ja kehittämisestä on selkeästi jaettu.</w:t>
            </w:r>
          </w:p>
          <w:p>
            <w:pPr>
              <w:jc w:val="left"/>
              <w:rPr>
                <w:rFonts w:eastAsia="Times New Roman"/>
                <w:noProof/>
                <w:szCs w:val="24"/>
              </w:rPr>
            </w:pPr>
            <w:r>
              <w:rPr>
                <w:noProof/>
              </w:rPr>
              <w:t>Henkilökunta osallistuu aikaisessa vaiheessa suunnitteluun, myös laadun kehittämiseen.</w:t>
            </w:r>
          </w:p>
          <w:p>
            <w:pPr>
              <w:jc w:val="left"/>
              <w:rPr>
                <w:rFonts w:eastAsia="Times New Roman"/>
                <w:noProof/>
                <w:szCs w:val="24"/>
              </w:rPr>
            </w:pPr>
            <w:r>
              <w:rPr>
                <w:noProof/>
              </w:rPr>
              <w:t>Ammatillisen koulutuksen tarjoajat suunnittelevat yhteistyöaloitteita muiden asiaankuuluvien sidosryhmien kanssa.</w:t>
            </w:r>
          </w:p>
          <w:p>
            <w:pPr>
              <w:jc w:val="left"/>
              <w:rPr>
                <w:rFonts w:eastAsia="Times New Roman"/>
                <w:noProof/>
                <w:szCs w:val="24"/>
              </w:rPr>
            </w:pPr>
            <w:r>
              <w:rPr>
                <w:noProof/>
              </w:rPr>
              <w:t>Asianomaiset sidosryhmät osallistuvat paikallisten tarpeiden analysointiprosessiin.</w:t>
            </w:r>
          </w:p>
          <w:p>
            <w:pPr>
              <w:jc w:val="left"/>
              <w:rPr>
                <w:rFonts w:eastAsia="Times New Roman"/>
                <w:noProof/>
                <w:szCs w:val="24"/>
              </w:rPr>
            </w:pPr>
            <w:r>
              <w:rPr>
                <w:noProof/>
              </w:rPr>
              <w:t xml:space="preserve">Ammatillisen koulutuksen tarjoajilla on käytössään selkeä ja avoin laadunvarmistusjärjestelmä. </w:t>
            </w:r>
          </w:p>
          <w:p>
            <w:pPr>
              <w:jc w:val="left"/>
              <w:rPr>
                <w:rFonts w:eastAsia="Times New Roman"/>
                <w:noProof/>
                <w:szCs w:val="24"/>
              </w:rPr>
            </w:pPr>
            <w:r>
              <w:rPr>
                <w:noProof/>
              </w:rPr>
              <w:t xml:space="preserve">Suunnitelluilla toimenpiteillä on tarkoitus varmistaa tietosuojasääntöjen noudattaminen. </w:t>
            </w:r>
          </w:p>
          <w:p>
            <w:pPr>
              <w:jc w:val="left"/>
              <w:rPr>
                <w:noProof/>
              </w:rPr>
            </w:pPr>
          </w:p>
        </w:tc>
      </w:tr>
      <w:tr>
        <w:tc>
          <w:tcPr>
            <w:tcW w:w="1031" w:type="pct"/>
            <w:vAlign w:val="center"/>
          </w:tcPr>
          <w:p>
            <w:pPr>
              <w:jc w:val="left"/>
              <w:rPr>
                <w:noProof/>
              </w:rPr>
            </w:pPr>
            <w:r>
              <w:rPr>
                <w:noProof/>
              </w:rPr>
              <w:t>Toteutussuunnitelmien tekemisessä kuullaan sidosryhmiä, ja ne sisältävät selkeitä periaatteita.</w:t>
            </w:r>
          </w:p>
        </w:tc>
        <w:tc>
          <w:tcPr>
            <w:tcW w:w="2049" w:type="pct"/>
            <w:vAlign w:val="center"/>
          </w:tcPr>
          <w:p>
            <w:pPr>
              <w:jc w:val="left"/>
              <w:rPr>
                <w:rFonts w:eastAsia="Times New Roman"/>
                <w:noProof/>
                <w:szCs w:val="24"/>
              </w:rPr>
            </w:pPr>
            <w:r>
              <w:rPr>
                <w:noProof/>
              </w:rPr>
              <w:t>Toteutussuunnitelmat on laadittu yhteistyössä työmarkkinaosapuolten, ammatillisen koulutuksen tarjoajien ja muiden asianomaisten eri tasoilla toimivien sidosryhmien kanssa.</w:t>
            </w:r>
          </w:p>
          <w:p>
            <w:pPr>
              <w:jc w:val="left"/>
              <w:rPr>
                <w:rFonts w:eastAsia="Times New Roman"/>
                <w:noProof/>
                <w:szCs w:val="24"/>
              </w:rPr>
            </w:pPr>
            <w:r>
              <w:rPr>
                <w:noProof/>
              </w:rPr>
              <w:t>Toteutussuunnitelmissa on otettu huomioon tarvittavat resurssit, käyttäjien valmiudet ja tueksi tarvittavat välineet ja ohjeet.</w:t>
            </w:r>
          </w:p>
          <w:p>
            <w:pPr>
              <w:jc w:val="left"/>
              <w:rPr>
                <w:rFonts w:eastAsia="Times New Roman"/>
                <w:noProof/>
                <w:szCs w:val="24"/>
              </w:rPr>
            </w:pPr>
            <w:r>
              <w:rPr>
                <w:noProof/>
              </w:rPr>
              <w:t>Eri tasoilla tapahtuvaa toteutusta varten on laadittu ohjeita ja normeja. Näihin ohjeisiin ja normeihin sisältyy tutkintojen arviointi, validointi ja sertifiointi.</w:t>
            </w:r>
          </w:p>
          <w:p>
            <w:pPr>
              <w:jc w:val="left"/>
              <w:rPr>
                <w:rFonts w:eastAsia="Times New Roman"/>
                <w:noProof/>
                <w:szCs w:val="24"/>
              </w:rPr>
            </w:pPr>
            <w:r>
              <w:rPr>
                <w:noProof/>
              </w:rPr>
              <w:t>Täytäntöönpanosuunnitelmiin sisältyy opettajien ja kouluttajien koulutukseen suunnattava erityistuki, mukaan lukien digitaaliset taidot ja ympäristön kestävyys.</w:t>
            </w:r>
          </w:p>
          <w:p>
            <w:pPr>
              <w:jc w:val="left"/>
              <w:rPr>
                <w:rFonts w:eastAsia="Times New Roman"/>
                <w:noProof/>
                <w:szCs w:val="24"/>
              </w:rPr>
            </w:pPr>
            <w:r>
              <w:rPr>
                <w:noProof/>
              </w:rPr>
              <w:t>Ammatillisen koulutuksen tarjoajien vastuu toteutusprosessissa on kuvattu selkeästi ja esitetty avoimesti.</w:t>
            </w:r>
          </w:p>
          <w:p>
            <w:pPr>
              <w:jc w:val="left"/>
              <w:rPr>
                <w:noProof/>
              </w:rPr>
            </w:pPr>
            <w:r>
              <w:rPr>
                <w:noProof/>
              </w:rPr>
              <w:t>Kansallinen ja/tai alueellinen laadunvarmistuksen viitekehys on laadittu, ja se sisältää ammatillisen koulutuksen tarjoajia koskevia ohjeita ja laatuvaatimuksia, joilla edistetään jatkuvaa parantamista ja itsesääntelyä.</w:t>
            </w:r>
          </w:p>
        </w:tc>
        <w:tc>
          <w:tcPr>
            <w:tcW w:w="1920" w:type="pct"/>
            <w:vAlign w:val="center"/>
          </w:tcPr>
          <w:p>
            <w:pPr>
              <w:jc w:val="left"/>
              <w:rPr>
                <w:rFonts w:eastAsia="Times New Roman"/>
                <w:noProof/>
                <w:szCs w:val="24"/>
              </w:rPr>
            </w:pPr>
            <w:r>
              <w:rPr>
                <w:noProof/>
              </w:rPr>
              <w:t>Resurssien sisäinen kohdentaminen tai jako on tarkoituksenmukaista toteutussuunnitelmissa asetettujen tavoitteiden kannalta.</w:t>
            </w:r>
          </w:p>
          <w:p>
            <w:pPr>
              <w:jc w:val="left"/>
              <w:rPr>
                <w:rFonts w:eastAsia="Times New Roman"/>
                <w:noProof/>
                <w:szCs w:val="24"/>
              </w:rPr>
            </w:pPr>
            <w:r>
              <w:rPr>
                <w:noProof/>
              </w:rPr>
              <w:t>Asiaankuuluvia ja osallistavia kumppanuuksia, myös opettajien ja kouluttajien välisiä kumppanuuksia, tuetaan aktiivisesti suunniteltujen toimien toteuttamiseksi.</w:t>
            </w:r>
          </w:p>
          <w:p>
            <w:pPr>
              <w:jc w:val="left"/>
              <w:rPr>
                <w:rFonts w:eastAsia="Times New Roman"/>
                <w:noProof/>
                <w:szCs w:val="24"/>
              </w:rPr>
            </w:pPr>
            <w:r>
              <w:rPr>
                <w:noProof/>
              </w:rPr>
              <w:t>Henkilöstön osaamisen strategisessa kehittämissuunnitelmassa määritellään opettajien ja kouluttajien koulutustarpeet.</w:t>
            </w:r>
          </w:p>
          <w:p>
            <w:pPr>
              <w:jc w:val="left"/>
              <w:rPr>
                <w:rFonts w:eastAsia="Times New Roman"/>
                <w:noProof/>
                <w:szCs w:val="24"/>
              </w:rPr>
            </w:pPr>
            <w:r>
              <w:rPr>
                <w:noProof/>
              </w:rPr>
              <w:t>Henkilöstö osallistuu säännöllisesti koulutukseen ja kehittää yhteistyötä asianomaisten ulkoisten sidosryhmien kanssa tukeakseen valmiuksien kehittämistä ja laadun parantamista sekä tehostaakseen toimintaa.</w:t>
            </w:r>
          </w:p>
          <w:p>
            <w:pPr>
              <w:jc w:val="left"/>
              <w:rPr>
                <w:noProof/>
                <w:szCs w:val="24"/>
              </w:rPr>
            </w:pPr>
            <w:r>
              <w:rPr>
                <w:noProof/>
              </w:rPr>
              <w:t>Ammatillisen koulutuksen tarjoajien ohjelmat mahdollistavat sen, että oppijat saavuttavat odotetut oppimistulokset ja osallistuvat oppimisprosessiin.</w:t>
            </w:r>
          </w:p>
          <w:p>
            <w:pPr>
              <w:jc w:val="left"/>
              <w:rPr>
                <w:noProof/>
                <w:szCs w:val="24"/>
              </w:rPr>
            </w:pPr>
            <w:r>
              <w:rPr>
                <w:noProof/>
              </w:rPr>
              <w:t>Ammatillisen koulutuksen tarjoajat vastaavat yksilöllisiin tarpeisiin oppijakeskeisellä toimintatavalla, jonka ansioista oppivat voivat saavuttaa odotetut oppimistulokset.</w:t>
            </w:r>
          </w:p>
          <w:p>
            <w:pPr>
              <w:jc w:val="left"/>
              <w:rPr>
                <w:noProof/>
                <w:szCs w:val="24"/>
              </w:rPr>
            </w:pPr>
            <w:r>
              <w:rPr>
                <w:noProof/>
              </w:rPr>
              <w:t>Ammatillisen koulutuksen tarjoajat edistävät opetus- ja oppimismenetelmien innovointia kouluissa ja työpaikoilla tukenaan digitaaliteknologia ja verkko-opiskeluvälineet.</w:t>
            </w:r>
          </w:p>
          <w:p>
            <w:pPr>
              <w:jc w:val="left"/>
              <w:rPr>
                <w:noProof/>
              </w:rPr>
            </w:pPr>
            <w:r>
              <w:rPr>
                <w:noProof/>
              </w:rPr>
              <w:t>Ammatillisen koulutuksen tarjoajat käyttävät päteviä, tarkkoja ja luotettavia menetelmiä arvioidessaan yksilöllisiä oppimistuloksia.</w:t>
            </w:r>
          </w:p>
        </w:tc>
      </w:tr>
      <w:tr>
        <w:tc>
          <w:tcPr>
            <w:tcW w:w="1031" w:type="pct"/>
            <w:vAlign w:val="center"/>
          </w:tcPr>
          <w:p>
            <w:pPr>
              <w:jc w:val="left"/>
              <w:rPr>
                <w:rFonts w:eastAsia="Times New Roman"/>
                <w:noProof/>
                <w:szCs w:val="24"/>
              </w:rPr>
            </w:pPr>
            <w:r>
              <w:rPr>
                <w:noProof/>
              </w:rPr>
              <w:t xml:space="preserve">Tuloksia ja prosesseja arvioidaan säännöllisesti ja </w:t>
            </w:r>
          </w:p>
          <w:p>
            <w:pPr>
              <w:jc w:val="left"/>
              <w:rPr>
                <w:noProof/>
              </w:rPr>
            </w:pPr>
            <w:r>
              <w:rPr>
                <w:noProof/>
              </w:rPr>
              <w:t>arvioinnin tueksi toteutetaan mittauksia.</w:t>
            </w:r>
          </w:p>
        </w:tc>
        <w:tc>
          <w:tcPr>
            <w:tcW w:w="2049" w:type="pct"/>
            <w:vAlign w:val="center"/>
          </w:tcPr>
          <w:p>
            <w:pPr>
              <w:jc w:val="left"/>
              <w:rPr>
                <w:rFonts w:eastAsia="Times New Roman"/>
                <w:noProof/>
                <w:szCs w:val="24"/>
              </w:rPr>
            </w:pPr>
            <w:r>
              <w:rPr>
                <w:noProof/>
              </w:rPr>
              <w:t>Arviointiin on laadittu menettely, joka kattaa sisäisen ja ulkoisen arvioinnin.</w:t>
            </w:r>
          </w:p>
          <w:p>
            <w:pPr>
              <w:jc w:val="left"/>
              <w:rPr>
                <w:rFonts w:eastAsia="Times New Roman"/>
                <w:noProof/>
                <w:szCs w:val="24"/>
              </w:rPr>
            </w:pPr>
            <w:r>
              <w:rPr>
                <w:noProof/>
              </w:rPr>
              <w:t>Sidosryhmien osallistumisesta seuranta- ja arviointiprosessiin on sovittu, ja se on kuvattu selkeästi.</w:t>
            </w:r>
          </w:p>
          <w:p>
            <w:pPr>
              <w:jc w:val="left"/>
              <w:rPr>
                <w:rFonts w:eastAsia="Times New Roman"/>
                <w:noProof/>
                <w:szCs w:val="24"/>
              </w:rPr>
            </w:pPr>
            <w:r>
              <w:rPr>
                <w:noProof/>
              </w:rPr>
              <w:t>Laadun parantamista ja varmistamista koskevat kansalliset tai alueelliset normit ja prosessit ovat asianmukaisia ja oikeassa suhteessa alan tarpeisiin.</w:t>
            </w:r>
          </w:p>
          <w:p>
            <w:pPr>
              <w:jc w:val="left"/>
              <w:rPr>
                <w:rFonts w:eastAsia="Times New Roman"/>
                <w:noProof/>
                <w:szCs w:val="24"/>
              </w:rPr>
            </w:pPr>
            <w:r>
              <w:rPr>
                <w:noProof/>
              </w:rPr>
              <w:t>Järjestelmissä toteutetaan itsearviointia ja tarvittaessa sisäistä ja ulkoista tarkistusta.</w:t>
            </w:r>
          </w:p>
          <w:p>
            <w:pPr>
              <w:jc w:val="left"/>
              <w:rPr>
                <w:rFonts w:eastAsia="Times New Roman"/>
                <w:noProof/>
                <w:szCs w:val="24"/>
              </w:rPr>
            </w:pPr>
            <w:r>
              <w:rPr>
                <w:noProof/>
              </w:rPr>
              <w:t>Varhaisvaroitusjärjestelmät on toteutettu.</w:t>
            </w:r>
          </w:p>
          <w:p>
            <w:pPr>
              <w:jc w:val="left"/>
              <w:rPr>
                <w:rFonts w:eastAsia="Times New Roman"/>
                <w:noProof/>
                <w:szCs w:val="24"/>
              </w:rPr>
            </w:pPr>
            <w:r>
              <w:rPr>
                <w:noProof/>
              </w:rPr>
              <w:t>Tulosindikaattoreita sovelletaan.</w:t>
            </w:r>
          </w:p>
          <w:p>
            <w:pPr>
              <w:jc w:val="left"/>
              <w:rPr>
                <w:noProof/>
              </w:rPr>
            </w:pPr>
            <w:r>
              <w:rPr>
                <w:noProof/>
              </w:rPr>
              <w:t>Tietojen kerääminen on merkityksellistä, säännöllistä ja johdonmukaista niin, että sen avulla voidaan mitata onnistumista ja tunnistaa kehittämisalueet. Tietojen keräämistä varten on laadittu asianmukaiset menettelyt, esim. kyselylomakkeet ja indikaattorit/mittajärjestelmät.</w:t>
            </w:r>
          </w:p>
        </w:tc>
        <w:tc>
          <w:tcPr>
            <w:tcW w:w="1920" w:type="pct"/>
            <w:vAlign w:val="center"/>
          </w:tcPr>
          <w:p>
            <w:pPr>
              <w:jc w:val="left"/>
              <w:rPr>
                <w:rFonts w:eastAsia="Times New Roman"/>
                <w:noProof/>
                <w:szCs w:val="24"/>
              </w:rPr>
            </w:pPr>
            <w:r>
              <w:rPr>
                <w:noProof/>
              </w:rPr>
              <w:t>Itsearviointi suoritetaan säännöllisin väliajoin kansallisten ja alueellisten sääntöjen tai puitteiden mukaisesti tai ammatillisen koulutuksen tarjoajien aloitteesta, ja se kattaa myös ammatillisten oppilaitosten digitaalisen valmiuden ja ympäristökestävyyden.</w:t>
            </w:r>
          </w:p>
          <w:p>
            <w:pPr>
              <w:jc w:val="left"/>
              <w:rPr>
                <w:rFonts w:eastAsia="Times New Roman"/>
                <w:noProof/>
                <w:szCs w:val="24"/>
              </w:rPr>
            </w:pPr>
            <w:r>
              <w:rPr>
                <w:noProof/>
              </w:rPr>
              <w:t>Arviointi ja tarkistaminen kattaa koulutusprosessit ja -tulokset, sisältäen opiskelijoiden tyytyväisyyden ja henkilöstön suoritusten ja tyytyväisyyden arvioinnin.</w:t>
            </w:r>
          </w:p>
          <w:p>
            <w:pPr>
              <w:jc w:val="left"/>
              <w:rPr>
                <w:rFonts w:eastAsia="Times New Roman"/>
                <w:noProof/>
                <w:szCs w:val="24"/>
              </w:rPr>
            </w:pPr>
            <w:r>
              <w:rPr>
                <w:noProof/>
              </w:rPr>
              <w:t>Arviointi ja tarkistaminen sisältää tiedon keruun ja käyttämisen sekä asiaankuuluvat ja tehokkaat mekanismit, joilla varmistetaan sisäisten ja ulkoisten sidosryhmien osallistuminen.</w:t>
            </w:r>
          </w:p>
          <w:p>
            <w:pPr>
              <w:jc w:val="left"/>
              <w:rPr>
                <w:noProof/>
              </w:rPr>
            </w:pPr>
            <w:r>
              <w:rPr>
                <w:noProof/>
              </w:rPr>
              <w:t>Varhaisvaroitusjärjestelmät on toteutettu.</w:t>
            </w:r>
          </w:p>
        </w:tc>
      </w:tr>
      <w:tr>
        <w:tc>
          <w:tcPr>
            <w:tcW w:w="1031" w:type="pct"/>
            <w:vAlign w:val="center"/>
          </w:tcPr>
          <w:p>
            <w:pPr>
              <w:jc w:val="left"/>
              <w:rPr>
                <w:noProof/>
                <w:szCs w:val="24"/>
              </w:rPr>
            </w:pPr>
            <w:r>
              <w:rPr>
                <w:noProof/>
              </w:rPr>
              <w:t>Tarkistaminen</w:t>
            </w:r>
          </w:p>
        </w:tc>
        <w:tc>
          <w:tcPr>
            <w:tcW w:w="2049" w:type="pct"/>
            <w:vAlign w:val="center"/>
          </w:tcPr>
          <w:p>
            <w:pPr>
              <w:tabs>
                <w:tab w:val="left" w:pos="1047"/>
              </w:tabs>
              <w:jc w:val="left"/>
              <w:rPr>
                <w:rFonts w:eastAsia="Times New Roman"/>
                <w:noProof/>
                <w:szCs w:val="24"/>
              </w:rPr>
            </w:pPr>
            <w:r>
              <w:rPr>
                <w:noProof/>
              </w:rPr>
              <w:t>Tarkistamisessa käytettävät menettelyt, mekanismit ja välineet on määritelty ja niitä käytetään tulosten parantamiseen kaikilla tasoilla.</w:t>
            </w:r>
          </w:p>
          <w:p>
            <w:pPr>
              <w:jc w:val="left"/>
              <w:rPr>
                <w:rFonts w:eastAsia="Times New Roman"/>
                <w:noProof/>
                <w:szCs w:val="24"/>
              </w:rPr>
            </w:pPr>
            <w:r>
              <w:rPr>
                <w:noProof/>
              </w:rPr>
              <w:t>Prosesseja tarkistetaan säännöllisesti ja muutossuunnitelmia laaditaan. Järjestelmiä mukautetaan vastaavasti.</w:t>
            </w:r>
          </w:p>
          <w:p>
            <w:pPr>
              <w:jc w:val="left"/>
              <w:rPr>
                <w:noProof/>
                <w:szCs w:val="24"/>
              </w:rPr>
            </w:pPr>
            <w:r>
              <w:rPr>
                <w:noProof/>
              </w:rPr>
              <w:t>Tiedot arvioinnin tuloksista julkistetaan.</w:t>
            </w:r>
          </w:p>
        </w:tc>
        <w:tc>
          <w:tcPr>
            <w:tcW w:w="1920" w:type="pct"/>
            <w:vAlign w:val="center"/>
          </w:tcPr>
          <w:p>
            <w:pPr>
              <w:tabs>
                <w:tab w:val="left" w:pos="1047"/>
              </w:tabs>
              <w:jc w:val="left"/>
              <w:rPr>
                <w:rFonts w:eastAsia="Times New Roman"/>
                <w:noProof/>
                <w:szCs w:val="24"/>
              </w:rPr>
            </w:pPr>
            <w:r>
              <w:rPr>
                <w:noProof/>
              </w:rPr>
              <w:t>Opiskelijoiden palaute yksittäisestä oppimiskokemuksesta sekä oppimis- ja opetusympäristöstä kootaan. Tämä yhdessä opettajien, kouluttajien ja kaikkien muiden asiaankuuluvien sidosryhmien palautteen kanssa otetaan huomioon jatkotoimia suunniteltaessa.</w:t>
            </w:r>
          </w:p>
          <w:p>
            <w:pPr>
              <w:tabs>
                <w:tab w:val="left" w:pos="1047"/>
              </w:tabs>
              <w:jc w:val="left"/>
              <w:rPr>
                <w:rFonts w:eastAsia="Times New Roman"/>
                <w:noProof/>
                <w:szCs w:val="24"/>
              </w:rPr>
            </w:pPr>
            <w:r>
              <w:rPr>
                <w:noProof/>
              </w:rPr>
              <w:t>Tiedot tarkistamisen tuloksista julkistetaan laajasti.</w:t>
            </w:r>
          </w:p>
          <w:p>
            <w:pPr>
              <w:tabs>
                <w:tab w:val="left" w:pos="1047"/>
              </w:tabs>
              <w:jc w:val="left"/>
              <w:rPr>
                <w:noProof/>
                <w:szCs w:val="24"/>
              </w:rPr>
            </w:pPr>
            <w:r>
              <w:rPr>
                <w:noProof/>
              </w:rPr>
              <w:t>Palautetta ja tarkistamista koskevat menettelyt ovat osa organisaation strategista oppimisprosessia, ja niillä tuetaan korkealaatuisen tarjonnan kehittämistä ja parannetaan oppijoiden mahdollisuuksia.</w:t>
            </w:r>
          </w:p>
          <w:p>
            <w:pPr>
              <w:jc w:val="left"/>
              <w:rPr>
                <w:noProof/>
              </w:rPr>
            </w:pPr>
            <w:r>
              <w:rPr>
                <w:noProof/>
              </w:rPr>
              <w:t>Arvioinnin tuloksista keskustellaan asianomaisten sidosryhmien kanssa, ja asianmukaisia toimintasuunnitelmia toteutetaan.</w:t>
            </w:r>
          </w:p>
        </w:tc>
      </w:tr>
    </w:tbl>
    <w:p>
      <w:pPr>
        <w:pageBreakBefore/>
        <w:widowControl w:val="0"/>
        <w:tabs>
          <w:tab w:val="left" w:pos="842"/>
        </w:tabs>
        <w:rPr>
          <w:rFonts w:eastAsia="Times New Roman"/>
          <w:b/>
          <w:noProof/>
          <w:szCs w:val="24"/>
        </w:rPr>
      </w:pPr>
      <w:r>
        <w:rPr>
          <w:b/>
          <w:noProof/>
          <w:szCs w:val="24"/>
        </w:rPr>
        <w:t>B osa.  EQAVET-indikaattoreiden viitejoukko</w:t>
      </w:r>
    </w:p>
    <w:p>
      <w:pPr>
        <w:widowControl w:val="0"/>
        <w:tabs>
          <w:tab w:val="left" w:pos="842"/>
        </w:tabs>
        <w:rPr>
          <w:rFonts w:eastAsia="Times New Roman"/>
          <w:noProof/>
          <w:szCs w:val="24"/>
        </w:rPr>
      </w:pPr>
      <w:r>
        <w:rPr>
          <w:noProof/>
        </w:rPr>
        <w:t xml:space="preserve">Tässä jaksossa määritellään viiteindikaattorit, joita voidaan käyttää tukemaan kansallisten tai alueellisten ammatillisen koulutuksen järjestelmien ja/tai ammatillisen koulutuksen tarjoajien arviointia ja laadun parantamista. </w:t>
      </w:r>
    </w:p>
    <w:tbl>
      <w:tblPr>
        <w:tblStyle w:val="TableGrid"/>
        <w:tblW w:w="9289" w:type="dxa"/>
        <w:tblLayout w:type="fixed"/>
        <w:tblLook w:val="04A0" w:firstRow="1" w:lastRow="0" w:firstColumn="1" w:lastColumn="0" w:noHBand="0" w:noVBand="1"/>
      </w:tblPr>
      <w:tblGrid>
        <w:gridCol w:w="3652"/>
        <w:gridCol w:w="2126"/>
        <w:gridCol w:w="3511"/>
      </w:tblGrid>
      <w:tr>
        <w:trPr>
          <w:trHeight w:val="20"/>
          <w:tblHeader/>
        </w:trPr>
        <w:tc>
          <w:tcPr>
            <w:tcW w:w="3652" w:type="dxa"/>
            <w:shd w:val="clear" w:color="auto" w:fill="F2F2F2" w:themeFill="background1" w:themeFillShade="F2"/>
            <w:vAlign w:val="center"/>
          </w:tcPr>
          <w:p>
            <w:pPr>
              <w:jc w:val="center"/>
              <w:rPr>
                <w:b/>
                <w:bCs/>
                <w:noProof/>
                <w:szCs w:val="24"/>
              </w:rPr>
            </w:pPr>
            <w:r>
              <w:rPr>
                <w:b/>
                <w:noProof/>
                <w:szCs w:val="24"/>
              </w:rPr>
              <w:t>Indikaattori</w:t>
            </w:r>
          </w:p>
        </w:tc>
        <w:tc>
          <w:tcPr>
            <w:tcW w:w="2126" w:type="dxa"/>
            <w:shd w:val="clear" w:color="auto" w:fill="F2F2F2" w:themeFill="background1" w:themeFillShade="F2"/>
            <w:vAlign w:val="center"/>
          </w:tcPr>
          <w:p>
            <w:pPr>
              <w:jc w:val="center"/>
              <w:rPr>
                <w:b/>
                <w:bCs/>
                <w:noProof/>
                <w:szCs w:val="24"/>
              </w:rPr>
            </w:pPr>
            <w:r>
              <w:rPr>
                <w:b/>
                <w:noProof/>
                <w:szCs w:val="24"/>
              </w:rPr>
              <w:t>Indikaattorityyppi</w:t>
            </w:r>
          </w:p>
        </w:tc>
        <w:tc>
          <w:tcPr>
            <w:tcW w:w="3511" w:type="dxa"/>
            <w:shd w:val="clear" w:color="auto" w:fill="F2F2F2" w:themeFill="background1" w:themeFillShade="F2"/>
            <w:vAlign w:val="center"/>
          </w:tcPr>
          <w:p>
            <w:pPr>
              <w:jc w:val="center"/>
              <w:rPr>
                <w:b/>
                <w:bCs/>
                <w:noProof/>
                <w:szCs w:val="24"/>
              </w:rPr>
            </w:pPr>
            <w:r>
              <w:rPr>
                <w:b/>
                <w:noProof/>
                <w:szCs w:val="24"/>
              </w:rPr>
              <w:t>Toiminnan tarkoitus</w:t>
            </w:r>
          </w:p>
        </w:tc>
      </w:tr>
      <w:tr>
        <w:trPr>
          <w:trHeight w:val="20"/>
        </w:trPr>
        <w:tc>
          <w:tcPr>
            <w:tcW w:w="9289" w:type="dxa"/>
            <w:gridSpan w:val="3"/>
            <w:vAlign w:val="center"/>
          </w:tcPr>
          <w:p>
            <w:pPr>
              <w:jc w:val="left"/>
              <w:rPr>
                <w:b/>
                <w:bCs/>
                <w:noProof/>
                <w:szCs w:val="24"/>
              </w:rPr>
            </w:pPr>
            <w:r>
              <w:rPr>
                <w:b/>
                <w:noProof/>
                <w:szCs w:val="24"/>
              </w:rPr>
              <w:t>Laadunvarmistuksen yleisluonteiset indikaattorit</w:t>
            </w:r>
          </w:p>
        </w:tc>
      </w:tr>
      <w:tr>
        <w:trPr>
          <w:trHeight w:val="20"/>
        </w:trPr>
        <w:tc>
          <w:tcPr>
            <w:tcW w:w="9289" w:type="dxa"/>
            <w:gridSpan w:val="3"/>
            <w:vAlign w:val="center"/>
          </w:tcPr>
          <w:p>
            <w:pPr>
              <w:jc w:val="left"/>
              <w:rPr>
                <w:rFonts w:cstheme="minorBidi"/>
                <w:b/>
                <w:i/>
                <w:noProof/>
              </w:rPr>
            </w:pPr>
            <w:r>
              <w:rPr>
                <w:b/>
                <w:i/>
                <w:noProof/>
              </w:rPr>
              <w:t xml:space="preserve">Nro 1 </w:t>
            </w:r>
          </w:p>
        </w:tc>
      </w:tr>
      <w:tr>
        <w:trPr>
          <w:trHeight w:val="20"/>
        </w:trPr>
        <w:tc>
          <w:tcPr>
            <w:tcW w:w="3652" w:type="dxa"/>
            <w:vAlign w:val="center"/>
          </w:tcPr>
          <w:p>
            <w:pPr>
              <w:tabs>
                <w:tab w:val="left" w:pos="1047"/>
              </w:tabs>
              <w:jc w:val="left"/>
              <w:rPr>
                <w:rFonts w:eastAsia="Times New Roman"/>
                <w:noProof/>
                <w:szCs w:val="24"/>
              </w:rPr>
            </w:pPr>
            <w:r>
              <w:rPr>
                <w:noProof/>
              </w:rPr>
              <w:t>Laadunvarmistusjärjestelmien merkittävyys ammatillisen koulutuksen tarjoajille:</w:t>
            </w:r>
          </w:p>
          <w:p>
            <w:pPr>
              <w:tabs>
                <w:tab w:val="left" w:pos="426"/>
              </w:tabs>
              <w:ind w:left="426" w:hanging="426"/>
              <w:jc w:val="left"/>
              <w:rPr>
                <w:rFonts w:eastAsia="Times New Roman"/>
                <w:noProof/>
                <w:szCs w:val="24"/>
              </w:rPr>
            </w:pPr>
            <w:r>
              <w:rPr>
                <w:noProof/>
              </w:rPr>
              <w:t>a)</w:t>
            </w:r>
            <w:r>
              <w:rPr>
                <w:noProof/>
              </w:rPr>
              <w:tab/>
              <w:t>laissa määriteltyjä tai oma-aloitteisia sisäisiä laadunvarmistusjärjestelmiä soveltavien ammatillisen koulutuksen tarjoajien osuus</w:t>
            </w:r>
          </w:p>
          <w:p>
            <w:pPr>
              <w:tabs>
                <w:tab w:val="left" w:pos="426"/>
              </w:tabs>
              <w:ind w:left="426" w:hanging="426"/>
              <w:jc w:val="left"/>
              <w:rPr>
                <w:rFonts w:eastAsia="Times New Roman"/>
                <w:noProof/>
                <w:szCs w:val="24"/>
              </w:rPr>
            </w:pPr>
            <w:r>
              <w:rPr>
                <w:noProof/>
              </w:rPr>
              <w:t>b)</w:t>
            </w:r>
            <w:r>
              <w:rPr>
                <w:noProof/>
              </w:rPr>
              <w:tab/>
              <w:t>hyväksyttyjen ammatillisen koulutuksen tarjoajien osuus</w:t>
            </w:r>
          </w:p>
        </w:tc>
        <w:tc>
          <w:tcPr>
            <w:tcW w:w="2126" w:type="dxa"/>
            <w:vAlign w:val="center"/>
          </w:tcPr>
          <w:p>
            <w:pPr>
              <w:jc w:val="left"/>
              <w:rPr>
                <w:noProof/>
                <w:w w:val="105"/>
                <w:szCs w:val="24"/>
              </w:rPr>
            </w:pPr>
            <w:r>
              <w:rPr>
                <w:noProof/>
              </w:rPr>
              <w:t>Konteksti- tai panosindikaattori</w:t>
            </w:r>
          </w:p>
        </w:tc>
        <w:tc>
          <w:tcPr>
            <w:tcW w:w="3511" w:type="dxa"/>
            <w:vAlign w:val="center"/>
          </w:tcPr>
          <w:p>
            <w:pPr>
              <w:jc w:val="left"/>
              <w:rPr>
                <w:rFonts w:eastAsia="Times New Roman"/>
                <w:noProof/>
                <w:szCs w:val="24"/>
              </w:rPr>
            </w:pPr>
            <w:r>
              <w:rPr>
                <w:noProof/>
              </w:rPr>
              <w:t>Edistää laadun parantamiseen tähtäävää ajattelua ammatillisen koulutuksen tarjoajien tasolla</w:t>
            </w:r>
          </w:p>
          <w:p>
            <w:pPr>
              <w:jc w:val="left"/>
              <w:rPr>
                <w:rFonts w:eastAsia="Times New Roman"/>
                <w:noProof/>
                <w:szCs w:val="24"/>
              </w:rPr>
            </w:pPr>
            <w:r>
              <w:rPr>
                <w:noProof/>
              </w:rPr>
              <w:t>Lisätä avoimuutta koulutuksen laatuasioissa</w:t>
            </w:r>
          </w:p>
          <w:p>
            <w:pPr>
              <w:jc w:val="left"/>
              <w:rPr>
                <w:noProof/>
                <w:w w:val="105"/>
                <w:szCs w:val="24"/>
              </w:rPr>
            </w:pPr>
            <w:r>
              <w:rPr>
                <w:noProof/>
              </w:rPr>
              <w:t>Parantaa koulutustarjontaa koskevaa vastavuoroista luottamusta</w:t>
            </w:r>
          </w:p>
        </w:tc>
      </w:tr>
      <w:tr>
        <w:trPr>
          <w:trHeight w:val="20"/>
        </w:trPr>
        <w:tc>
          <w:tcPr>
            <w:tcW w:w="9289" w:type="dxa"/>
            <w:gridSpan w:val="3"/>
            <w:vAlign w:val="center"/>
          </w:tcPr>
          <w:p>
            <w:pPr>
              <w:jc w:val="left"/>
              <w:rPr>
                <w:rFonts w:cstheme="minorBidi"/>
                <w:b/>
                <w:i/>
                <w:noProof/>
              </w:rPr>
            </w:pPr>
            <w:r>
              <w:rPr>
                <w:b/>
                <w:i/>
                <w:noProof/>
              </w:rPr>
              <w:t>Nro 2</w:t>
            </w:r>
          </w:p>
        </w:tc>
      </w:tr>
      <w:tr>
        <w:trPr>
          <w:trHeight w:val="20"/>
        </w:trPr>
        <w:tc>
          <w:tcPr>
            <w:tcW w:w="3652" w:type="dxa"/>
            <w:vAlign w:val="center"/>
          </w:tcPr>
          <w:p>
            <w:pPr>
              <w:jc w:val="left"/>
              <w:rPr>
                <w:rFonts w:eastAsia="Times New Roman"/>
                <w:noProof/>
                <w:szCs w:val="24"/>
              </w:rPr>
            </w:pPr>
            <w:r>
              <w:rPr>
                <w:noProof/>
              </w:rPr>
              <w:t>Investoinnit opettajien ja kouluttajien koulutukseen:</w:t>
            </w:r>
          </w:p>
          <w:p>
            <w:pPr>
              <w:ind w:left="426" w:hanging="426"/>
              <w:jc w:val="left"/>
              <w:rPr>
                <w:rFonts w:eastAsia="Times New Roman"/>
                <w:noProof/>
                <w:szCs w:val="24"/>
              </w:rPr>
            </w:pPr>
            <w:r>
              <w:rPr>
                <w:noProof/>
              </w:rPr>
              <w:t>a)</w:t>
            </w:r>
            <w:r>
              <w:rPr>
                <w:noProof/>
              </w:rPr>
              <w:tab/>
              <w:t>jatkokoulutukseen osallistuvien opettajien ja kouluttajien osuus</w:t>
            </w:r>
          </w:p>
          <w:p>
            <w:pPr>
              <w:ind w:left="426" w:hanging="426"/>
              <w:jc w:val="left"/>
              <w:rPr>
                <w:rFonts w:eastAsia="Times New Roman"/>
                <w:noProof/>
                <w:szCs w:val="24"/>
                <w:lang w:bidi="en-US"/>
              </w:rPr>
            </w:pPr>
          </w:p>
          <w:p>
            <w:pPr>
              <w:ind w:left="426" w:hanging="426"/>
              <w:jc w:val="left"/>
              <w:rPr>
                <w:rFonts w:eastAsia="Times New Roman"/>
                <w:noProof/>
                <w:szCs w:val="24"/>
              </w:rPr>
            </w:pPr>
            <w:r>
              <w:rPr>
                <w:noProof/>
              </w:rPr>
              <w:t>b)</w:t>
            </w:r>
            <w:r>
              <w:rPr>
                <w:noProof/>
              </w:rPr>
              <w:tab/>
              <w:t>sijoitettujen varojen määrä, digitaalisiin taitoihin sijoitetut varat mukaan luettuina</w:t>
            </w:r>
          </w:p>
        </w:tc>
        <w:tc>
          <w:tcPr>
            <w:tcW w:w="2126" w:type="dxa"/>
            <w:vAlign w:val="center"/>
          </w:tcPr>
          <w:p>
            <w:pPr>
              <w:jc w:val="left"/>
              <w:rPr>
                <w:noProof/>
                <w:szCs w:val="24"/>
              </w:rPr>
            </w:pPr>
            <w:r>
              <w:rPr>
                <w:noProof/>
              </w:rPr>
              <w:t>Panos- tai prosessi-indikaattori</w:t>
            </w:r>
          </w:p>
        </w:tc>
        <w:tc>
          <w:tcPr>
            <w:tcW w:w="3511" w:type="dxa"/>
            <w:vAlign w:val="center"/>
          </w:tcPr>
          <w:p>
            <w:pPr>
              <w:jc w:val="left"/>
              <w:rPr>
                <w:rFonts w:eastAsia="Times New Roman"/>
                <w:noProof/>
                <w:szCs w:val="24"/>
              </w:rPr>
            </w:pPr>
            <w:r>
              <w:rPr>
                <w:noProof/>
              </w:rPr>
              <w:t>Edistää opettajien ja kouluttajien vastuuta ammatillisen koulutuksen laadun kehittämisprosessista</w:t>
            </w:r>
          </w:p>
          <w:p>
            <w:pPr>
              <w:jc w:val="left"/>
              <w:rPr>
                <w:rFonts w:eastAsia="Times New Roman"/>
                <w:noProof/>
                <w:szCs w:val="24"/>
              </w:rPr>
            </w:pPr>
            <w:r>
              <w:rPr>
                <w:noProof/>
              </w:rPr>
              <w:t>Parantaa ammatillisen koulutuksen kykyä mukautua työmarkkinoiden kysynnän kehitykseen</w:t>
            </w:r>
          </w:p>
          <w:p>
            <w:pPr>
              <w:jc w:val="left"/>
              <w:rPr>
                <w:rFonts w:eastAsia="Times New Roman"/>
                <w:noProof/>
                <w:szCs w:val="24"/>
              </w:rPr>
            </w:pPr>
            <w:r>
              <w:rPr>
                <w:noProof/>
              </w:rPr>
              <w:t>Lisätä yksilöiden oppimisvalmiuksien kehittämistä</w:t>
            </w:r>
          </w:p>
          <w:p>
            <w:pPr>
              <w:jc w:val="left"/>
              <w:rPr>
                <w:noProof/>
                <w:szCs w:val="24"/>
              </w:rPr>
            </w:pPr>
            <w:r>
              <w:rPr>
                <w:noProof/>
              </w:rPr>
              <w:t>Parantaa opiskelijoiden suorituksia</w:t>
            </w:r>
          </w:p>
        </w:tc>
      </w:tr>
      <w:tr>
        <w:trPr>
          <w:trHeight w:val="20"/>
        </w:trPr>
        <w:tc>
          <w:tcPr>
            <w:tcW w:w="9289" w:type="dxa"/>
            <w:gridSpan w:val="3"/>
            <w:vAlign w:val="center"/>
          </w:tcPr>
          <w:p>
            <w:pPr>
              <w:jc w:val="left"/>
              <w:rPr>
                <w:b/>
                <w:bCs/>
                <w:noProof/>
                <w:szCs w:val="24"/>
              </w:rPr>
            </w:pPr>
            <w:r>
              <w:rPr>
                <w:b/>
                <w:noProof/>
                <w:szCs w:val="24"/>
              </w:rPr>
              <w:t>Ammattikoulutuspolitiikan laatutavoitteita tukevat indikaattorit</w:t>
            </w:r>
          </w:p>
        </w:tc>
      </w:tr>
      <w:tr>
        <w:trPr>
          <w:trHeight w:val="20"/>
        </w:trPr>
        <w:tc>
          <w:tcPr>
            <w:tcW w:w="9289" w:type="dxa"/>
            <w:gridSpan w:val="3"/>
            <w:vAlign w:val="center"/>
          </w:tcPr>
          <w:p>
            <w:pPr>
              <w:jc w:val="left"/>
              <w:rPr>
                <w:rFonts w:cstheme="minorBidi"/>
                <w:b/>
                <w:i/>
                <w:noProof/>
              </w:rPr>
            </w:pPr>
            <w:r>
              <w:rPr>
                <w:b/>
                <w:i/>
                <w:noProof/>
              </w:rPr>
              <w:t>Nro 3</w:t>
            </w:r>
          </w:p>
        </w:tc>
      </w:tr>
      <w:tr>
        <w:trPr>
          <w:trHeight w:val="20"/>
        </w:trPr>
        <w:tc>
          <w:tcPr>
            <w:tcW w:w="3652" w:type="dxa"/>
            <w:vAlign w:val="center"/>
          </w:tcPr>
          <w:p>
            <w:pPr>
              <w:jc w:val="left"/>
              <w:rPr>
                <w:rFonts w:eastAsia="Times New Roman"/>
                <w:noProof/>
                <w:szCs w:val="24"/>
              </w:rPr>
            </w:pPr>
            <w:r>
              <w:rPr>
                <w:noProof/>
              </w:rPr>
              <w:t>Ammatillisten koulutusohjelmien osallistumisaste:</w:t>
            </w:r>
          </w:p>
          <w:p>
            <w:pPr>
              <w:jc w:val="left"/>
              <w:rPr>
                <w:rFonts w:eastAsia="Times New Roman"/>
                <w:noProof/>
                <w:szCs w:val="24"/>
              </w:rPr>
            </w:pPr>
            <w:r>
              <w:rPr>
                <w:noProof/>
              </w:rPr>
              <w:t>Ammatillisten koulutusohjelmienosanottajamäärä</w:t>
            </w:r>
            <w:r>
              <w:rPr>
                <w:rStyle w:val="FootnoteReference"/>
                <w:noProof/>
              </w:rPr>
              <w:footnoteReference w:id="14"/>
            </w:r>
            <w:r>
              <w:rPr>
                <w:noProof/>
              </w:rPr>
              <w:t xml:space="preserve"> , jaoteltuna ohjelmatyypeittäin ja yksilöllisin perustein</w:t>
            </w:r>
            <w:r>
              <w:rPr>
                <w:rStyle w:val="FootnoteReference"/>
                <w:noProof/>
              </w:rPr>
              <w:footnoteReference w:id="15"/>
            </w:r>
          </w:p>
        </w:tc>
        <w:tc>
          <w:tcPr>
            <w:tcW w:w="2126" w:type="dxa"/>
            <w:vAlign w:val="center"/>
          </w:tcPr>
          <w:p>
            <w:pPr>
              <w:jc w:val="left"/>
              <w:rPr>
                <w:rFonts w:eastAsia="Times New Roman"/>
                <w:noProof/>
                <w:szCs w:val="24"/>
              </w:rPr>
            </w:pPr>
            <w:r>
              <w:rPr>
                <w:noProof/>
              </w:rPr>
              <w:t>Panos-, prosessi- tai tuotos-indikaattori</w:t>
            </w:r>
          </w:p>
        </w:tc>
        <w:tc>
          <w:tcPr>
            <w:tcW w:w="3511" w:type="dxa"/>
            <w:vAlign w:val="center"/>
          </w:tcPr>
          <w:p>
            <w:pPr>
              <w:jc w:val="left"/>
              <w:rPr>
                <w:rFonts w:eastAsia="Times New Roman"/>
                <w:noProof/>
                <w:szCs w:val="24"/>
              </w:rPr>
            </w:pPr>
            <w:r>
              <w:rPr>
                <w:noProof/>
              </w:rPr>
              <w:t>Saada ammatillisen koulutuksen järjestelmän ja ammatillisen koulutuksen tarjoajien tason perustietoa ammatillisen koulutuksen houkuttelevuudesta</w:t>
            </w:r>
          </w:p>
          <w:p>
            <w:pPr>
              <w:jc w:val="left"/>
              <w:rPr>
                <w:rFonts w:eastAsia="Times New Roman"/>
                <w:noProof/>
                <w:szCs w:val="24"/>
              </w:rPr>
            </w:pPr>
            <w:r>
              <w:rPr>
                <w:noProof/>
              </w:rPr>
              <w:t>Kohdentaa tukea ammatilliseen koulutukseen pääsyn lisäämiseen, myös heikommassa asemassa oleville ryhmille</w:t>
            </w:r>
          </w:p>
        </w:tc>
      </w:tr>
      <w:tr>
        <w:trPr>
          <w:trHeight w:val="20"/>
        </w:trPr>
        <w:tc>
          <w:tcPr>
            <w:tcW w:w="9289" w:type="dxa"/>
            <w:gridSpan w:val="3"/>
            <w:vAlign w:val="center"/>
          </w:tcPr>
          <w:p>
            <w:pPr>
              <w:jc w:val="left"/>
              <w:rPr>
                <w:rFonts w:cstheme="minorBidi"/>
                <w:b/>
                <w:i/>
                <w:noProof/>
              </w:rPr>
            </w:pPr>
            <w:r>
              <w:rPr>
                <w:b/>
                <w:i/>
                <w:noProof/>
              </w:rPr>
              <w:t>Nro 4</w:t>
            </w:r>
          </w:p>
        </w:tc>
      </w:tr>
      <w:tr>
        <w:trPr>
          <w:trHeight w:val="20"/>
        </w:trPr>
        <w:tc>
          <w:tcPr>
            <w:tcW w:w="3652" w:type="dxa"/>
            <w:vAlign w:val="center"/>
          </w:tcPr>
          <w:p>
            <w:pPr>
              <w:jc w:val="left"/>
              <w:rPr>
                <w:rFonts w:eastAsia="Times New Roman"/>
                <w:noProof/>
                <w:szCs w:val="24"/>
              </w:rPr>
            </w:pPr>
            <w:r>
              <w:rPr>
                <w:noProof/>
              </w:rPr>
              <w:t>Ammatillisten koulutusohjelmien suorittamisaste:</w:t>
            </w:r>
          </w:p>
          <w:p>
            <w:pPr>
              <w:jc w:val="left"/>
              <w:rPr>
                <w:rFonts w:eastAsia="Times New Roman"/>
                <w:noProof/>
                <w:szCs w:val="24"/>
              </w:rPr>
            </w:pPr>
            <w:r>
              <w:rPr>
                <w:noProof/>
              </w:rPr>
              <w:t>Ammatillisen koulutusohjelman onnistuneesti suorittaneiden tai kesken jättäneiden henkilöiden määrä, jaoteltuna ohjelmatyypeittäin ja yksilöllisin perustein</w:t>
            </w:r>
          </w:p>
        </w:tc>
        <w:tc>
          <w:tcPr>
            <w:tcW w:w="2126" w:type="dxa"/>
            <w:vAlign w:val="center"/>
          </w:tcPr>
          <w:p>
            <w:pPr>
              <w:jc w:val="left"/>
              <w:rPr>
                <w:rFonts w:eastAsia="Times New Roman"/>
                <w:noProof/>
                <w:szCs w:val="24"/>
              </w:rPr>
            </w:pPr>
            <w:r>
              <w:rPr>
                <w:noProof/>
              </w:rPr>
              <w:t>Prosessi-, tuotos- tai tulosindikaattori</w:t>
            </w:r>
          </w:p>
        </w:tc>
        <w:tc>
          <w:tcPr>
            <w:tcW w:w="3511" w:type="dxa"/>
            <w:vAlign w:val="center"/>
          </w:tcPr>
          <w:p>
            <w:pPr>
              <w:jc w:val="left"/>
              <w:rPr>
                <w:rFonts w:eastAsia="Times New Roman"/>
                <w:noProof/>
                <w:szCs w:val="24"/>
              </w:rPr>
            </w:pPr>
            <w:r>
              <w:rPr>
                <w:noProof/>
              </w:rPr>
              <w:t>Saada perustietoa koulutuksen etenemisestä ja koulutusprosessien laadusta</w:t>
            </w:r>
          </w:p>
          <w:p>
            <w:pPr>
              <w:jc w:val="left"/>
              <w:rPr>
                <w:rFonts w:eastAsia="Times New Roman"/>
                <w:noProof/>
                <w:szCs w:val="24"/>
              </w:rPr>
            </w:pPr>
            <w:r>
              <w:rPr>
                <w:noProof/>
              </w:rPr>
              <w:t>Laskea keskeytysaste verrattuna osallistumisasteeseen</w:t>
            </w:r>
          </w:p>
          <w:p>
            <w:pPr>
              <w:jc w:val="left"/>
              <w:rPr>
                <w:rFonts w:eastAsia="Times New Roman"/>
                <w:noProof/>
                <w:szCs w:val="24"/>
              </w:rPr>
            </w:pPr>
            <w:r>
              <w:rPr>
                <w:noProof/>
              </w:rPr>
              <w:t>Tukea koulutuksen onnistunutta loppuun suorittamista yhtenä ammatillisen koulutuksen pääasiallisista laatutavoitteista</w:t>
            </w:r>
          </w:p>
          <w:p>
            <w:pPr>
              <w:jc w:val="left"/>
              <w:rPr>
                <w:rFonts w:eastAsia="Times New Roman"/>
                <w:noProof/>
                <w:szCs w:val="24"/>
              </w:rPr>
            </w:pPr>
            <w:r>
              <w:rPr>
                <w:noProof/>
              </w:rPr>
              <w:t>Tukea mukautettua koulutustarjontaa, myös heikommassa asemassa oleville ryhmille</w:t>
            </w:r>
          </w:p>
        </w:tc>
      </w:tr>
      <w:tr>
        <w:trPr>
          <w:trHeight w:val="20"/>
        </w:trPr>
        <w:tc>
          <w:tcPr>
            <w:tcW w:w="9289" w:type="dxa"/>
            <w:gridSpan w:val="3"/>
            <w:vAlign w:val="center"/>
          </w:tcPr>
          <w:p>
            <w:pPr>
              <w:jc w:val="left"/>
              <w:rPr>
                <w:rFonts w:cstheme="minorBidi"/>
                <w:b/>
                <w:i/>
                <w:noProof/>
              </w:rPr>
            </w:pPr>
            <w:r>
              <w:rPr>
                <w:b/>
                <w:i/>
                <w:noProof/>
              </w:rPr>
              <w:t>Nro 5</w:t>
            </w:r>
          </w:p>
        </w:tc>
      </w:tr>
      <w:tr>
        <w:trPr>
          <w:trHeight w:val="20"/>
        </w:trPr>
        <w:tc>
          <w:tcPr>
            <w:tcW w:w="3652" w:type="dxa"/>
            <w:vAlign w:val="center"/>
          </w:tcPr>
          <w:p>
            <w:pPr>
              <w:jc w:val="left"/>
              <w:rPr>
                <w:rFonts w:eastAsia="Times New Roman"/>
                <w:noProof/>
                <w:szCs w:val="24"/>
              </w:rPr>
            </w:pPr>
            <w:r>
              <w:rPr>
                <w:noProof/>
              </w:rPr>
              <w:t>Ammatillisten koulutusohjelmien työllistymisaste:</w:t>
            </w:r>
          </w:p>
          <w:p>
            <w:pPr>
              <w:ind w:left="426" w:hanging="426"/>
              <w:jc w:val="left"/>
              <w:rPr>
                <w:rFonts w:eastAsia="Times New Roman"/>
                <w:noProof/>
                <w:szCs w:val="24"/>
              </w:rPr>
            </w:pPr>
            <w:r>
              <w:rPr>
                <w:noProof/>
              </w:rPr>
              <w:t>a)</w:t>
            </w:r>
            <w:r>
              <w:rPr>
                <w:noProof/>
              </w:rPr>
              <w:tab/>
              <w:t>ammatillisen koulutuksen opiskelijoiden sijoittuminen määrätyn ajan kuluttua koulutuksen päättymisestä, jaoteltuna ohjelmatyypeittäin ja yksilöllisin perustein</w:t>
            </w:r>
            <w:r>
              <w:rPr>
                <w:rStyle w:val="FootnoteReference"/>
                <w:noProof/>
              </w:rPr>
              <w:footnoteReference w:id="16"/>
            </w:r>
          </w:p>
          <w:p>
            <w:pPr>
              <w:ind w:left="426" w:hanging="426"/>
              <w:jc w:val="left"/>
              <w:rPr>
                <w:rFonts w:eastAsia="Times New Roman"/>
                <w:noProof/>
                <w:szCs w:val="24"/>
              </w:rPr>
            </w:pPr>
            <w:r>
              <w:rPr>
                <w:noProof/>
              </w:rPr>
              <w:t>b)</w:t>
            </w:r>
            <w:r>
              <w:rPr>
                <w:noProof/>
              </w:rPr>
              <w:tab/>
              <w:t>työllistyneiden opiskelijoiden osuus määrätyn ajan kuluttua koulutuksen päättymisen jälkeen, jaoteltuna ohjelmatyypeittäin ja yksilöllisin perustein</w:t>
            </w:r>
          </w:p>
        </w:tc>
        <w:tc>
          <w:tcPr>
            <w:tcW w:w="2126" w:type="dxa"/>
            <w:vAlign w:val="center"/>
          </w:tcPr>
          <w:p>
            <w:pPr>
              <w:jc w:val="left"/>
              <w:rPr>
                <w:noProof/>
                <w:w w:val="105"/>
                <w:szCs w:val="24"/>
              </w:rPr>
            </w:pPr>
            <w:r>
              <w:rPr>
                <w:noProof/>
              </w:rPr>
              <w:t>Tulosindikaattori</w:t>
            </w:r>
          </w:p>
        </w:tc>
        <w:tc>
          <w:tcPr>
            <w:tcW w:w="3511" w:type="dxa"/>
            <w:vAlign w:val="center"/>
          </w:tcPr>
          <w:p>
            <w:pPr>
              <w:jc w:val="left"/>
              <w:rPr>
                <w:rFonts w:eastAsia="Times New Roman"/>
                <w:noProof/>
                <w:szCs w:val="24"/>
              </w:rPr>
            </w:pPr>
            <w:r>
              <w:rPr>
                <w:noProof/>
              </w:rPr>
              <w:t>Tukea työllistyvyyttä</w:t>
            </w:r>
          </w:p>
          <w:p>
            <w:pPr>
              <w:jc w:val="left"/>
              <w:rPr>
                <w:rFonts w:eastAsia="Times New Roman"/>
                <w:noProof/>
                <w:szCs w:val="24"/>
              </w:rPr>
            </w:pPr>
            <w:r>
              <w:rPr>
                <w:noProof/>
              </w:rPr>
              <w:t>Parantaa ammatillisen koulutuksen kykyä mukautua työmarkkinoiden kysynnän muutoksiin</w:t>
            </w:r>
          </w:p>
          <w:p>
            <w:pPr>
              <w:jc w:val="left"/>
              <w:rPr>
                <w:noProof/>
                <w:szCs w:val="24"/>
              </w:rPr>
            </w:pPr>
            <w:r>
              <w:rPr>
                <w:noProof/>
              </w:rPr>
              <w:t>Tukea mukautettua koulutustarjontaa, myös heikommassa asemassa oleville ryhmille</w:t>
            </w:r>
          </w:p>
        </w:tc>
      </w:tr>
      <w:tr>
        <w:trPr>
          <w:trHeight w:val="20"/>
        </w:trPr>
        <w:tc>
          <w:tcPr>
            <w:tcW w:w="9289" w:type="dxa"/>
            <w:gridSpan w:val="3"/>
            <w:vAlign w:val="center"/>
          </w:tcPr>
          <w:p>
            <w:pPr>
              <w:jc w:val="left"/>
              <w:rPr>
                <w:rFonts w:cstheme="minorBidi"/>
                <w:b/>
                <w:i/>
                <w:noProof/>
              </w:rPr>
            </w:pPr>
            <w:r>
              <w:rPr>
                <w:b/>
                <w:i/>
                <w:noProof/>
              </w:rPr>
              <w:t>Nro 6</w:t>
            </w:r>
          </w:p>
        </w:tc>
      </w:tr>
      <w:tr>
        <w:trPr>
          <w:trHeight w:val="20"/>
        </w:trPr>
        <w:tc>
          <w:tcPr>
            <w:tcW w:w="3652" w:type="dxa"/>
            <w:vAlign w:val="center"/>
          </w:tcPr>
          <w:p>
            <w:pPr>
              <w:ind w:left="426" w:hanging="426"/>
              <w:jc w:val="left"/>
              <w:rPr>
                <w:rFonts w:eastAsia="Times New Roman"/>
                <w:noProof/>
                <w:szCs w:val="24"/>
              </w:rPr>
            </w:pPr>
            <w:r>
              <w:rPr>
                <w:noProof/>
              </w:rPr>
              <w:t>Opittujen taitojen käyttö työpaikalla:</w:t>
            </w:r>
          </w:p>
          <w:p>
            <w:pPr>
              <w:ind w:left="426" w:hanging="426"/>
              <w:jc w:val="left"/>
              <w:rPr>
                <w:rFonts w:eastAsia="Times New Roman"/>
                <w:noProof/>
                <w:szCs w:val="24"/>
              </w:rPr>
            </w:pPr>
            <w:r>
              <w:rPr>
                <w:noProof/>
              </w:rPr>
              <w:t>a)</w:t>
            </w:r>
            <w:r>
              <w:rPr>
                <w:noProof/>
              </w:rPr>
              <w:tab/>
              <w:t>tiedot henkilöiden koulutuksen päättymisen jälkeen saamasta toimesta, jaoteltuna koulutuksen tyypin mukaan ja yksilöllisin perustein</w:t>
            </w:r>
          </w:p>
          <w:p>
            <w:pPr>
              <w:ind w:left="426" w:hanging="426"/>
              <w:jc w:val="left"/>
              <w:rPr>
                <w:rFonts w:eastAsia="Times New Roman"/>
                <w:noProof/>
                <w:szCs w:val="24"/>
              </w:rPr>
            </w:pPr>
            <w:r>
              <w:rPr>
                <w:noProof/>
              </w:rPr>
              <w:t>b)</w:t>
            </w:r>
            <w:r>
              <w:rPr>
                <w:noProof/>
              </w:rPr>
              <w:tab/>
              <w:t>henkilöiden ja työnantajien tyytyväisyysaste opittuihin taitoihin/pätevyyteen</w:t>
            </w:r>
          </w:p>
        </w:tc>
        <w:tc>
          <w:tcPr>
            <w:tcW w:w="2126" w:type="dxa"/>
            <w:vAlign w:val="center"/>
          </w:tcPr>
          <w:p>
            <w:pPr>
              <w:jc w:val="left"/>
              <w:rPr>
                <w:rFonts w:eastAsia="Times New Roman"/>
                <w:noProof/>
                <w:szCs w:val="24"/>
              </w:rPr>
            </w:pPr>
            <w:r>
              <w:rPr>
                <w:noProof/>
              </w:rPr>
              <w:t>Tulosindikaattori</w:t>
            </w:r>
          </w:p>
          <w:p>
            <w:pPr>
              <w:jc w:val="left"/>
              <w:rPr>
                <w:b/>
                <w:bCs/>
                <w:noProof/>
                <w:szCs w:val="24"/>
              </w:rPr>
            </w:pPr>
            <w:r>
              <w:rPr>
                <w:noProof/>
              </w:rPr>
              <w:t>(sekoitus laadullisia ja määrällisiä tietoja)</w:t>
            </w:r>
          </w:p>
        </w:tc>
        <w:tc>
          <w:tcPr>
            <w:tcW w:w="3511" w:type="dxa"/>
            <w:vAlign w:val="center"/>
          </w:tcPr>
          <w:p>
            <w:pPr>
              <w:jc w:val="left"/>
              <w:rPr>
                <w:rFonts w:eastAsia="Times New Roman"/>
                <w:noProof/>
                <w:szCs w:val="24"/>
              </w:rPr>
            </w:pPr>
            <w:r>
              <w:rPr>
                <w:noProof/>
              </w:rPr>
              <w:t>Lisätä työllistyvyyttä</w:t>
            </w:r>
          </w:p>
          <w:p>
            <w:pPr>
              <w:jc w:val="left"/>
              <w:rPr>
                <w:rFonts w:eastAsia="Times New Roman"/>
                <w:noProof/>
                <w:szCs w:val="24"/>
              </w:rPr>
            </w:pPr>
            <w:r>
              <w:rPr>
                <w:noProof/>
              </w:rPr>
              <w:t>Parantaa ammatillisen koulutuksen kykyä mukautua työmarkkinoiden kysynnän muutoksiin</w:t>
            </w:r>
          </w:p>
          <w:p>
            <w:pPr>
              <w:jc w:val="left"/>
              <w:rPr>
                <w:b/>
                <w:bCs/>
                <w:noProof/>
                <w:szCs w:val="24"/>
              </w:rPr>
            </w:pPr>
            <w:r>
              <w:rPr>
                <w:noProof/>
              </w:rPr>
              <w:t>Tukea mukautettua koulutustarjontaa, myös heikommassa asemassa oleville ryhmille</w:t>
            </w:r>
          </w:p>
        </w:tc>
      </w:tr>
      <w:tr>
        <w:trPr>
          <w:trHeight w:val="20"/>
        </w:trPr>
        <w:tc>
          <w:tcPr>
            <w:tcW w:w="9289" w:type="dxa"/>
            <w:gridSpan w:val="3"/>
            <w:vAlign w:val="center"/>
          </w:tcPr>
          <w:p>
            <w:pPr>
              <w:jc w:val="left"/>
              <w:rPr>
                <w:b/>
                <w:bCs/>
                <w:noProof/>
                <w:szCs w:val="24"/>
              </w:rPr>
            </w:pPr>
            <w:r>
              <w:rPr>
                <w:b/>
                <w:noProof/>
                <w:szCs w:val="24"/>
              </w:rPr>
              <w:t>Taustatiedot</w:t>
            </w:r>
          </w:p>
        </w:tc>
      </w:tr>
      <w:tr>
        <w:trPr>
          <w:trHeight w:val="20"/>
        </w:trPr>
        <w:tc>
          <w:tcPr>
            <w:tcW w:w="9289" w:type="dxa"/>
            <w:gridSpan w:val="3"/>
            <w:vAlign w:val="center"/>
          </w:tcPr>
          <w:p>
            <w:pPr>
              <w:jc w:val="left"/>
              <w:rPr>
                <w:rFonts w:cstheme="minorBidi"/>
                <w:b/>
                <w:i/>
                <w:noProof/>
              </w:rPr>
            </w:pPr>
            <w:r>
              <w:rPr>
                <w:b/>
                <w:i/>
                <w:noProof/>
              </w:rPr>
              <w:t>Nro 7</w:t>
            </w:r>
          </w:p>
        </w:tc>
      </w:tr>
      <w:tr>
        <w:trPr>
          <w:trHeight w:val="20"/>
        </w:trPr>
        <w:tc>
          <w:tcPr>
            <w:tcW w:w="3652" w:type="dxa"/>
            <w:vAlign w:val="center"/>
          </w:tcPr>
          <w:p>
            <w:pPr>
              <w:jc w:val="left"/>
              <w:rPr>
                <w:rFonts w:eastAsia="Times New Roman"/>
                <w:noProof/>
                <w:szCs w:val="24"/>
              </w:rPr>
            </w:pPr>
            <w:r>
              <w:rPr>
                <w:noProof/>
              </w:rPr>
              <w:t>Työttömyysaste</w:t>
            </w:r>
            <w:r>
              <w:rPr>
                <w:rStyle w:val="FootnoteReference"/>
                <w:noProof/>
              </w:rPr>
              <w:footnoteReference w:id="17"/>
            </w:r>
            <w:r>
              <w:rPr>
                <w:noProof/>
              </w:rPr>
              <w:t xml:space="preserve"> jaoteltuna yksilöllisin perustein</w:t>
            </w:r>
          </w:p>
        </w:tc>
        <w:tc>
          <w:tcPr>
            <w:tcW w:w="2126" w:type="dxa"/>
            <w:vAlign w:val="center"/>
          </w:tcPr>
          <w:p>
            <w:pPr>
              <w:jc w:val="left"/>
              <w:rPr>
                <w:noProof/>
                <w:w w:val="105"/>
                <w:szCs w:val="24"/>
              </w:rPr>
            </w:pPr>
            <w:r>
              <w:rPr>
                <w:noProof/>
              </w:rPr>
              <w:t>Konteksti-indikaattori</w:t>
            </w:r>
          </w:p>
        </w:tc>
        <w:tc>
          <w:tcPr>
            <w:tcW w:w="3511" w:type="dxa"/>
            <w:vAlign w:val="center"/>
          </w:tcPr>
          <w:p>
            <w:pPr>
              <w:jc w:val="left"/>
              <w:rPr>
                <w:noProof/>
                <w:szCs w:val="24"/>
              </w:rPr>
            </w:pPr>
            <w:r>
              <w:rPr>
                <w:noProof/>
              </w:rPr>
              <w:t>Taustatiedot toimintapolitiikasta päättämiseksi ammatillisen koulutuksen järjestelmän tasolla</w:t>
            </w:r>
          </w:p>
        </w:tc>
      </w:tr>
      <w:tr>
        <w:trPr>
          <w:trHeight w:val="20"/>
        </w:trPr>
        <w:tc>
          <w:tcPr>
            <w:tcW w:w="9289" w:type="dxa"/>
            <w:gridSpan w:val="3"/>
            <w:vAlign w:val="center"/>
          </w:tcPr>
          <w:p>
            <w:pPr>
              <w:jc w:val="left"/>
              <w:rPr>
                <w:rFonts w:cstheme="minorBidi"/>
                <w:b/>
                <w:i/>
                <w:noProof/>
              </w:rPr>
            </w:pPr>
            <w:r>
              <w:rPr>
                <w:b/>
                <w:i/>
                <w:noProof/>
              </w:rPr>
              <w:t>Nro 8</w:t>
            </w:r>
          </w:p>
        </w:tc>
      </w:tr>
      <w:tr>
        <w:trPr>
          <w:trHeight w:val="20"/>
        </w:trPr>
        <w:tc>
          <w:tcPr>
            <w:tcW w:w="3652" w:type="dxa"/>
            <w:vAlign w:val="center"/>
          </w:tcPr>
          <w:p>
            <w:pPr>
              <w:jc w:val="left"/>
              <w:rPr>
                <w:rFonts w:eastAsia="Times New Roman"/>
                <w:noProof/>
                <w:szCs w:val="24"/>
              </w:rPr>
            </w:pPr>
            <w:r>
              <w:rPr>
                <w:noProof/>
              </w:rPr>
              <w:t>Heikommassa asemassa olevien ryhmien esiintyvyys:</w:t>
            </w:r>
          </w:p>
          <w:p>
            <w:pPr>
              <w:ind w:left="426" w:hanging="426"/>
              <w:jc w:val="left"/>
              <w:rPr>
                <w:rFonts w:eastAsia="Times New Roman"/>
                <w:noProof/>
                <w:szCs w:val="24"/>
              </w:rPr>
            </w:pPr>
            <w:r>
              <w:rPr>
                <w:noProof/>
              </w:rPr>
              <w:t>a)</w:t>
            </w:r>
            <w:r>
              <w:rPr>
                <w:noProof/>
              </w:rPr>
              <w:tab/>
              <w:t>heikommassa asemassa oleviksi määriteltyjen ammatilliseen koulutukseen osallistuvien prosenttiosuus (määritellyllä alueella tai vaikutusalueella), jaoteltuna iän ja sukupuolen mukaan</w:t>
            </w:r>
          </w:p>
          <w:p>
            <w:pPr>
              <w:ind w:left="426" w:hanging="426"/>
              <w:jc w:val="left"/>
              <w:rPr>
                <w:rFonts w:eastAsia="Times New Roman"/>
                <w:noProof/>
                <w:szCs w:val="24"/>
              </w:rPr>
            </w:pPr>
            <w:r>
              <w:rPr>
                <w:noProof/>
              </w:rPr>
              <w:t>b)</w:t>
            </w:r>
            <w:r>
              <w:rPr>
                <w:noProof/>
              </w:rPr>
              <w:tab/>
              <w:t>heikommassa asemassa olevien ryhmien onnistumisaste, jaoteltuna iän ja sukupuolen mukaan</w:t>
            </w:r>
          </w:p>
        </w:tc>
        <w:tc>
          <w:tcPr>
            <w:tcW w:w="2126" w:type="dxa"/>
            <w:vAlign w:val="center"/>
          </w:tcPr>
          <w:p>
            <w:pPr>
              <w:jc w:val="left"/>
              <w:rPr>
                <w:rFonts w:eastAsia="Times New Roman"/>
                <w:noProof/>
                <w:szCs w:val="24"/>
              </w:rPr>
            </w:pPr>
            <w:r>
              <w:rPr>
                <w:noProof/>
              </w:rPr>
              <w:t>Konteksti-indikaattori</w:t>
            </w:r>
          </w:p>
        </w:tc>
        <w:tc>
          <w:tcPr>
            <w:tcW w:w="3511" w:type="dxa"/>
            <w:vAlign w:val="center"/>
          </w:tcPr>
          <w:p>
            <w:pPr>
              <w:jc w:val="left"/>
              <w:rPr>
                <w:rFonts w:eastAsia="Times New Roman"/>
                <w:noProof/>
                <w:szCs w:val="24"/>
              </w:rPr>
            </w:pPr>
            <w:r>
              <w:rPr>
                <w:noProof/>
              </w:rPr>
              <w:t>Taustatiedot toimintapolitiikasta päättämiseksi ammatillisen koulutuksen järjestelmän tasolla</w:t>
            </w:r>
          </w:p>
          <w:p>
            <w:pPr>
              <w:jc w:val="left"/>
              <w:rPr>
                <w:rFonts w:eastAsia="Times New Roman"/>
                <w:noProof/>
                <w:szCs w:val="24"/>
              </w:rPr>
            </w:pPr>
            <w:r>
              <w:rPr>
                <w:noProof/>
              </w:rPr>
              <w:t>Tukea heikommassa asemassa olevien ryhmien pääsyä ammatilliseen koulutukseen</w:t>
            </w:r>
          </w:p>
          <w:p>
            <w:pPr>
              <w:jc w:val="left"/>
              <w:rPr>
                <w:noProof/>
                <w:szCs w:val="24"/>
              </w:rPr>
            </w:pPr>
            <w:r>
              <w:rPr>
                <w:noProof/>
              </w:rPr>
              <w:t>Tukea heikommassa asemassa oleville ryhmille mukautettua koulutustarjontaa</w:t>
            </w:r>
          </w:p>
        </w:tc>
      </w:tr>
      <w:tr>
        <w:trPr>
          <w:trHeight w:val="20"/>
        </w:trPr>
        <w:tc>
          <w:tcPr>
            <w:tcW w:w="9289" w:type="dxa"/>
            <w:gridSpan w:val="3"/>
            <w:vAlign w:val="center"/>
          </w:tcPr>
          <w:p>
            <w:pPr>
              <w:jc w:val="left"/>
              <w:rPr>
                <w:rFonts w:cstheme="minorBidi"/>
                <w:b/>
                <w:i/>
                <w:noProof/>
              </w:rPr>
            </w:pPr>
            <w:r>
              <w:rPr>
                <w:b/>
                <w:i/>
                <w:noProof/>
              </w:rPr>
              <w:t>Nro 9</w:t>
            </w:r>
          </w:p>
        </w:tc>
      </w:tr>
      <w:tr>
        <w:trPr>
          <w:trHeight w:val="20"/>
        </w:trPr>
        <w:tc>
          <w:tcPr>
            <w:tcW w:w="3652" w:type="dxa"/>
            <w:vAlign w:val="center"/>
          </w:tcPr>
          <w:p>
            <w:pPr>
              <w:jc w:val="left"/>
              <w:rPr>
                <w:rFonts w:eastAsia="Times New Roman"/>
                <w:noProof/>
                <w:szCs w:val="24"/>
              </w:rPr>
            </w:pPr>
            <w:r>
              <w:rPr>
                <w:noProof/>
              </w:rPr>
              <w:t>Mekanismit työmarkkinoiden koulutustarpeiden tunnistamiseksi:</w:t>
            </w:r>
          </w:p>
          <w:p>
            <w:pPr>
              <w:numPr>
                <w:ilvl w:val="0"/>
                <w:numId w:val="2"/>
              </w:numPr>
              <w:spacing w:before="0" w:after="0"/>
              <w:ind w:left="426" w:hanging="426"/>
              <w:contextualSpacing/>
              <w:jc w:val="left"/>
              <w:rPr>
                <w:rFonts w:eastAsia="Times New Roman"/>
                <w:noProof/>
                <w:szCs w:val="24"/>
              </w:rPr>
            </w:pPr>
            <w:r>
              <w:rPr>
                <w:noProof/>
              </w:rPr>
              <w:t>tiedot mekanismeista, joita on perustettu kysynnän muutosten tunnistamiseksi eri tasoilla</w:t>
            </w:r>
          </w:p>
          <w:p>
            <w:pPr>
              <w:numPr>
                <w:ilvl w:val="0"/>
                <w:numId w:val="2"/>
              </w:numPr>
              <w:spacing w:before="0" w:after="0"/>
              <w:ind w:left="426" w:hanging="426"/>
              <w:contextualSpacing/>
              <w:jc w:val="left"/>
              <w:rPr>
                <w:rFonts w:eastAsia="Times New Roman"/>
                <w:noProof/>
                <w:szCs w:val="24"/>
              </w:rPr>
            </w:pPr>
            <w:r>
              <w:rPr>
                <w:noProof/>
              </w:rPr>
              <w:t>näyttö tällaisten mekanismien käytöstä ja niiden tehokkuudesta</w:t>
            </w:r>
          </w:p>
        </w:tc>
        <w:tc>
          <w:tcPr>
            <w:tcW w:w="2126" w:type="dxa"/>
            <w:vAlign w:val="center"/>
          </w:tcPr>
          <w:p>
            <w:pPr>
              <w:jc w:val="left"/>
              <w:rPr>
                <w:noProof/>
                <w:w w:val="105"/>
                <w:szCs w:val="24"/>
              </w:rPr>
            </w:pPr>
            <w:r>
              <w:rPr>
                <w:noProof/>
              </w:rPr>
              <w:t>Konteksti- tai panosindikaattori (laadulliset tiedot)</w:t>
            </w:r>
          </w:p>
        </w:tc>
        <w:tc>
          <w:tcPr>
            <w:tcW w:w="3511" w:type="dxa"/>
            <w:vAlign w:val="center"/>
          </w:tcPr>
          <w:p>
            <w:pPr>
              <w:jc w:val="left"/>
              <w:rPr>
                <w:rFonts w:eastAsia="Times New Roman"/>
                <w:noProof/>
                <w:szCs w:val="24"/>
              </w:rPr>
            </w:pPr>
            <w:r>
              <w:rPr>
                <w:noProof/>
              </w:rPr>
              <w:t>Parantaa ammatillisen koulutuksen kykyä mukautua työmarkkinoiden kysynnän muutoksiin</w:t>
            </w:r>
          </w:p>
          <w:p>
            <w:pPr>
              <w:jc w:val="left"/>
              <w:rPr>
                <w:noProof/>
                <w:szCs w:val="24"/>
              </w:rPr>
            </w:pPr>
            <w:r>
              <w:rPr>
                <w:noProof/>
              </w:rPr>
              <w:t>Tukea työllistyvyyttä</w:t>
            </w:r>
          </w:p>
        </w:tc>
      </w:tr>
      <w:tr>
        <w:trPr>
          <w:trHeight w:val="387"/>
        </w:trPr>
        <w:tc>
          <w:tcPr>
            <w:tcW w:w="9289" w:type="dxa"/>
            <w:gridSpan w:val="3"/>
            <w:vAlign w:val="center"/>
          </w:tcPr>
          <w:p>
            <w:pPr>
              <w:jc w:val="left"/>
              <w:rPr>
                <w:rFonts w:cstheme="minorBidi"/>
                <w:b/>
                <w:i/>
                <w:noProof/>
              </w:rPr>
            </w:pPr>
            <w:r>
              <w:rPr>
                <w:b/>
                <w:i/>
                <w:noProof/>
              </w:rPr>
              <w:t>Nro 10</w:t>
            </w:r>
          </w:p>
        </w:tc>
      </w:tr>
      <w:tr>
        <w:trPr>
          <w:trHeight w:val="2138"/>
        </w:trPr>
        <w:tc>
          <w:tcPr>
            <w:tcW w:w="3652" w:type="dxa"/>
            <w:vAlign w:val="center"/>
          </w:tcPr>
          <w:p>
            <w:pPr>
              <w:jc w:val="left"/>
              <w:rPr>
                <w:rFonts w:eastAsia="Times New Roman"/>
                <w:noProof/>
                <w:szCs w:val="24"/>
              </w:rPr>
            </w:pPr>
            <w:r>
              <w:rPr>
                <w:noProof/>
              </w:rPr>
              <w:t>Ohjelmat, joilla edistetään pääsyä ammatilliseen koulutukseen ja annetaan opastusta (mahdollisille) ammatillisen koulutuksen oppijoille:</w:t>
            </w:r>
          </w:p>
          <w:p>
            <w:pPr>
              <w:ind w:left="426" w:hanging="426"/>
              <w:jc w:val="left"/>
              <w:rPr>
                <w:rFonts w:eastAsia="Times New Roman"/>
                <w:noProof/>
                <w:szCs w:val="24"/>
              </w:rPr>
            </w:pPr>
            <w:r>
              <w:rPr>
                <w:noProof/>
              </w:rPr>
              <w:t>a)</w:t>
            </w:r>
            <w:r>
              <w:rPr>
                <w:noProof/>
              </w:rPr>
              <w:tab/>
              <w:t>tiedot olemassa olevista ohjelmista eri tasoilla</w:t>
            </w:r>
          </w:p>
          <w:p>
            <w:pPr>
              <w:ind w:left="426" w:hanging="426"/>
              <w:jc w:val="left"/>
              <w:rPr>
                <w:rFonts w:eastAsia="Times New Roman"/>
                <w:noProof/>
                <w:szCs w:val="24"/>
              </w:rPr>
            </w:pPr>
            <w:r>
              <w:rPr>
                <w:noProof/>
              </w:rPr>
              <w:t>b)</w:t>
            </w:r>
            <w:r>
              <w:rPr>
                <w:noProof/>
              </w:rPr>
              <w:tab/>
              <w:t>näyttö ohjelmien tehokkuudesta</w:t>
            </w:r>
          </w:p>
        </w:tc>
        <w:tc>
          <w:tcPr>
            <w:tcW w:w="2126" w:type="dxa"/>
            <w:vAlign w:val="center"/>
          </w:tcPr>
          <w:p>
            <w:pPr>
              <w:jc w:val="left"/>
              <w:rPr>
                <w:noProof/>
                <w:szCs w:val="24"/>
              </w:rPr>
            </w:pPr>
            <w:r>
              <w:rPr>
                <w:noProof/>
              </w:rPr>
              <w:t>Prosessi-indikaattori (laadulliset tiedot)</w:t>
            </w:r>
          </w:p>
        </w:tc>
        <w:tc>
          <w:tcPr>
            <w:tcW w:w="3511" w:type="dxa"/>
            <w:vAlign w:val="center"/>
          </w:tcPr>
          <w:p>
            <w:pPr>
              <w:jc w:val="left"/>
              <w:rPr>
                <w:rFonts w:eastAsia="Times New Roman"/>
                <w:noProof/>
                <w:szCs w:val="24"/>
              </w:rPr>
            </w:pPr>
            <w:r>
              <w:rPr>
                <w:noProof/>
              </w:rPr>
              <w:t>Edistää myös heikommassa asemassa olevien ryhmien pääsyä ammatilliseen koulutukseen</w:t>
            </w:r>
          </w:p>
          <w:p>
            <w:pPr>
              <w:jc w:val="left"/>
              <w:rPr>
                <w:rFonts w:eastAsia="Times New Roman"/>
                <w:noProof/>
                <w:szCs w:val="24"/>
              </w:rPr>
            </w:pPr>
            <w:r>
              <w:rPr>
                <w:noProof/>
              </w:rPr>
              <w:t xml:space="preserve">Opastuksen antaminen (mahdollisille) ammatillisen koulutuksen oppijoille </w:t>
            </w:r>
          </w:p>
          <w:p>
            <w:pPr>
              <w:jc w:val="left"/>
              <w:rPr>
                <w:noProof/>
                <w:szCs w:val="24"/>
              </w:rPr>
            </w:pPr>
            <w:r>
              <w:rPr>
                <w:noProof/>
              </w:rPr>
              <w:t>Tukea mukautettua koulutustarjontaa</w:t>
            </w:r>
          </w:p>
        </w:tc>
      </w:tr>
    </w:tbl>
    <w:p>
      <w:pPr>
        <w:rPr>
          <w:noProof/>
          <w:color w:val="0000F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P 63, s. 1338 (suomenkielinen erityispainos: Luku 16 Nide 001 s. 3–5).</w:t>
      </w:r>
    </w:p>
  </w:footnote>
  <w:footnote w:id="2">
    <w:p>
      <w:pPr>
        <w:pStyle w:val="FootnoteText"/>
      </w:pPr>
      <w:r>
        <w:rPr>
          <w:rStyle w:val="FootnoteReference"/>
        </w:rPr>
        <w:footnoteRef/>
      </w:r>
      <w:r>
        <w:tab/>
        <w:t>EUVL C 398, 22.12.2012.</w:t>
      </w:r>
    </w:p>
  </w:footnote>
  <w:footnote w:id="3">
    <w:p>
      <w:pPr>
        <w:pStyle w:val="FootnoteText"/>
      </w:pPr>
      <w:r>
        <w:rPr>
          <w:rStyle w:val="FootnoteReference"/>
        </w:rPr>
        <w:footnoteRef/>
      </w:r>
      <w:r>
        <w:tab/>
        <w:t>Eurooppalaisen tutkintojen viitekehyksen (EQF) tasojen kuvaukset, liite II.</w:t>
      </w:r>
    </w:p>
  </w:footnote>
  <w:footnote w:id="4">
    <w:p>
      <w:pPr>
        <w:pStyle w:val="FootnoteText"/>
      </w:pPr>
      <w:r>
        <w:rPr>
          <w:rStyle w:val="FootnoteReference"/>
        </w:rPr>
        <w:footnoteRef/>
      </w:r>
      <w:r>
        <w:tab/>
        <w:t xml:space="preserve">EUVL C 484, 24.12.2016. </w:t>
      </w:r>
    </w:p>
  </w:footnote>
  <w:footnote w:id="5">
    <w:p>
      <w:pPr>
        <w:pStyle w:val="FootnoteText"/>
      </w:pPr>
      <w:r>
        <w:rPr>
          <w:rStyle w:val="FootnoteReference"/>
        </w:rPr>
        <w:footnoteRef/>
      </w:r>
      <w:r>
        <w:tab/>
        <w:t>EUVL C 189, 15.6.2017.</w:t>
      </w:r>
    </w:p>
  </w:footnote>
  <w:footnote w:id="6">
    <w:p>
      <w:pPr>
        <w:pStyle w:val="FootnoteText"/>
      </w:pPr>
      <w:r>
        <w:rPr>
          <w:rStyle w:val="FootnoteReference"/>
        </w:rPr>
        <w:footnoteRef/>
      </w:r>
      <w:r>
        <w:tab/>
        <w:t>EUVL C 423, 9.12.2017.</w:t>
      </w:r>
    </w:p>
  </w:footnote>
  <w:footnote w:id="7">
    <w:p>
      <w:pPr>
        <w:pStyle w:val="FootnoteText"/>
      </w:pPr>
      <w:r>
        <w:rPr>
          <w:rStyle w:val="FootnoteReference"/>
        </w:rPr>
        <w:footnoteRef/>
      </w:r>
      <w:r>
        <w:tab/>
        <w:t>EUVL L 112, 2.5.2018.</w:t>
      </w:r>
    </w:p>
  </w:footnote>
  <w:footnote w:id="8">
    <w:p>
      <w:pPr>
        <w:pStyle w:val="FootnoteText"/>
      </w:pPr>
      <w:r>
        <w:rPr>
          <w:rStyle w:val="FootnoteReference"/>
        </w:rPr>
        <w:footnoteRef/>
      </w:r>
      <w:r>
        <w:tab/>
        <w:t>EUVL C 189, 4.6.2018</w:t>
      </w:r>
    </w:p>
  </w:footnote>
  <w:footnote w:id="9">
    <w:p>
      <w:pPr>
        <w:pStyle w:val="FootnoteText"/>
        <w:rPr>
          <w:lang w:val="pt-PT"/>
        </w:rPr>
      </w:pPr>
      <w:r>
        <w:rPr>
          <w:rStyle w:val="FootnoteReference"/>
        </w:rPr>
        <w:footnoteRef/>
      </w:r>
      <w:r>
        <w:rPr>
          <w:lang w:val="pt-PT"/>
        </w:rPr>
        <w:tab/>
        <w:t>EUVL C 444, 10.12.2018.</w:t>
      </w:r>
    </w:p>
  </w:footnote>
  <w:footnote w:id="10">
    <w:p>
      <w:pPr>
        <w:pStyle w:val="FootnoteText"/>
        <w:rPr>
          <w:lang w:val="pt-PT"/>
        </w:rPr>
      </w:pPr>
      <w:r>
        <w:rPr>
          <w:rStyle w:val="FootnoteReference"/>
        </w:rPr>
        <w:footnoteRef/>
      </w:r>
      <w:r>
        <w:rPr>
          <w:lang w:val="pt-PT"/>
        </w:rPr>
        <w:tab/>
        <w:t>EUVL C 195, 7.6.2018, s. 7–10.</w:t>
      </w:r>
    </w:p>
  </w:footnote>
  <w:footnote w:id="11">
    <w:p>
      <w:pPr>
        <w:pStyle w:val="FootnoteText"/>
        <w:rPr>
          <w:lang w:val="pt-PT"/>
        </w:rPr>
      </w:pPr>
      <w:r>
        <w:rPr>
          <w:rStyle w:val="FootnoteReference"/>
        </w:rPr>
        <w:footnoteRef/>
      </w:r>
      <w:r>
        <w:rPr>
          <w:lang w:val="pt-PT"/>
        </w:rPr>
        <w:tab/>
        <w:t>EUVL C 389, 18.11.2019, s. 1–6.</w:t>
      </w:r>
    </w:p>
  </w:footnote>
  <w:footnote w:id="12">
    <w:p>
      <w:pPr>
        <w:pStyle w:val="FootnoteText"/>
        <w:rPr>
          <w:lang w:val="pt-PT"/>
        </w:rPr>
      </w:pPr>
      <w:r>
        <w:rPr>
          <w:rStyle w:val="FootnoteReference"/>
        </w:rPr>
        <w:footnoteRef/>
      </w:r>
      <w:r>
        <w:rPr>
          <w:lang w:val="pt-PT"/>
        </w:rPr>
        <w:tab/>
        <w:t>EUVL C 189, 5.6.2019.</w:t>
      </w:r>
    </w:p>
  </w:footnote>
  <w:footnote w:id="13">
    <w:p>
      <w:pPr>
        <w:pStyle w:val="FootnoteText"/>
        <w:rPr>
          <w:lang w:val="pt-PT"/>
        </w:rPr>
      </w:pPr>
      <w:r>
        <w:rPr>
          <w:rStyle w:val="FootnoteReference"/>
        </w:rPr>
        <w:footnoteRef/>
      </w:r>
      <w:r>
        <w:rPr>
          <w:lang w:val="pt-PT"/>
        </w:rPr>
        <w:tab/>
        <w:t>COM(2019) 650 final.</w:t>
      </w:r>
    </w:p>
  </w:footnote>
  <w:footnote w:id="14">
    <w:p>
      <w:pPr>
        <w:pStyle w:val="FootnoteText"/>
      </w:pPr>
      <w:r>
        <w:rPr>
          <w:rStyle w:val="FootnoteReference"/>
        </w:rPr>
        <w:footnoteRef/>
      </w:r>
      <w:r>
        <w:tab/>
        <w:t>Peruskoulutuksessa opiskelija lasketaan osallistujaksi vasta 6 viikon jälkeen. Elinikäisessä oppimisessa virallisiin ammatillisiin koulutusohjelmiin hyväksytyn väestön prosenttiosuus.</w:t>
      </w:r>
    </w:p>
  </w:footnote>
  <w:footnote w:id="15">
    <w:p>
      <w:pPr>
        <w:pStyle w:val="FootnoteText"/>
      </w:pPr>
      <w:r>
        <w:rPr>
          <w:rStyle w:val="FootnoteReference"/>
        </w:rPr>
        <w:footnoteRef/>
      </w:r>
      <w:r>
        <w:tab/>
        <w:t>Sukupuolta ja ikää koskevien perustietojen lisäksi voitaisiin soveltaa muita sosiaalisia perusteita, esim. koulunkäynnin keskeyttäneet, korkein tutkinto, maahanmuuttajat, vammaiset ihmiset, työttömyyskauden pituus.</w:t>
      </w:r>
    </w:p>
  </w:footnote>
  <w:footnote w:id="16">
    <w:p>
      <w:pPr>
        <w:pStyle w:val="FootnoteText"/>
      </w:pPr>
      <w:r>
        <w:rPr>
          <w:rStyle w:val="FootnoteReference"/>
        </w:rPr>
        <w:footnoteRef/>
      </w:r>
      <w:r>
        <w:tab/>
        <w:t>Peruskoulutuksessa myös tiedot koulunkäynnin keskeyttäneiden sijoittumisesta.</w:t>
      </w:r>
    </w:p>
  </w:footnote>
  <w:footnote w:id="17">
    <w:p>
      <w:pPr>
        <w:pStyle w:val="FootnoteText"/>
      </w:pPr>
      <w:r>
        <w:rPr>
          <w:rStyle w:val="FootnoteReference"/>
        </w:rPr>
        <w:footnoteRef/>
      </w:r>
      <w:r>
        <w:tab/>
        <w:t>ILO:n määritelmä: 15–74-vuotiaat henkilöt, joilla ei ole työtä, jotka hakevat työtä aktiivisesti ja jotka ovat valmiita aloittamaan työnteon.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F2A9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1FC52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0C7F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89A74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42922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F049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EEC94A"/>
    <w:lvl w:ilvl="0">
      <w:start w:val="1"/>
      <w:numFmt w:val="decimal"/>
      <w:pStyle w:val="ListNumber"/>
      <w:lvlText w:val="%1."/>
      <w:lvlJc w:val="left"/>
      <w:pPr>
        <w:tabs>
          <w:tab w:val="num" w:pos="360"/>
        </w:tabs>
        <w:ind w:left="360" w:hanging="360"/>
      </w:pPr>
    </w:lvl>
  </w:abstractNum>
  <w:abstractNum w:abstractNumId="7">
    <w:nsid w:val="FFFFFF89"/>
    <w:multiLevelType w:val="singleLevel"/>
    <w:tmpl w:val="FA3C94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1AB7459"/>
    <w:multiLevelType w:val="hybridMultilevel"/>
    <w:tmpl w:val="E60A9DE2"/>
    <w:lvl w:ilvl="0" w:tplc="FAD43C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0F3096"/>
    <w:multiLevelType w:val="hybridMultilevel"/>
    <w:tmpl w:val="5D6A270C"/>
    <w:lvl w:ilvl="0" w:tplc="586823CE">
      <w:start w:val="1"/>
      <w:numFmt w:val="decimal"/>
      <w:pStyle w:val="NumPar0"/>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8"/>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22"/>
  </w:num>
  <w:num w:numId="15">
    <w:abstractNumId w:val="12"/>
  </w:num>
  <w:num w:numId="16">
    <w:abstractNumId w:val="14"/>
  </w:num>
  <w:num w:numId="17">
    <w:abstractNumId w:val="10"/>
  </w:num>
  <w:num w:numId="18">
    <w:abstractNumId w:val="21"/>
  </w:num>
  <w:num w:numId="19">
    <w:abstractNumId w:val="9"/>
  </w:num>
  <w:num w:numId="20">
    <w:abstractNumId w:val="15"/>
  </w:num>
  <w:num w:numId="21">
    <w:abstractNumId w:val="18"/>
  </w:num>
  <w:num w:numId="22">
    <w:abstractNumId w:val="19"/>
  </w:num>
  <w:num w:numId="23">
    <w:abstractNumId w:val="11"/>
  </w:num>
  <w:num w:numId="24">
    <w:abstractNumId w:val="17"/>
  </w:num>
  <w:num w:numId="25">
    <w:abstractNumId w:val="23"/>
  </w:num>
  <w:num w:numId="26">
    <w:abstractNumId w:val="20"/>
  </w:num>
  <w:num w:numId="27">
    <w:abstractNumId w:val="13"/>
  </w:num>
  <w:num w:numId="28">
    <w:abstractNumId w:val="22"/>
  </w:num>
  <w:num w:numId="29">
    <w:abstractNumId w:val="12"/>
  </w:num>
  <w:num w:numId="30">
    <w:abstractNumId w:val="14"/>
  </w:num>
  <w:num w:numId="31">
    <w:abstractNumId w:val="10"/>
  </w:num>
  <w:num w:numId="32">
    <w:abstractNumId w:val="21"/>
  </w:num>
  <w:num w:numId="33">
    <w:abstractNumId w:val="9"/>
  </w:num>
  <w:num w:numId="34">
    <w:abstractNumId w:val="15"/>
  </w:num>
  <w:num w:numId="35">
    <w:abstractNumId w:val="18"/>
  </w:num>
  <w:num w:numId="36">
    <w:abstractNumId w:val="19"/>
  </w:num>
  <w:num w:numId="37">
    <w:abstractNumId w:val="11"/>
  </w:num>
  <w:num w:numId="38">
    <w:abstractNumId w:val="17"/>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fi-FI" w:vendorID="64" w:dllVersion="131078" w:nlCheck="1" w:checkStyle="0"/>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9 18:57: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 w:val="Ehdotus"/>
    <w:docVar w:name="LW_ACCOMPAGNANT.CP" w:val="Ehdotus"/>
    <w:docVar w:name="LW_ANNEX_NBR_FIRST" w:val="1"/>
    <w:docVar w:name="LW_ANNEX_NBR_LAST" w:val="2"/>
    <w:docVar w:name="LW_ANNEX_UNIQUE" w:val="0"/>
    <w:docVar w:name="LW_CORRIGENDUM" w:val="&lt;UNUSED&gt;"/>
    <w:docVar w:name="LW_COVERPAGE_EXISTS" w:val="True"/>
    <w:docVar w:name="LW_COVERPAGE_GUID" w:val="2FEB976E-8F5E-42A4-A8A0-3D984829C4E4"/>
    <w:docVar w:name="LW_COVERPAGE_TYPE" w:val="1"/>
    <w:docVar w:name="LW_CROSSREFERENCE" w:val="{SWD(2020) 123 final}"/>
    <w:docVar w:name="LW_DocType" w:val="ANNEX"/>
    <w:docVar w:name="LW_EMISSION" w:val="1.7.2020"/>
    <w:docVar w:name="LW_EMISSION_ISODATE" w:val="2020-07-01"/>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kestävää kilpailukykyä, sosiaalista oikeudenmukaisuutta ja selviytymiskykyä tukevasta ammatillisesta koulutuksesta_x000d__x000d__x000d__x000d__x000d__x000d__x000d__x000d__x000d__x000d__x000b_"/>
    <w:docVar w:name="LW_OBJETACTEPRINCIPAL.CP" w:val="kestävää kilpailukykyä, sosiaalista oikeudenmukaisuutta ja selviytymiskykyä tukevasta ammatillisesta koulutuksesta_x000d__x000d__x000d__x000d__x000d__x000d__x000d__x000d__x000d__x000d__x000b_"/>
    <w:docVar w:name="LW_PART_NBR" w:val="&lt;UNUSED&gt;"/>
    <w:docVar w:name="LW_PART_NBR_TOTAL" w:val="&lt;UNUSED&gt;"/>
    <w:docVar w:name="LW_REF.INST.NEW" w:val="COM"/>
    <w:docVar w:name="LW_REF.INST.NEW_ADOPTED" w:val="final"/>
    <w:docVar w:name="LW_REF.INST.NEW_TEXT" w:val="(2020) 2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ITTEET"/>
    <w:docVar w:name="LW_TYPE.DOC.CP" w:val="LIITTEET"/>
    <w:docVar w:name="LW_TYPEACTEPRINCIPAL" w:val="NEUVOSTON SUOSITUS_x000b_"/>
    <w:docVar w:name="LW_TYPEACTEPRINCIPAL.CP" w:val="NEUVOSTON SUOSITUS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NumPar0">
    <w:name w:val="NumPar 0"/>
    <w:basedOn w:val="Normal"/>
    <w:pPr>
      <w:numPr>
        <w:numId w:val="1"/>
      </w:numPr>
      <w:spacing w:before="0" w:after="200" w:line="276" w:lineRule="auto"/>
      <w:ind w:left="567" w:hanging="567"/>
      <w:jc w:val="left"/>
    </w:pPr>
    <w:rPr>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NumPar0">
    <w:name w:val="NumPar 0"/>
    <w:basedOn w:val="Normal"/>
    <w:pPr>
      <w:numPr>
        <w:numId w:val="1"/>
      </w:numPr>
      <w:spacing w:before="0" w:after="200" w:line="276" w:lineRule="auto"/>
      <w:ind w:left="567" w:hanging="567"/>
      <w:jc w:val="left"/>
    </w:pPr>
    <w:rPr>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0607588f-e8fc-4f62-89a5-2b63ec5058da">EN</EC_Collab_DocumentLanguage>
    <EC_Collab_Status xmlns="0607588f-e8fc-4f62-89a5-2b63ec5058da">Not Started</EC_Collab_Status>
    <EC_Collab_Reference xmlns="0607588f-e8fc-4f62-89a5-2b63ec5058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A497FD42E47274BB8C9F216EABFADD9" ma:contentTypeVersion="8" ma:contentTypeDescription="Create a new document in this library." ma:contentTypeScope="" ma:versionID="e95cf22ec94fa30968592f30d9b476e4">
  <xsd:schema xmlns:xsd="http://www.w3.org/2001/XMLSchema" xmlns:xs="http://www.w3.org/2001/XMLSchema" xmlns:p="http://schemas.microsoft.com/office/2006/metadata/properties" xmlns:ns3="0607588f-e8fc-4f62-89a5-2b63ec5058da" targetNamespace="http://schemas.microsoft.com/office/2006/metadata/properties" ma:root="true" ma:fieldsID="30171a0791002974d7eb4f17f59606ef" ns3:_="">
    <xsd:import namespace="0607588f-e8fc-4f62-89a5-2b63ec5058d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7588f-e8fc-4f62-89a5-2b63ec5058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368535-CAB2-47E1-8BAA-A4C43545C37C}">
  <ds:schemaRefs>
    <ds:schemaRef ds:uri="http://schemas.microsoft.com/sharepoint/v3/contenttype/forms"/>
  </ds:schemaRefs>
</ds:datastoreItem>
</file>

<file path=customXml/itemProps2.xml><?xml version="1.0" encoding="utf-8"?>
<ds:datastoreItem xmlns:ds="http://schemas.openxmlformats.org/officeDocument/2006/customXml" ds:itemID="{0E09F76A-D2CF-40D4-A043-D853F6B2EF9F}">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0607588f-e8fc-4f62-89a5-2b63ec5058da"/>
    <ds:schemaRef ds:uri="http://www.w3.org/XML/1998/namespace"/>
  </ds:schemaRefs>
</ds:datastoreItem>
</file>

<file path=customXml/itemProps3.xml><?xml version="1.0" encoding="utf-8"?>
<ds:datastoreItem xmlns:ds="http://schemas.openxmlformats.org/officeDocument/2006/customXml" ds:itemID="{C1B42879-A0A1-455F-9BE8-8E119801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7588f-e8fc-4f62-89a5-2b63ec505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5E222-852E-4875-8F68-E90EEF10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12</Pages>
  <Words>1897</Words>
  <Characters>17778</Characters>
  <Application>Microsoft Office Word</Application>
  <DocSecurity>0</DocSecurity>
  <Lines>613</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2020-07-07T10:25:00Z</dcterms:created>
  <dcterms:modified xsi:type="dcterms:W3CDTF">2020-07-09T16:57:00Z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First annex">
    <vt:lpwstr>1</vt:lpwstr>
  </property>
  <property fmtid="{D5CDD505-2E9C-101B-9397-08002B2CF9AE}" pid="5" name="Last annex">
    <vt:lpwstr>2</vt:lpwstr>
  </property>
  <property fmtid="{D5CDD505-2E9C-101B-9397-08002B2CF9AE}" pid="6" name="Unique annex">
    <vt:lpwstr>0</vt:lpwstr>
  </property>
  <property fmtid="{D5CDD505-2E9C-101B-9397-08002B2CF9AE}" pid="7" name="Part">
    <vt:lpwstr>&lt;UNUSED&gt;</vt:lpwstr>
  </property>
  <property fmtid="{D5CDD505-2E9C-101B-9397-08002B2CF9AE}" pid="8" name="Total parts">
    <vt:lpwstr>&lt;UNUSED&gt;</vt:lpwstr>
  </property>
  <property fmtid="{D5CDD505-2E9C-101B-9397-08002B2CF9AE}" pid="9" name="LWTemplateID">
    <vt:lpwstr>SG-017</vt:lpwstr>
  </property>
  <property fmtid="{D5CDD505-2E9C-101B-9397-08002B2CF9AE}" pid="10" name="ContentTypeId">
    <vt:lpwstr>0x010100258AA79CEB83498886A3A0868112325000FA497FD42E47274BB8C9F216EABFADD9</vt:lpwstr>
  </property>
  <property fmtid="{D5CDD505-2E9C-101B-9397-08002B2CF9AE}" pid="11" name="DQCStatus">
    <vt:lpwstr>Green (DQC version 03)</vt:lpwstr>
  </property>
  <property fmtid="{D5CDD505-2E9C-101B-9397-08002B2CF9AE}" pid="12" name="Category">
    <vt:lpwstr>COM/ANNEX</vt:lpwstr>
  </property>
</Properties>
</file>