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F7B91147-4CA2-444D-B1F2-877D8EF9C4B8" style="width:450.15pt;height:424.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 I — Atos jurídicos pertinentes no domínio das competências, da educação e da formação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Decisão do Conselho, de 2 de abril de 1963, relativa ao estabelecimento de princípios gerais para a execução de uma política comum de formação profissional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NumPar1"/>
        <w:rPr>
          <w:noProof/>
        </w:rPr>
      </w:pPr>
      <w:r>
        <w:rPr>
          <w:noProof/>
        </w:rPr>
        <w:t>A Recomendação do Conselho, de 20 de dezembro de 2012, sobre a validação da aprendizagem não formal e informal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insta os Estados-Membros a adotarem disposições para a validação da aprendizagem adquirida em contextos não formais e informais que permite aos indivíduos obter qualificações conformes com normas acordadas que sejam iguais ou equivalentes às normas a que obedecem as qualificações obtidas através de programas de ensino formal.</w:t>
      </w:r>
    </w:p>
    <w:p>
      <w:pPr>
        <w:pStyle w:val="NumPar1"/>
        <w:rPr>
          <w:noProof/>
        </w:rPr>
      </w:pPr>
      <w:r>
        <w:rPr>
          <w:noProof/>
        </w:rPr>
        <w:t>O relatório conjunto do Conselho e da Comissão, de 15 de dezembro de 2015, sobre a aplicação do quadro estratégico para a cooperação europeia no domínio da educação e da formação (EF 2020), deu prioridade, na área da educação de adultos, à oferta de competências em literacia, numeracia e literacia digital e à disponibilização de segundas oportunidades que conduzam a uma qualificação reconhecida no âmbito do QEQ para as pessoas que não concluíram habilitações de nível 4 do QEQ</w:t>
      </w:r>
      <w:r>
        <w:rPr>
          <w:rStyle w:val="FootnoteReference"/>
          <w:noProof/>
        </w:rPr>
        <w:footnoteReference w:id="3"/>
      </w:r>
      <w:r>
        <w:rPr>
          <w:noProof/>
        </w:rPr>
        <w:t>. Esse relatório conjunto também inclui metas a alcançar a médio prazo no ensino e na formação profissionais, incluindo a melhoria do acesso universal a qualificações através de sistemas de ensino e formação profissionais mais flexíveis e permeáveis, em especial através da oferta de serviços de orientação eficientes e integrados e da disponibilização da validação da aprendizagem não formal e informal.</w:t>
      </w:r>
    </w:p>
    <w:p>
      <w:pPr>
        <w:pStyle w:val="NumPar1"/>
        <w:rPr>
          <w:noProof/>
        </w:rPr>
      </w:pPr>
      <w:r>
        <w:rPr>
          <w:noProof/>
        </w:rPr>
        <w:t>A Recomendação do Conselho, de 19 de dezembro de 2016, sobre percursos de melhoria de competências: novas oportunidades para adultos</w:t>
      </w:r>
      <w:r>
        <w:rPr>
          <w:rStyle w:val="FootnoteReference"/>
          <w:noProof/>
        </w:rPr>
        <w:footnoteReference w:id="4"/>
      </w:r>
      <w:r>
        <w:rPr>
          <w:noProof/>
        </w:rPr>
        <w:t>, insta os Estados-Membros a reforçarem o acesso a, e a participação em, oportunidades de aprendizagem de qualidade para adultos com baixos níveis de competências em três etapas fundamentais: avaliação de competências, oferta de aprendizagem adaptada e validação e reconhecimento das competências adquiridas.</w:t>
      </w:r>
    </w:p>
    <w:p>
      <w:pPr>
        <w:pStyle w:val="NumPar1"/>
        <w:rPr>
          <w:noProof/>
        </w:rPr>
      </w:pPr>
      <w:r>
        <w:rPr>
          <w:noProof/>
        </w:rPr>
        <w:t>A Recomendação do Conselho, de 22 de maio de 2017, relativa ao Quadro Europeu de Qualificações (QEQ) para a aprendizagem ao longo da vida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garante que as qualificações a que é atribuído um nível do QEQ assentam em princípios comuns de garantia da qualidade (anexo IV da Recomendação relativa ao QEQ) e que são utilizados princípios comuns nos sistemas de créditos quando as qualificações com um nível do QEQ assentam na atribuição de créditos (anexo V da Recomendação relativa ao QEQ). </w:t>
      </w:r>
    </w:p>
    <w:p>
      <w:pPr>
        <w:pStyle w:val="NumPar1"/>
        <w:rPr>
          <w:noProof/>
        </w:rPr>
      </w:pPr>
      <w:r>
        <w:rPr>
          <w:noProof/>
        </w:rPr>
        <w:t>A Recomendação do Conselho, de 20 de novembro de 2017, sobre o acompanhamento do percurso dos diplomados</w:t>
      </w:r>
      <w:r>
        <w:rPr>
          <w:rStyle w:val="FootnoteReference"/>
          <w:noProof/>
        </w:rPr>
        <w:footnoteReference w:id="6"/>
      </w:r>
      <w:r>
        <w:rPr>
          <w:noProof/>
        </w:rPr>
        <w:t>, insta os Estados-Membros a melhorar a disponibilidade e a qualidade dos dados relativos ao ensino e à formação profissionais e aos percursos dos diplomados do ensino superior até 2020.</w:t>
      </w:r>
    </w:p>
    <w:p>
      <w:pPr>
        <w:pStyle w:val="NumPar1"/>
        <w:rPr>
          <w:noProof/>
        </w:rPr>
      </w:pPr>
      <w:r>
        <w:rPr>
          <w:noProof/>
        </w:rPr>
        <w:t>A Decisão (UE) 2018/646 do Parlamento Europeu e do Conselho, de 18 de abril de 2018, relativa a um regime comum de prestação de melhores serviços em matéria de competências e qualificações (Europass)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estabelece uma plataforma que irá favorecer a documentação e a descrição de competências e qualificações e disponibiliza aos utilizadores uma ferramenta de carteira eletrónica (por exemplo, os candidatos a emprego, os aprendentes) para guardar informações sobre as suas competências e qualificações, criar CV e candidaturas a emprego. Servirá também de portal Web com informações sobre qualificações e sistemas de qualificação, orientação, validação, reconhecimento e outros temas relacionados com competências e qualificações. O novo serviço Europass incluirá igualmente a utilização de serviços de autenticação (por exemplo, assinaturas/certificados digitais). </w:t>
      </w:r>
    </w:p>
    <w:p>
      <w:pPr>
        <w:pStyle w:val="NumPar1"/>
        <w:rPr>
          <w:noProof/>
        </w:rPr>
      </w:pPr>
      <w:r>
        <w:rPr>
          <w:noProof/>
        </w:rPr>
        <w:t>A Recomendação do Conselho, de 22 de maio de 2018, sobre as competências essenciais para a aprendizagem ao longo da vida</w:t>
      </w:r>
      <w:r>
        <w:rPr>
          <w:rStyle w:val="FootnoteReference"/>
          <w:noProof/>
        </w:rPr>
        <w:footnoteReference w:id="8"/>
      </w:r>
      <w:r>
        <w:rPr>
          <w:noProof/>
        </w:rPr>
        <w:t>, salienta a necessidade de abordar o desenvolvimento de competências essenciais numa perspetiva de aprendizagem ao longo da vida e de assegurar o apoio a todos os níveis de ensino, formação e aprendizagem, nomeadamente através do reforço do ensino e da formação profissionais iniciais e contínuos.</w:t>
      </w:r>
    </w:p>
    <w:p>
      <w:pPr>
        <w:pStyle w:val="NumPar1"/>
        <w:rPr>
          <w:noProof/>
        </w:rPr>
      </w:pPr>
      <w:r>
        <w:rPr>
          <w:noProof/>
        </w:rPr>
        <w:t>A Recomendação do Conselho, de 26 de novembro de 2018, relativa à promoção do reconhecimento mútuo automático de qualificações de ensino superior, de ensino e formação secundários, e de resultados obtidos durante períodos de aprendizagem no estrangeiro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convida os Estados-Membros a pôr em prática as medidas necessárias para alcançar, até 2025, o reconhecimento automático das qualificações do ensino superior e do ensino secundário, bem como o reconhecimento dos resultados dos períodos de aprendizagem, na perspetiva da construção de um Espaço Europeu da Educação. Esta recomendação salienta a necessidade de continuar a desenvolver instrumentos de garantia da qualidade do ensino e da formação profissionais, em conformidade com o Quadro Europeu de Garantia da Qualidade para o Ensino e a Formação Profissionais e com os novos desenvolvimentos neste domínio, a fim de promover a transparência e reforçar a confiança nos vários sistemas de ensino secundário e de formação. Para facilitar a mobilidade e o reconhecimento dos resultados dos períodos de aprendizagem no estrangeiro, a recomendação apela também a que sejam utilizados mais amplamente as ferramentas da UE desenvolvidas no domínio do ensino e da formação profissionais, como as disponibilizadas através da plataforma eletrónica Europass e do Memorando de Entendimento e do Acordo de Aprendizagem, que fazem parte do Sistema Europeu de Créditos do Ensino e Formação Profissionais.</w:t>
      </w:r>
    </w:p>
    <w:p>
      <w:pPr>
        <w:pStyle w:val="NumPar1"/>
        <w:rPr>
          <w:noProof/>
        </w:rPr>
      </w:pPr>
      <w:r>
        <w:rPr>
          <w:noProof/>
        </w:rPr>
        <w:t>As conclusões do Conselho intituladas «Rumo a uma visão de um Espaço Europeu da Educação»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salientam «que as iniciativas abrangidas pelo conceito e as futuras ações a propor e concretizar no âmbito de um Espaço Europeu da Educação (...) deverão incluir todos os níveis e tipos de educação e formação, incluindo a educação de adultos e o ensino e formação profissionais».</w:t>
      </w:r>
    </w:p>
    <w:p>
      <w:pPr>
        <w:pStyle w:val="NumPar1"/>
        <w:rPr>
          <w:noProof/>
        </w:rPr>
      </w:pPr>
      <w:r>
        <w:rPr>
          <w:noProof/>
        </w:rPr>
        <w:t>A Resolução do Conselho relativa à prossecução do desenvolvimento do Espaço Europeu da Educação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para apoiar sistemas de ensino e formação orientados para o futuro recorda que «esse espaço deverá assentar no contínuo que é aprendizagem ao longo da vida, desde a educação e o acolhimento de crianças em idade pré-escolar, passando pela escola e pelo ensino e formação profissionais, até ao ensino superior e à educação de adultos».</w:t>
      </w:r>
    </w:p>
    <w:p>
      <w:pPr>
        <w:pStyle w:val="NumPar1"/>
        <w:rPr>
          <w:noProof/>
        </w:rPr>
      </w:pPr>
      <w:r>
        <w:rPr>
          <w:noProof/>
        </w:rPr>
        <w:t>As Conclusões do Conselho de 2019 sobre a aplicação da Recomendação do Conselho sobre Percursos de Melhoria de Competências: novas oportunidades para adultos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sublinham a necessidade de pôr em prática medidas sustentáveis de longo prazo para a melhoria e a requalificação de adultos, no âmbito de uma abordagem estratégica mais ampla do desenvolvimento de competências ao longo da vida.</w:t>
      </w:r>
    </w:p>
    <w:p>
      <w:pPr>
        <w:pStyle w:val="NumPar1"/>
        <w:rPr>
          <w:noProof/>
        </w:rPr>
      </w:pPr>
      <w:r>
        <w:rPr>
          <w:noProof/>
        </w:rPr>
        <w:t>As conclusões do Conselho de 2019 sobre a economia do bem-estar convidam igualmente os Estados-Membros a promover políticas abrangentes de aprendizagem ao longo da vida, bem como a desenvolver competências e aptidões de forma contínua.</w:t>
      </w:r>
    </w:p>
    <w:p>
      <w:pPr>
        <w:pStyle w:val="NumPar1"/>
        <w:ind w:left="851" w:hanging="851"/>
        <w:rPr>
          <w:noProof/>
        </w:rPr>
      </w:pPr>
      <w:r>
        <w:rPr>
          <w:noProof/>
        </w:rPr>
        <w:t>A Comunicação da Comissão intitulada «Estratégia Anual para o Crescimento Sustentável 2020»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estabelece as prioridades para transformar a União numa economia sustentável, promovendo a dupla transição ecológica e digital e transformando a nossa economia social de mercado a fim de garantir que a Europa continua a dispor dos sistemas de proteção social mais avançados do mundo e a ser um polo de inovação e de empreendedorismo competitivo e dinâmico. Coloca uma forte tónica na necessidade de reforçar o investimento nas competências e nas reformas dos sistemas de educação e de formação.</w:t>
      </w:r>
    </w:p>
    <w:p>
      <w:pPr>
        <w:pStyle w:val="Text1"/>
        <w:tabs>
          <w:tab w:val="left" w:pos="1792"/>
        </w:tabs>
        <w:rPr>
          <w:noProof/>
        </w:rPr>
      </w:pPr>
      <w:r>
        <w:rPr>
          <w:noProof/>
        </w:rPr>
        <w:tab/>
      </w:r>
    </w:p>
    <w:p>
      <w:pPr>
        <w:tabs>
          <w:tab w:val="left" w:pos="1792"/>
        </w:tabs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ab/>
      </w:r>
    </w:p>
    <w:p>
      <w:pPr>
        <w:pStyle w:val="Annexetitre"/>
        <w:rPr>
          <w:noProof/>
        </w:rPr>
      </w:pPr>
      <w:r>
        <w:rPr>
          <w:noProof/>
        </w:rPr>
        <w:t>Anexo II - O Quadro EQAVET</w:t>
      </w:r>
    </w:p>
    <w:p>
      <w:pPr>
        <w:widowControl w:val="0"/>
        <w:tabs>
          <w:tab w:val="left" w:pos="842"/>
        </w:tabs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 xml:space="preserve">Parte A. Descritores indicativos do EQAVET </w:t>
      </w:r>
    </w:p>
    <w:p>
      <w:pPr>
        <w:rPr>
          <w:noProof/>
        </w:rPr>
      </w:pPr>
      <w:r>
        <w:rPr>
          <w:noProof/>
        </w:rPr>
        <w:t xml:space="preserve">Os descritores indicativos do EQAVET visam assistir os Estados-Membros e os prestadores de EFP a aplicarem o Quadro EQAVET. São estruturados por fases do ciclo de qualidade: </w:t>
      </w:r>
      <w:r>
        <w:rPr>
          <w:i/>
          <w:noProof/>
        </w:rPr>
        <w:t>Planeamento — Execução — Avaliação — Revisão</w:t>
      </w:r>
      <w:r>
        <w:rPr>
          <w:noProof/>
        </w:rPr>
        <w:t>. Podem ser aplicados tanto ao ensino e à formação profissionais iniciais como contínuos e a todos os ambientes de aprendizagem: em contexto escolar e laboral, incluindo regimes de aprendizagem.</w:t>
      </w:r>
    </w:p>
    <w:tbl>
      <w:tblPr>
        <w:tblStyle w:val="TableGrid"/>
        <w:tblW w:w="5095" w:type="pct"/>
        <w:tblLook w:val="04A0" w:firstRow="1" w:lastRow="0" w:firstColumn="1" w:lastColumn="0" w:noHBand="0" w:noVBand="1"/>
      </w:tblPr>
      <w:tblGrid>
        <w:gridCol w:w="1951"/>
        <w:gridCol w:w="3879"/>
        <w:gridCol w:w="3635"/>
      </w:tblGrid>
      <w:tr>
        <w:trPr>
          <w:tblHeader/>
        </w:trPr>
        <w:tc>
          <w:tcPr>
            <w:tcW w:w="1031" w:type="pct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Critérios de qualidade</w:t>
            </w:r>
          </w:p>
        </w:tc>
        <w:tc>
          <w:tcPr>
            <w:tcW w:w="2049" w:type="pct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Descritores indicativos ao nível do sistema de EFP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Descritores indicativos a nível do prestador de EFP</w:t>
            </w:r>
          </w:p>
        </w:tc>
      </w:tr>
      <w:tr>
        <w:tc>
          <w:tcPr>
            <w:tcW w:w="1031" w:type="pct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 fase de planeamento reflete uma visão estratégica partilhada pelas partes interessadas e inclui metas/objetivos, ações e indicadores explícitos</w:t>
            </w:r>
          </w:p>
        </w:tc>
        <w:tc>
          <w:tcPr>
            <w:tcW w:w="2049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As metas/os objetivos do EFP são descritos para o médio e o longo prazos e são associados aos Objetivos de Desenvolvimento Sustentável, tendo em conta considerações de sustentabilidade ambiental.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parceiros sociais e todas as outras partes interessadas participam na definição das metas e dos objetivos do EFP aos diferentes níveis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As metas são estabelecidas e acompanhadas por meio de indicadores específicos (critérios de êxito)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Foram instaurados mecanismos e procedimentos para identificar as necessidades de formação do mercado de trabalho e da sociedade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Foi concebida uma política de informação para assegurar a melhor divulgação dos resultados/das realizações em matéria de qualidade, de acordo com os requisitos nacionais/regionais de proteção de dados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Foram definidas normas e diretrizes para o reconhecimento, a validação e a certificação de competências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As qualificações de EFP são descritas com base em resultados de aprendizagem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São estabelecidos mecanismos para garantir a qualidade da conceção, da avaliação e da revisão das qualificações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Os programas de EFP são concebidos para permitir percursos de aprendizagem flexíveis e dar respostas rápidas à evolução das necessidades do mercado de trabalho</w:t>
            </w:r>
          </w:p>
        </w:tc>
        <w:tc>
          <w:tcPr>
            <w:tcW w:w="1920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As metas/objetivos políticos aos níveis europeu, nacional e regional são refletidos nas metas locais fixadas pelos prestadores de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definidas e acompanhadas metas/objetivos explícitos e concebidos programas para os cumprir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É organizada uma consulta permanente com os parceiros sociais e todas as outras partes interessadas a fim de identificar necessidades locais/individuais específicas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As responsabilidades em matéria de gestão e desenvolvimento da qualidade foram explicitamente atribuídas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 pessoal participa desde o início do processo de planeamento, nomeadamente no que se refere ao desenvolvimento da qualidade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prestadores planeiam iniciativas de cooperação com as partes interessadas pertinentes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As partes interessadas participam no processo de análise das necessidades locais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Os prestadores de EFP dispõem de um sistema de garantia de qualidade explícito e transparente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São adotadas medidas destinadas a garantir o cumprimento das regras em matéria de proteção de dados </w:t>
            </w:r>
          </w:p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1031" w:type="pct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Os planos de aplicação são concebidos em consulta com as partes interessadas e contemplam princípios explícitos</w:t>
            </w:r>
          </w:p>
        </w:tc>
        <w:tc>
          <w:tcPr>
            <w:tcW w:w="2049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estabelecidos planos de aplicação em colaboração com parceiros sociais, prestadores de EFP e demais partes interessadas aos diferentes níveis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planos de aplicação incluem uma análise dos recursos exigidos, das capacidades dos utilizadores e das ferramentas e orientações necessárias para prestar o apoio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Foram concebidas diretrizes e normas para a aplicação a diferentes níveis Estas diretrizes e normas incluem a avaliação, a validação e a certificação de qualificações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planos de execução incluem apoio específico à formação de professores e formadores, nomeadamente na área das competências digitais e da sustentabilidade ambiental.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As responsabilidades dos prestadores de EFP no processo de aplicação são descritas de forma explícita e transparente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Foi concebido um quadro nacional e/ou regional de garantia da qualidade que inclui diretrizes e normas de qualidade ao nível do prestador de EFP para promover a melhoria contínua e a autorregulação</w:t>
            </w:r>
          </w:p>
        </w:tc>
        <w:tc>
          <w:tcPr>
            <w:tcW w:w="1920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recursos são adequadamente calculados/atribuídos a nível interno tendo em vista alcançar os objetivos traçados nos planos de aplicação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É assegurado um apoio explícito a parcerias relevantes e inclusivas, nomeadamente entre professores e formadores, para levar a cabo as ações previstas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 plano estratégico para o desenvolvimento de competências do pessoal indica a necessidade de formar professores e formadores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O pessoal frequenta regularmente ações de formação e desenvolve cooperação com as partes interessadas externas, com vista a apoiar o desenvolvimento de capacidades e a melhoria da qualidade e reforçar o desempenho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 programas de EFP permitem aos formandos atingir os resultados de aprendizagem esperados e participar no processo de aprendizagem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 prestadores de EFP respondem às necessidades de aprendizagem dos indivíduos através da utilização de uma abordagem centrada nos formandos que lhes permitem atingir os resultados de aprendizagem esperados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 prestadores de EFP promovem a inovação nos métodos de ensino e aprendizagem, em contexto escolar e laboral, apoiados na utilização de tecnologias digitais e de ferramentas de aprendizagem eletrónica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Os prestadores de EFP utilizam métodos válidos, precisos e fiáveis para avaliar os resultados individuais de aprendizagem</w:t>
            </w:r>
          </w:p>
        </w:tc>
      </w:tr>
      <w:tr>
        <w:tc>
          <w:tcPr>
            <w:tcW w:w="1031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efetuadas regularmente avaliações dos resultados e dos processos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com base em aferições</w:t>
            </w:r>
          </w:p>
        </w:tc>
        <w:tc>
          <w:tcPr>
            <w:tcW w:w="2049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Foi concebida uma metodologia de avaliação interna e externa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participação das partes interessadas no processo de supervisão e avaliação está aprovada e claramente descrita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As normas e procedimentos nacionais/regionais para melhorar e assegurar a qualidade são pertinentes e proporcionais às necessidades do setor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sistemas estão sujeitos a processos de autoavaliação e revisão interna e externa, consoante o caso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implementados sistemas de alerta rápido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aplicados indicadores de desempenho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Está prevista a recolha regular de dados pertinentes e coerentes, a fim de aferir o êxito e identificar domínios que merecem ser melhorados. Foram concebidas metodologias adequadas de recolha de dados, por exemplo, questionários e indicadores/métricas</w:t>
            </w:r>
          </w:p>
        </w:tc>
        <w:tc>
          <w:tcPr>
            <w:tcW w:w="1920" w:type="pct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autoavaliação é realizada periodicamente no quadro de regulamentações/enquadramentos nacionais e regionais ou por iniciativa de prestadores de EFP, abrangendo também a preparação digital e a sustentabilidade ambiental das instituições de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avaliação e a revisão abrangem os processos e os resultados da educação e da formação, incluindo a avaliação da satisfação dos formandos, assim como o desempenho e satisfação do pessoal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avaliação e a revisão incluem a recolha e utilização de dados e mecanismos adequados e eficazes para envolver as partes interessadas a nível interno e externo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São implementados sistemas de alerta rápido</w:t>
            </w:r>
          </w:p>
        </w:tc>
      </w:tr>
      <w:tr>
        <w:tc>
          <w:tcPr>
            <w:tcW w:w="1031" w:type="pct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Revisão</w:t>
            </w:r>
          </w:p>
        </w:tc>
        <w:tc>
          <w:tcPr>
            <w:tcW w:w="2049" w:type="pct"/>
            <w:vAlign w:val="center"/>
          </w:tcPr>
          <w:p>
            <w:pPr>
              <w:tabs>
                <w:tab w:val="left" w:pos="1047"/>
              </w:tabs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Estão definidos procedimentos, mecanismos e instrumentos para proceder à revisão, que são utilizados para melhorar a qualidade da prestação a todos os níveis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 processos são revistos regularmente e são elaborados planos de adaptação à mudança Os sistemas são adaptados em conformidade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É divulgada publicamente informação sobre os resultados da avaliação</w:t>
            </w:r>
          </w:p>
        </w:tc>
        <w:tc>
          <w:tcPr>
            <w:tcW w:w="1920" w:type="pct"/>
            <w:vAlign w:val="center"/>
          </w:tcPr>
          <w:p>
            <w:pPr>
              <w:tabs>
                <w:tab w:val="left" w:pos="1047"/>
              </w:tabs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São recolhidas as impressões dos formandos sobre as suas experiências individuais de aprendizagem e o ambiente de aprendizagem e ensino São utilizadas conjuntamente com as impressões dos professores, dos formadores e das outras partes interessadas, para inspirar novas ações</w:t>
            </w:r>
          </w:p>
          <w:p>
            <w:pPr>
              <w:tabs>
                <w:tab w:val="left" w:pos="1047"/>
              </w:tabs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É amplamente divulgada informação sobre os resultados da revisão</w:t>
            </w:r>
          </w:p>
          <w:p>
            <w:pPr>
              <w:tabs>
                <w:tab w:val="left" w:pos="1047"/>
              </w:tabs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Os procedimentos de recolha de feedback e revisão fazem parte de um processo estratégico de aprendizagem da organização, favorecem o desenvolvimento de uma oferta de elevada qualidade e melhoram as oportunidades para os formandos.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Os resultados do processo de avaliação são discutidos com as partes interessadas e elaborados planos de ação adequados</w:t>
            </w:r>
          </w:p>
        </w:tc>
      </w:tr>
    </w:tbl>
    <w:p>
      <w:pPr>
        <w:pageBreakBefore/>
        <w:widowControl w:val="0"/>
        <w:tabs>
          <w:tab w:val="left" w:pos="842"/>
        </w:tabs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Parte B. O conjunto de indicadores de referência EQAVET</w:t>
      </w:r>
    </w:p>
    <w:p>
      <w:pPr>
        <w:widowControl w:val="0"/>
        <w:tabs>
          <w:tab w:val="left" w:pos="842"/>
        </w:tabs>
        <w:rPr>
          <w:rFonts w:eastAsia="Times New Roman"/>
          <w:noProof/>
          <w:szCs w:val="24"/>
        </w:rPr>
      </w:pPr>
      <w:r>
        <w:rPr>
          <w:noProof/>
        </w:rPr>
        <w:t xml:space="preserve">A presente secção define um conjunto de indicadores de referência que podem ser usados para apoiar a avaliação e a melhoria da qualidade dos sistemas nacionais/ regionais e/ou dos prestadores de EFP quando implementam o quadro EQAVET. </w:t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511"/>
      </w:tblGrid>
      <w:tr>
        <w:trPr>
          <w:trHeight w:val="20"/>
          <w:tblHeader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Indicador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Tipo de Indicador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Objetivo da política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Indicadores gerais para a garantia da qualidade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Número 1 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tabs>
                <w:tab w:val="left" w:pos="1047"/>
              </w:tabs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Importância dos sistemas de garantia da qualidade para os prestadores de EFP:</w:t>
            </w:r>
          </w:p>
          <w:p>
            <w:pPr>
              <w:tabs>
                <w:tab w:val="left" w:pos="426"/>
              </w:tabs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Proporção de prestadores de EFP que já aplicam sistemas internos de garantia de qualidade por determinação legal ou por iniciativa própria</w:t>
            </w:r>
          </w:p>
          <w:p>
            <w:pPr>
              <w:tabs>
                <w:tab w:val="left" w:pos="426"/>
              </w:tabs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Proporção de prestadores de EFP acreditados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w w:val="105"/>
                <w:szCs w:val="24"/>
              </w:rPr>
            </w:pPr>
            <w:r>
              <w:rPr>
                <w:noProof/>
              </w:rPr>
              <w:t>Indicador de contexto/de input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Promover uma cultura de melhoria da qualidade a nível do prestador de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Reforçar a transparência da qualidade da formação</w:t>
            </w:r>
          </w:p>
          <w:p>
            <w:pPr>
              <w:jc w:val="left"/>
              <w:rPr>
                <w:noProof/>
                <w:w w:val="105"/>
                <w:szCs w:val="24"/>
              </w:rPr>
            </w:pPr>
            <w:r>
              <w:rPr>
                <w:noProof/>
              </w:rPr>
              <w:t>Melhorar a confiança mútua na oferta de formação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2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Investimento na formação de professores e formadores: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Proporção de professores e formadores que participam em programas de aperfeiçoamento profissional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  <w:lang w:bidi="en-US"/>
              </w:rPr>
            </w:pP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Montante dos fundos investidos, incluindo em competências digitais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Indicador de input/de processo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Promover a participação ativa de professores e formadores no processo de desenvolvimento da qualidade no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Melhorar a capacidade de resposta do EFP às novas necessidades do mercado de trabalho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Fomentar as capacidades de aprendizagem individual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Melhorar os resultados dos formandos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Indicadores que contribuem para os objetivos de qualidade das políticas de EFP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3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Taxa de participação em programas de EFP: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Número de participantes em programas de EFP</w:t>
            </w:r>
            <w:r>
              <w:rPr>
                <w:rStyle w:val="FootnoteReference"/>
                <w:noProof/>
              </w:rPr>
              <w:footnoteReference w:id="14"/>
            </w:r>
            <w:r>
              <w:rPr>
                <w:noProof/>
              </w:rPr>
              <w:t>, em função do tipo de programa e dos diferentes critérios</w:t>
            </w:r>
            <w:r>
              <w:rPr>
                <w:rStyle w:val="FootnoteReference"/>
                <w:noProof/>
              </w:rPr>
              <w:footnoteReference w:id="15"/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Indicador de input/de processo/de resultados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Obter informações básicas aos níveis do sistema de EFP e dos prestadores de EFP sobre a atratividade do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Orientar os apoios para reforçar o acesso ao EFP, incluindo para os grupos desfavorecidos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4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Taxa de conclusão de programas de EFP: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Número de pessoas que completaram com êxito/abandonaram programas de EFP, em função do tipo de programa e dos diferentes critérios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Indicador de processo/de realização/de resultado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Obter informação básica sobre o sucesso escolar e sobre a qualidade dos processos de formação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Calcular taxas de abandono por referência à taxa de participação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Promover a conclusão com êxito, enquanto objetivo principal de qualidade no domínio do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Apoiar a adaptação da oferta de formação, incluindo para os grupos desfavorecidos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5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Taxa de colocação em programas de EFP: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Destino dos formandos do EFP num determinado momento após a conclusão da formação, em função do tipo de programa e dos diferentes critérios</w:t>
            </w:r>
            <w:r>
              <w:rPr>
                <w:rStyle w:val="FootnoteReference"/>
                <w:noProof/>
              </w:rPr>
              <w:footnoteReference w:id="16"/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Proporção de formandos empregados num determinado momento após a conclusão da formação, em função do tipo de programa e dos diferentes critérios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w w:val="105"/>
                <w:szCs w:val="24"/>
              </w:rPr>
            </w:pPr>
            <w:r>
              <w:rPr>
                <w:noProof/>
              </w:rPr>
              <w:t>Indicador de resultado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Apoio à empregabilidade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Melhorar a capacidade de resposta do EFP às novas necessidades do mercado de trabalho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Apoiar a adaptação da oferta de formação, incluindo para os grupos desfavorecidos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6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Utilização das competências adquiridas no local de trabalho: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Informação sobre o emprego obtida pelos formandos após a conclusão da formação, em função do tipo de formação e dos diferentes critérios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Taxa de satisfação dos formandos e dos empregadores com as aptidões/competências adquiridas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Indicador de resultado</w:t>
            </w:r>
          </w:p>
          <w:p>
            <w:pPr>
              <w:jc w:val="left"/>
              <w:rPr>
                <w:b/>
                <w:bCs/>
                <w:noProof/>
                <w:szCs w:val="24"/>
              </w:rPr>
            </w:pPr>
            <w:r>
              <w:rPr>
                <w:noProof/>
              </w:rPr>
              <w:t>(combinação de dados qualitativos e quantitativos)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Aumento da empregabilidade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Melhorar a capacidade de resposta do EFP às novas necessidades do mercado de trabalho</w:t>
            </w:r>
          </w:p>
          <w:p>
            <w:pPr>
              <w:jc w:val="left"/>
              <w:rPr>
                <w:b/>
                <w:bCs/>
                <w:noProof/>
                <w:szCs w:val="24"/>
              </w:rPr>
            </w:pPr>
            <w:r>
              <w:rPr>
                <w:noProof/>
              </w:rPr>
              <w:t>Apoiar a adaptação da oferta de formação, incluindo para os grupos desfavorecidos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Informação sobre o contexto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7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Taxa de desemprego</w:t>
            </w:r>
            <w:r>
              <w:rPr>
                <w:rStyle w:val="FootnoteReference"/>
                <w:noProof/>
              </w:rPr>
              <w:footnoteReference w:id="17"/>
            </w:r>
            <w:r>
              <w:rPr>
                <w:noProof/>
              </w:rPr>
              <w:t xml:space="preserve"> em função de diferentes critérios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w w:val="105"/>
                <w:szCs w:val="24"/>
              </w:rPr>
            </w:pPr>
            <w:r>
              <w:rPr>
                <w:noProof/>
              </w:rPr>
              <w:t>Indicador de contexto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Informação contextual para a definição de políticas ao nível do sistema de EFP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8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Prevalência de grupos vulneráveis: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Percentagem de participantes em EFP classificados como grupos desfavorecidos (numa determinada região ou zona de emprego) em função da idade e do género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Taxa de sucesso dos grupos desfavorecidos de acordo com a idade e o género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Indicador de contexto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Informação contextual para a definição de políticas ao nível do sistema de EFP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Promover o acesso</w:t>
            </w:r>
            <w:r>
              <w:rPr>
                <w:noProof/>
              </w:rPr>
              <w:tab/>
              <w:t>ao EFP por parte dos grupos desfavorecidos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Apoiar a adaptação da oferta de formação para os grupos desfavorecidos</w:t>
            </w:r>
          </w:p>
        </w:tc>
      </w:tr>
      <w:tr>
        <w:trPr>
          <w:trHeight w:val="20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9</w:t>
            </w:r>
          </w:p>
        </w:tc>
      </w:tr>
      <w:tr>
        <w:trPr>
          <w:trHeight w:val="20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Mecanismos para identificar necessidades de formação no mercado de trabalho:</w:t>
            </w:r>
          </w:p>
          <w:p>
            <w:pPr>
              <w:numPr>
                <w:ilvl w:val="0"/>
                <w:numId w:val="2"/>
              </w:numPr>
              <w:spacing w:before="0" w:after="0"/>
              <w:ind w:left="426" w:hanging="426"/>
              <w:contextualSpacing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informações sobre os mecanismos criados para identificar mudanças na procura a diferentes níveis</w:t>
            </w:r>
          </w:p>
          <w:p>
            <w:pPr>
              <w:numPr>
                <w:ilvl w:val="0"/>
                <w:numId w:val="2"/>
              </w:numPr>
              <w:spacing w:before="0" w:after="0"/>
              <w:ind w:left="426" w:hanging="426"/>
              <w:contextualSpacing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provas da utilização desses mecanismos e da sua eficácia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w w:val="105"/>
                <w:szCs w:val="24"/>
              </w:rPr>
            </w:pPr>
            <w:r>
              <w:rPr>
                <w:noProof/>
              </w:rPr>
              <w:t>Indicador de contexto/de input (informações qualitativas)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Melhorar a capacidade de resposta do EFP às novas necessidades do mercado de trabalho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Apoio à empregabilidade</w:t>
            </w:r>
          </w:p>
        </w:tc>
      </w:tr>
      <w:tr>
        <w:trPr>
          <w:trHeight w:val="387"/>
        </w:trPr>
        <w:tc>
          <w:tcPr>
            <w:tcW w:w="9289" w:type="dxa"/>
            <w:gridSpan w:val="3"/>
            <w:vAlign w:val="center"/>
          </w:tcPr>
          <w:p>
            <w:pPr>
              <w:jc w:val="left"/>
              <w:rPr>
                <w:rFonts w:cstheme="minorBidi"/>
                <w:b/>
                <w:i/>
                <w:noProof/>
              </w:rPr>
            </w:pPr>
            <w:r>
              <w:rPr>
                <w:b/>
                <w:i/>
                <w:noProof/>
              </w:rPr>
              <w:t>Número 10</w:t>
            </w:r>
          </w:p>
        </w:tc>
      </w:tr>
      <w:tr>
        <w:trPr>
          <w:trHeight w:val="2138"/>
        </w:trPr>
        <w:tc>
          <w:tcPr>
            <w:tcW w:w="3652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Sistemas utilizados para promover um melhor acesso ao EFP e fornecer orientações aos (potenciais) formandos de EFP: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Informação sobre os mecanismos existentes a vários níveis</w:t>
            </w:r>
          </w:p>
          <w:p>
            <w:pPr>
              <w:ind w:left="426" w:hanging="426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provas da sua eficácia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Indicador de processo (informações qualitativas)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Promover o acesso ao EFP, nomeadamente para os grupos desfavorecidos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Fornecer orientações aos (potenciais) formandos de EFP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Apoiar a adaptação da oferta de formação</w:t>
            </w: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JO: JOP_1963_063_R_1338_01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C 398 de 22.12.2012.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Ver anexo II do QEQ relativo aos descritores que definem os níveis do Quadro Europeu de Qualificações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JO C 484 de 24.12.2016.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 C 189 de 15.6.2017.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C 423 de 9.12.2017.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JO L 112 de 2.5.2018.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JO C 189 de 4.6.2018.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JO C 444 de 10.12.2018.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 C 195 de 7.6.2018, pp. 7-10.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JO C 389 de 18.11.2019, pp. 1-6.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JO C 189 de 5.6.2019.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COM(2019) 650 final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No que respeita à formação profissional inicial: é necessário um período de seis semanas de formação para que um formando seja contado como participante. No que respeita à aprendizagem ao longo da vida: percentagem da população admitida em programas de EFP formal.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Além da informação básica sobre sexo e idade, outros critérios sociais poderão ser aplicados, por exemplo, o abandono escolar precoce, nível de sucesso escolar mais elevado, migrantes, pessoas com deficiência, duração do desemprego.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No que respeita à formação profissional inicial: incluindo informação sobre o destino dos formandos que abandonaram o sistema.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Definição segundo a OIT: pessoas entre os 15 e os 74 anos sem trabalho, que procuram emprego ativamente e estão prontos para começar a trabalhar.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F2A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1FC52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0C7F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9A74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4292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4F049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FEEC9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A3C9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B7459"/>
    <w:multiLevelType w:val="hybridMultilevel"/>
    <w:tmpl w:val="E60A9DE2"/>
    <w:lvl w:ilvl="0" w:tplc="FAD43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0F3096"/>
    <w:multiLevelType w:val="hybridMultilevel"/>
    <w:tmpl w:val="5D6A270C"/>
    <w:lvl w:ilvl="0" w:tplc="586823CE">
      <w:start w:val="1"/>
      <w:numFmt w:val="decimal"/>
      <w:pStyle w:val="NumPar0"/>
      <w:lvlText w:val="%1)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2"/>
  </w:num>
  <w:num w:numId="15">
    <w:abstractNumId w:val="12"/>
  </w:num>
  <w:num w:numId="16">
    <w:abstractNumId w:val="14"/>
  </w:num>
  <w:num w:numId="17">
    <w:abstractNumId w:val="10"/>
  </w:num>
  <w:num w:numId="18">
    <w:abstractNumId w:val="21"/>
  </w:num>
  <w:num w:numId="19">
    <w:abstractNumId w:val="9"/>
  </w:num>
  <w:num w:numId="20">
    <w:abstractNumId w:val="15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9 18:58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 Proposta de "/>
    <w:docVar w:name="LW_ACCOMPAGNANT.CP" w:val="da Proposta de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7B91147-4CA2-444D-B1F2-877D8EF9C4B8"/>
    <w:docVar w:name="LW_COVERPAGE_TYPE" w:val="1"/>
    <w:docVar w:name="LW_CROSSREFERENCE" w:val="{SWD(2020) 123 final}"/>
    <w:docVar w:name="LW_DocType" w:val="ANNEX"/>
    <w:docVar w:name="LW_EMISSION" w:val="1.7.2020"/>
    <w:docVar w:name="LW_EMISSION_ISODATE" w:val="2020-07-01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sobre o ensino e a formação profissionais (EFP) em prol da competitividade sustentável, da justiça social e da resiliência_x000d__x000d__x000d__x000d__x000d__x000d__x000d__x000d__x000d__x000b_"/>
    <w:docVar w:name="LW_OBJETACTEPRINCIPAL.CP" w:val="sobre o ensino e a formação profissionais (EFP) em prol da competitividade sustentável, da justiça social e da resiliência_x000d__x000d__x000d__x000d_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27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RECOMENDAÇÃO DO CONSELHO_x000b_"/>
    <w:docVar w:name="LW_TYPEACTEPRINCIPAL.CP" w:val="RECOMENDAÇÃO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NumPar0">
    <w:name w:val="NumPar 0"/>
    <w:basedOn w:val="Normal"/>
    <w:pPr>
      <w:numPr>
        <w:numId w:val="1"/>
      </w:numPr>
      <w:spacing w:before="0" w:after="200" w:line="276" w:lineRule="auto"/>
      <w:ind w:left="567" w:hanging="567"/>
      <w:jc w:val="left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NumPar0">
    <w:name w:val="NumPar 0"/>
    <w:basedOn w:val="Normal"/>
    <w:pPr>
      <w:numPr>
        <w:numId w:val="1"/>
      </w:numPr>
      <w:spacing w:before="0" w:after="200" w:line="276" w:lineRule="auto"/>
      <w:ind w:left="567" w:hanging="567"/>
      <w:jc w:val="left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0607588f-e8fc-4f62-89a5-2b63ec5058da">EN</EC_Collab_DocumentLanguage>
    <EC_Collab_Status xmlns="0607588f-e8fc-4f62-89a5-2b63ec5058da">Not Started</EC_Collab_Status>
    <EC_Collab_Reference xmlns="0607588f-e8fc-4f62-89a5-2b63ec5058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FA497FD42E47274BB8C9F216EABFADD9" ma:contentTypeVersion="8" ma:contentTypeDescription="Create a new document in this library." ma:contentTypeScope="" ma:versionID="e95cf22ec94fa30968592f30d9b476e4">
  <xsd:schema xmlns:xsd="http://www.w3.org/2001/XMLSchema" xmlns:xs="http://www.w3.org/2001/XMLSchema" xmlns:p="http://schemas.microsoft.com/office/2006/metadata/properties" xmlns:ns3="0607588f-e8fc-4f62-89a5-2b63ec5058da" targetNamespace="http://schemas.microsoft.com/office/2006/metadata/properties" ma:root="true" ma:fieldsID="30171a0791002974d7eb4f17f59606ef" ns3:_="">
    <xsd:import namespace="0607588f-e8fc-4f62-89a5-2b63ec5058d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588f-e8fc-4f62-89a5-2b63ec5058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368535-CAB2-47E1-8BAA-A4C43545C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9F76A-D2CF-40D4-A043-D853F6B2EF9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607588f-e8fc-4f62-89a5-2b63ec5058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B42879-A0A1-455F-9BE8-8E119801D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7588f-e8fc-4f62-89a5-2b63ec50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43ECE-05B4-456F-80FC-80DAB0F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12</Pages>
  <Words>3083</Words>
  <Characters>17482</Characters>
  <Application>Microsoft Office Word</Application>
  <DocSecurity>0</DocSecurity>
  <Lines>602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2020-07-07T08:15:00Z</dcterms:created>
  <dcterms:modified xsi:type="dcterms:W3CDTF">2020-07-09T16:58:00Z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7.0.1, Build 20190916</vt:lpwstr>
  </property>
  <property fmtid="{D5CDD505-2E9C-101B-9397-08002B2CF9AE}" pid="4" name="First annex">
    <vt:lpwstr>1</vt:lpwstr>
  </property>
  <property fmtid="{D5CDD505-2E9C-101B-9397-08002B2CF9AE}" pid="5" name="Last annex">
    <vt:lpwstr>2</vt:lpwstr>
  </property>
  <property fmtid="{D5CDD505-2E9C-101B-9397-08002B2CF9AE}" pid="6" name="Unique annex">
    <vt:lpwstr>0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SG-017</vt:lpwstr>
  </property>
  <property fmtid="{D5CDD505-2E9C-101B-9397-08002B2CF9AE}" pid="10" name="ContentTypeId">
    <vt:lpwstr>0x010100258AA79CEB83498886A3A0868112325000FA497FD42E47274BB8C9F216EABFADD9</vt:lpwstr>
  </property>
  <property fmtid="{D5CDD505-2E9C-101B-9397-08002B2CF9AE}" pid="11" name="DQCStatus">
    <vt:lpwstr>Green (DQC version 03)</vt:lpwstr>
  </property>
  <property fmtid="{D5CDD505-2E9C-101B-9397-08002B2CF9AE}" pid="12" name="Category">
    <vt:lpwstr>COM/ANNEX</vt:lpwstr>
  </property>
</Properties>
</file>