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102B8527-0ED3-4AB8-BAEA-C07F8EFD31D0" style="width:450.45pt;height:424.5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I LISA. Oskuste, hariduse ja koolituse valdkonna asjakohased õigusaktid</w:t>
      </w:r>
    </w:p>
    <w:p>
      <w:pPr>
        <w:pStyle w:val="NumPar1"/>
        <w:numPr>
          <w:ilvl w:val="0"/>
          <w:numId w:val="11"/>
        </w:numPr>
        <w:rPr>
          <w:noProof/>
        </w:rPr>
      </w:pPr>
      <w:r>
        <w:rPr>
          <w:noProof/>
        </w:rPr>
        <w:t>Nõukogu 2. aprilli 1963. aasta otsus, millega kehtestatakse ühise kutseõppepoliitika rakendamise üldpõhimõtted</w:t>
      </w:r>
      <w:r>
        <w:rPr>
          <w:rStyle w:val="FootnoteReference"/>
          <w:noProof/>
        </w:rPr>
        <w:footnoteReference w:id="1"/>
      </w:r>
      <w:r>
        <w:rPr>
          <w:noProof/>
        </w:rPr>
        <w:t>.</w:t>
      </w:r>
    </w:p>
    <w:p>
      <w:pPr>
        <w:pStyle w:val="NumPar1"/>
        <w:rPr>
          <w:noProof/>
        </w:rPr>
      </w:pPr>
      <w:r>
        <w:rPr>
          <w:noProof/>
        </w:rPr>
        <w:t>Nõukogu 20. detsembri 2012. aasta soovituses mitteformaalse ja informaalse õppe valideerimise kohta</w:t>
      </w:r>
      <w:r>
        <w:rPr>
          <w:rStyle w:val="FootnoteReference"/>
          <w:noProof/>
        </w:rPr>
        <w:footnoteReference w:id="2"/>
      </w:r>
      <w:r>
        <w:rPr>
          <w:noProof/>
        </w:rPr>
        <w:t xml:space="preserve"> kutsutakse liikmesriike üles kehtestama mitteformaalse ja informaalse õppe valideerimise meetmed, mis võimaldavad isikutel omandada kvalifikatsioone, mis vastavad kokkulepitud standarditele, mis on samad kui formaalhariduse õppekava alusel omandatud kvalifikatsiooni standardid või nendega võrdväärsed.</w:t>
      </w:r>
    </w:p>
    <w:p>
      <w:pPr>
        <w:pStyle w:val="NumPar1"/>
        <w:rPr>
          <w:noProof/>
        </w:rPr>
      </w:pPr>
      <w:r>
        <w:rPr>
          <w:noProof/>
        </w:rPr>
        <w:t>Nõukogu ja komisjoni 15. detsembri 2015. aasta ühisaruandes hariduse ja koolituse valdkonna üleeuroopalise koostöö strateegilise raamistiku (HK 2020) rakendamise kohta seati täiskasvanuhariduse valdkonnas prioriteediks muu hulgas kirja-, arvutus- ja digioskuste tagamine ning see, et inimestele, kellel puudub Euroopa kvalifikatsiooniraamistiku (EQF) 4. taseme kvalifikatsioon,</w:t>
      </w:r>
      <w:r>
        <w:rPr>
          <w:rStyle w:val="FootnoteReference"/>
          <w:noProof/>
        </w:rPr>
        <w:footnoteReference w:id="3"/>
      </w:r>
      <w:r>
        <w:rPr>
          <w:noProof/>
        </w:rPr>
        <w:t xml:space="preserve"> pakutaks piisavalt uusi võimalusi EQFis tunnustatud kvalifikatsiooni omandamiseks. Ühisaruanne sisaldab ka kutsehariduse ja -õppe keskpika perioodi eesmärke, sealhulgas kvalifikatsioonide kõigi jaoks kättesaadavamaks muutmist paindlikumate ja üleminekut võimaldavate kutsehariduse ja -õppe süsteemide abil, eelkõige pakkudes tõhusaid ja lõimitud nõustamisteenuseid ning võimaldades mitteformaalse ja informaalse õppe valideerimist.</w:t>
      </w:r>
    </w:p>
    <w:p>
      <w:pPr>
        <w:pStyle w:val="NumPar1"/>
        <w:rPr>
          <w:noProof/>
        </w:rPr>
      </w:pPr>
      <w:r>
        <w:rPr>
          <w:noProof/>
        </w:rPr>
        <w:t>Nõukogu 19. detsembri 2016. aasta soovituses „Oskuste täiendamise meetmed: uued võimalused täiskasvanutele“</w:t>
      </w:r>
      <w:r>
        <w:rPr>
          <w:rStyle w:val="FootnoteReference"/>
          <w:noProof/>
        </w:rPr>
        <w:footnoteReference w:id="4"/>
      </w:r>
      <w:r>
        <w:rPr>
          <w:noProof/>
        </w:rPr>
        <w:t xml:space="preserve"> kutsutakse liikmesriike üles suurendama väheste oskustega täiskasvanutele pakutavate kvaliteetsete õppimisvõimaluste kättesaadavust ja kasutamist kolme põhisammuga: oskuste hindamine, personaalse õppevõimaluse pakkumine ning omandatud oskuste valideerimine ja tunnustamine.</w:t>
      </w:r>
    </w:p>
    <w:p>
      <w:pPr>
        <w:pStyle w:val="NumPar1"/>
        <w:rPr>
          <w:noProof/>
        </w:rPr>
      </w:pPr>
      <w:r>
        <w:rPr>
          <w:noProof/>
        </w:rPr>
        <w:t>Nõukogu 22. mai 2017. aasta soovitusega, milles käsitletakse elukestva õppe Euroopa kvalifikatsiooniraamistikku,</w:t>
      </w:r>
      <w:r>
        <w:rPr>
          <w:rStyle w:val="FootnoteReference"/>
          <w:noProof/>
        </w:rPr>
        <w:footnoteReference w:id="5"/>
      </w:r>
      <w:r>
        <w:rPr>
          <w:noProof/>
        </w:rPr>
        <w:t xml:space="preserve"> tagatakse, et EQFi tasemega kvalifikatsioonid põhinevad kvaliteeditagamise ühistel põhimõtetel (EQFi soovituse IV lisa) ning et arvestuspunktidel põhinevate EQFi tasemega kvalifikatsioonide puhul kasutatakse arvestuspunktisüsteemide ühiseid põhimõtteid (EQFi soovituse V lisa). </w:t>
      </w:r>
    </w:p>
    <w:p>
      <w:pPr>
        <w:pStyle w:val="NumPar1"/>
        <w:rPr>
          <w:noProof/>
        </w:rPr>
      </w:pPr>
      <w:r>
        <w:rPr>
          <w:noProof/>
        </w:rPr>
        <w:t>Nõukogu 20. novembri 2017. aasta soovituses haridusasutuse lõpetanute käekäigu jälgimise kohta</w:t>
      </w:r>
      <w:r>
        <w:rPr>
          <w:rStyle w:val="FootnoteReference"/>
          <w:noProof/>
        </w:rPr>
        <w:footnoteReference w:id="6"/>
      </w:r>
      <w:r>
        <w:rPr>
          <w:noProof/>
        </w:rPr>
        <w:t xml:space="preserve"> kutsutakse liikmesriike üles muutma 2020. aastaks kutsehariduse ja -õppe läbinute ning kõrghariduse omandanute edasise tegevusega seotud andmed kättesaadavamaks ja kvaliteetsemaks.</w:t>
      </w:r>
    </w:p>
    <w:p>
      <w:pPr>
        <w:pStyle w:val="NumPar1"/>
        <w:rPr>
          <w:noProof/>
        </w:rPr>
      </w:pPr>
      <w:r>
        <w:rPr>
          <w:noProof/>
        </w:rPr>
        <w:t>Euroopa Parlamendi ja nõukogu 18. aprilli 2018. aasta otsusega (EL) 2018/646, milles käsitletakse oskuste ja kvalifikatsioonidega seotud paremate teenuste pakkumise ühist raamistikku (Europass),</w:t>
      </w:r>
      <w:r>
        <w:rPr>
          <w:rStyle w:val="FootnoteReference"/>
          <w:noProof/>
        </w:rPr>
        <w:footnoteReference w:id="7"/>
      </w:r>
      <w:r>
        <w:rPr>
          <w:noProof/>
        </w:rPr>
        <w:t xml:space="preserve"> on loodud platvorm, mis toetab oskuste ja kvalifikatsioonide dokumenteerimist ja kirjeldamist ning pakub kasutajatele (nt tööotsijatele, õppijatele) e-portfoolio vahendit, et talletada teavet oma oskuste ja kvalifikatsioonide kohta ning koostada CVsid ja töökohataotlusi. Platvorm toimib ka </w:t>
      </w:r>
      <w:r>
        <w:rPr>
          <w:noProof/>
        </w:rPr>
        <w:lastRenderedPageBreak/>
        <w:t xml:space="preserve">veebiportaalina, mis sisaldab teavet kvalifikatsioonide ja kvalifikatsioonisüsteemide, suuniste, valideerimise, tunnustamise ning oskuste ja kvalifikatsioonidega seotud muude teemade kohta. Uus Europassi teenus toetab ka autentimisteenuste (nt digiallkirjad/sertifikaadid) kasutamist. </w:t>
      </w:r>
    </w:p>
    <w:p>
      <w:pPr>
        <w:pStyle w:val="NumPar1"/>
        <w:rPr>
          <w:noProof/>
        </w:rPr>
      </w:pPr>
      <w:r>
        <w:rPr>
          <w:noProof/>
        </w:rPr>
        <w:t>Nõukogu 22. mai 2018. aasta soovituses võtmepädevuste kohta elukestvas õppes</w:t>
      </w:r>
      <w:r>
        <w:rPr>
          <w:rStyle w:val="FootnoteReference"/>
          <w:noProof/>
        </w:rPr>
        <w:footnoteReference w:id="8"/>
      </w:r>
      <w:r>
        <w:rPr>
          <w:noProof/>
        </w:rPr>
        <w:t xml:space="preserve"> rõhutatakse vajadust käsitleda võtmepädevuste arendamist elukestva õppe perspektiivis ning tagada toetus kõigil haridus-, koolitus- ja õppetasanditel, sealhulgas esma- ja jätkukutseõppe edasise arendamise kaudu.</w:t>
      </w:r>
    </w:p>
    <w:p>
      <w:pPr>
        <w:pStyle w:val="NumPar1"/>
        <w:rPr>
          <w:noProof/>
        </w:rPr>
      </w:pPr>
      <w:r>
        <w:rPr>
          <w:noProof/>
        </w:rPr>
        <w:t>Nõukogu 26. novembri 2018. aasta soovituses kõrg- ja keskhariduskvalifikatsioonide ning välismaal läbitud õppeperioodide õpiväljundite automaatse vastastikuse tunnustamise edendamise kohta</w:t>
      </w:r>
      <w:r>
        <w:rPr>
          <w:rStyle w:val="FootnoteReference"/>
          <w:noProof/>
        </w:rPr>
        <w:footnoteReference w:id="9"/>
      </w:r>
      <w:r>
        <w:rPr>
          <w:noProof/>
        </w:rPr>
        <w:t xml:space="preserve"> kutsutakse liikmesriike üles kehtestama vajalikke meetmeid, et saavutada 2025. aastaks kõrg- ja keskhariduskvalifikatsioonide automaatne tunnustamine ning õppeperioodide õpiväljundite tunnustamine, et liikuda Euroopa haridusruumi loomise suunas. Soovituses rõhutatakse vajadust arendada edasi kutsehariduse ja -õppe kvaliteedi tagamise vahendeid kooskõlas Euroopa kvaliteeditagamise võrdlusraamistikuga kutsehariduse ja -õppe valdkonnas ning selle edasiarendustega, et suurendada läbipaistvust ning usaldust üksteise keskharidus- ja koolitussüsteemide vastu. Et hõlbustada liikuvust ja välismaal läbitud õppeperioodide õpiväljundite tunnustamist, kutsutakse soovituses üles laiemalt kasutama kutsehariduse ja -õppes valdkonnas välja töötatud ELi vahendeid, näiteks Europassi veebiplatvormi kaudu kättesaadavaid vahendeid ning vastastikuse mõistmise memorandumit ja koolituslepingut, mis on osa Euroopa kutsehariduse ja -koolituse ainepunktide süsteemist.</w:t>
      </w:r>
    </w:p>
    <w:p>
      <w:pPr>
        <w:pStyle w:val="NumPar1"/>
        <w:rPr>
          <w:noProof/>
        </w:rPr>
      </w:pPr>
      <w:r>
        <w:rPr>
          <w:noProof/>
        </w:rPr>
        <w:t>Nõukogu järeldustes Euroopa haridusruumi visiooni suunas liikumise kohta</w:t>
      </w:r>
      <w:r>
        <w:rPr>
          <w:rStyle w:val="FootnoteReference"/>
          <w:noProof/>
        </w:rPr>
        <w:footnoteReference w:id="10"/>
      </w:r>
      <w:r>
        <w:rPr>
          <w:noProof/>
        </w:rPr>
        <w:t xml:space="preserve"> rõhutatakse, et „kontseptsiooniga hõlmatud algatused ja Euroopa haridusruumi osana tulevikus väljapakutavad ja võetavad meetmed [...] peaksid hõlmama kõiki hariduse ja koolituse tasemeid ja liike, sealhulgas täiskasvanuõpet ja kutseharidust ja koolitust“.</w:t>
      </w:r>
    </w:p>
    <w:p>
      <w:pPr>
        <w:pStyle w:val="NumPar1"/>
        <w:rPr>
          <w:noProof/>
        </w:rPr>
      </w:pPr>
      <w:r>
        <w:rPr>
          <w:noProof/>
        </w:rPr>
        <w:t>Nõukogu resolutsioonis Euroopa haridusruumi edasise arendamise kohta,</w:t>
      </w:r>
      <w:r>
        <w:rPr>
          <w:rStyle w:val="FootnoteReference"/>
          <w:noProof/>
        </w:rPr>
        <w:footnoteReference w:id="11"/>
      </w:r>
      <w:r>
        <w:rPr>
          <w:noProof/>
        </w:rPr>
        <w:t xml:space="preserve"> et toetada tulevikku suunatud haridus- ja koolitussüsteeme, tuletatakse meelde, et „haridusruumi aluseks peaks olema elukestev õpe alates alusharidusest ja lapsehoiust kuni üld- ja kutsehariduse ning kõrghariduse ja täiskasvanuõppeni“.</w:t>
      </w:r>
    </w:p>
    <w:p>
      <w:pPr>
        <w:pStyle w:val="NumPar1"/>
        <w:rPr>
          <w:noProof/>
        </w:rPr>
      </w:pPr>
      <w:r>
        <w:rPr>
          <w:noProof/>
        </w:rPr>
        <w:t>Nõukogu 2019. aasta järeldustes nõukogu soovituse „Oskuste täiendamise meetmed: uued võimalused täiskasvanutele“ rakendamise kohta</w:t>
      </w:r>
      <w:r>
        <w:rPr>
          <w:rStyle w:val="FootnoteReference"/>
          <w:noProof/>
        </w:rPr>
        <w:footnoteReference w:id="12"/>
      </w:r>
      <w:r>
        <w:rPr>
          <w:noProof/>
        </w:rPr>
        <w:t xml:space="preserve"> rõhutatakse vajadust kehtestada täiskasvanute täiendus- ja ümberõppeks kestlikud pikaajalised meetmed, mis on osa laiemast strateegilisest lähenemisviisist elukestvate oskuste arendamisele.</w:t>
      </w:r>
    </w:p>
    <w:p>
      <w:pPr>
        <w:pStyle w:val="NumPar1"/>
        <w:rPr>
          <w:noProof/>
        </w:rPr>
      </w:pPr>
      <w:r>
        <w:rPr>
          <w:noProof/>
        </w:rPr>
        <w:t>Nõukogu 2019. aasta järeldustes heaolumajanduse kohta kutsutakse liikmesriike üles edendama terviklikku elukestva õppe poliitikat ning oskuste ja pädevuste arendamist kogu elu jooksul.</w:t>
      </w:r>
    </w:p>
    <w:p>
      <w:pPr>
        <w:pStyle w:val="NumPar1"/>
        <w:ind w:left="851" w:hanging="851"/>
        <w:rPr>
          <w:noProof/>
        </w:rPr>
      </w:pPr>
      <w:r>
        <w:rPr>
          <w:noProof/>
        </w:rPr>
        <w:t>Komisjoni teatises „2020. aasta kestliku majanduskasvu strateegia“</w:t>
      </w:r>
      <w:r>
        <w:rPr>
          <w:rStyle w:val="FootnoteReference"/>
          <w:noProof/>
        </w:rPr>
        <w:footnoteReference w:id="13"/>
      </w:r>
      <w:r>
        <w:rPr>
          <w:noProof/>
        </w:rPr>
        <w:t xml:space="preserve"> on seatud prioriteedid, et muuta liidu majandus kestlikuks, edendada kaksiküleminekut digi- ja rohemajandusele ning kujundada ELi sotsiaalne turumajandus ümber, tagamaks, et ka tulevikus on siin maailma arenenuimad hoolekandesüsteemid ning Euroopa on innovatsiooni ja konkurentsivõimelise ettevõtluse tegus keskus. Teatises pannakse suurt rõhku vajadusele suurendada investeeringuid oskustesse ning haridus- ja koolitussüsteemide reformidesse.</w:t>
      </w:r>
    </w:p>
    <w:p>
      <w:pPr>
        <w:pStyle w:val="Text1"/>
        <w:tabs>
          <w:tab w:val="left" w:pos="1792"/>
        </w:tabs>
        <w:rPr>
          <w:noProof/>
        </w:rPr>
      </w:pPr>
      <w:r>
        <w:rPr>
          <w:noProof/>
        </w:rPr>
        <w:tab/>
      </w:r>
    </w:p>
    <w:p>
      <w:pPr>
        <w:tabs>
          <w:tab w:val="left" w:pos="1792"/>
        </w:tabs>
        <w:rPr>
          <w:noProof/>
        </w:rPr>
        <w:sectPr>
          <w:footerReference w:type="default" r:id="rId19"/>
          <w:footerReference w:type="first" r:id="rId20"/>
          <w:pgSz w:w="11907" w:h="16839"/>
          <w:pgMar w:top="1134" w:right="1417" w:bottom="1134" w:left="1417" w:header="709" w:footer="709" w:gutter="0"/>
          <w:cols w:space="720"/>
          <w:docGrid w:linePitch="360"/>
        </w:sectPr>
      </w:pPr>
      <w:r>
        <w:rPr>
          <w:noProof/>
        </w:rPr>
        <w:tab/>
      </w:r>
    </w:p>
    <w:p>
      <w:pPr>
        <w:pStyle w:val="Annexetitre"/>
        <w:rPr>
          <w:noProof/>
        </w:rPr>
      </w:pPr>
      <w:r>
        <w:rPr>
          <w:noProof/>
        </w:rPr>
        <w:t>II LISA – EQAVETi raamistik</w:t>
      </w:r>
    </w:p>
    <w:p>
      <w:pPr>
        <w:widowControl w:val="0"/>
        <w:tabs>
          <w:tab w:val="left" w:pos="842"/>
        </w:tabs>
        <w:rPr>
          <w:rFonts w:eastAsia="Times New Roman"/>
          <w:b/>
          <w:noProof/>
          <w:szCs w:val="24"/>
        </w:rPr>
      </w:pPr>
      <w:r>
        <w:rPr>
          <w:b/>
          <w:noProof/>
          <w:szCs w:val="24"/>
        </w:rPr>
        <w:t xml:space="preserve">A osa. EQAVETi näidiskirjeldused </w:t>
      </w:r>
    </w:p>
    <w:p>
      <w:pPr>
        <w:rPr>
          <w:noProof/>
        </w:rPr>
      </w:pPr>
      <w:r>
        <w:rPr>
          <w:noProof/>
        </w:rPr>
        <w:t xml:space="preserve">EQAVETi näidiskirjelduste eesmärk on toetada liikmesriike ning kutsehariduse ja -õppe pakkujaid EQAVETi raamistiku rakendamisel. Kirjeldused on struktureeritud kvaliteeditsükli etappide kaupa: </w:t>
      </w:r>
      <w:r>
        <w:rPr>
          <w:i/>
          <w:noProof/>
        </w:rPr>
        <w:t>kavandamine – rakendamine – hindamine – läbivaatamine</w:t>
      </w:r>
      <w:r>
        <w:rPr>
          <w:noProof/>
        </w:rPr>
        <w:t>. Neid saab kasutada nii esma- kui ka jätkukutseõppes ning kõigis õpikeskkondades: kooliõppes ja töölõppimisel, sealhulgas õpipoisiõppes.</w:t>
      </w:r>
    </w:p>
    <w:tbl>
      <w:tblPr>
        <w:tblStyle w:val="TableGrid"/>
        <w:tblW w:w="5095" w:type="pct"/>
        <w:tblLook w:val="04A0" w:firstRow="1" w:lastRow="0" w:firstColumn="1" w:lastColumn="0" w:noHBand="0" w:noVBand="1"/>
      </w:tblPr>
      <w:tblGrid>
        <w:gridCol w:w="2576"/>
        <w:gridCol w:w="3566"/>
        <w:gridCol w:w="3323"/>
      </w:tblGrid>
      <w:tr>
        <w:trPr>
          <w:tblHeader/>
        </w:trPr>
        <w:tc>
          <w:tcPr>
            <w:tcW w:w="1031" w:type="pct"/>
            <w:shd w:val="clear" w:color="auto" w:fill="F2F2F2" w:themeFill="background1" w:themeFillShade="F2"/>
            <w:vAlign w:val="center"/>
          </w:tcPr>
          <w:p>
            <w:pPr>
              <w:jc w:val="center"/>
              <w:rPr>
                <w:rFonts w:eastAsia="Times New Roman"/>
                <w:b/>
                <w:noProof/>
                <w:szCs w:val="24"/>
              </w:rPr>
            </w:pPr>
            <w:r>
              <w:rPr>
                <w:b/>
                <w:noProof/>
                <w:szCs w:val="24"/>
              </w:rPr>
              <w:t>Kvaliteedikriteeriumid</w:t>
            </w:r>
          </w:p>
        </w:tc>
        <w:tc>
          <w:tcPr>
            <w:tcW w:w="2049" w:type="pct"/>
            <w:shd w:val="clear" w:color="auto" w:fill="F2F2F2" w:themeFill="background1" w:themeFillShade="F2"/>
            <w:vAlign w:val="center"/>
          </w:tcPr>
          <w:p>
            <w:pPr>
              <w:jc w:val="center"/>
              <w:rPr>
                <w:rFonts w:eastAsia="Times New Roman"/>
                <w:b/>
                <w:noProof/>
                <w:szCs w:val="24"/>
              </w:rPr>
            </w:pPr>
            <w:r>
              <w:rPr>
                <w:b/>
                <w:noProof/>
                <w:szCs w:val="24"/>
              </w:rPr>
              <w:t>Kutsehariduse ja -õppe süsteemi tasandi näidiskirjeldused</w:t>
            </w:r>
          </w:p>
        </w:tc>
        <w:tc>
          <w:tcPr>
            <w:tcW w:w="1920" w:type="pct"/>
            <w:shd w:val="clear" w:color="auto" w:fill="F2F2F2" w:themeFill="background1" w:themeFillShade="F2"/>
            <w:vAlign w:val="center"/>
          </w:tcPr>
          <w:p>
            <w:pPr>
              <w:jc w:val="center"/>
              <w:rPr>
                <w:rFonts w:eastAsia="Times New Roman"/>
                <w:b/>
                <w:noProof/>
                <w:szCs w:val="24"/>
              </w:rPr>
            </w:pPr>
            <w:r>
              <w:rPr>
                <w:b/>
                <w:noProof/>
                <w:szCs w:val="24"/>
              </w:rPr>
              <w:t>Kutsehariduse ja -õppe pakkuja tasandi näidiskirjeldused</w:t>
            </w:r>
          </w:p>
        </w:tc>
      </w:tr>
      <w:tr>
        <w:tc>
          <w:tcPr>
            <w:tcW w:w="1031" w:type="pct"/>
            <w:vAlign w:val="center"/>
          </w:tcPr>
          <w:p>
            <w:pPr>
              <w:jc w:val="left"/>
              <w:rPr>
                <w:noProof/>
              </w:rPr>
            </w:pPr>
            <w:r>
              <w:rPr>
                <w:noProof/>
              </w:rPr>
              <w:t>Kavandamine põhineb asjaomaste sidusrühmade ühisel strateegilisel visioonil ning sisaldab selgelt kindlaks määratud eesmärke, meetmeid ja näitajaid</w:t>
            </w:r>
          </w:p>
        </w:tc>
        <w:tc>
          <w:tcPr>
            <w:tcW w:w="2049" w:type="pct"/>
            <w:vAlign w:val="center"/>
          </w:tcPr>
          <w:p>
            <w:pPr>
              <w:jc w:val="left"/>
              <w:rPr>
                <w:rFonts w:eastAsia="Times New Roman"/>
                <w:noProof/>
                <w:szCs w:val="24"/>
              </w:rPr>
            </w:pPr>
            <w:r>
              <w:rPr>
                <w:noProof/>
              </w:rPr>
              <w:t xml:space="preserve">Kutsehariduse ja -õppe eesmärgid seatakse keskpikas ja pikas perspektiivis ning need on seotud Euroopa ja kestliku arengu eesmärkidega, võttes arvesse keskkonnasäästlikkusega seotud kaalutlusi. </w:t>
            </w:r>
          </w:p>
          <w:p>
            <w:pPr>
              <w:jc w:val="left"/>
              <w:rPr>
                <w:rFonts w:eastAsia="Times New Roman"/>
                <w:noProof/>
                <w:szCs w:val="24"/>
              </w:rPr>
            </w:pPr>
            <w:r>
              <w:rPr>
                <w:noProof/>
              </w:rPr>
              <w:t>Kutsehariduse ja -õppe eri tasandi eesmärkide seadmisse kaasatakse sotsiaalpartnerid ja kõik muud asjaomased sidusrühmad.</w:t>
            </w:r>
          </w:p>
          <w:p>
            <w:pPr>
              <w:jc w:val="left"/>
              <w:rPr>
                <w:rFonts w:eastAsia="Times New Roman"/>
                <w:noProof/>
                <w:szCs w:val="24"/>
              </w:rPr>
            </w:pPr>
            <w:r>
              <w:rPr>
                <w:noProof/>
              </w:rPr>
              <w:t>Seatakse eesmärgid ja nende täitmise jälgimiseks kasutatakse erinäitajaid (edukriteeriumid).</w:t>
            </w:r>
          </w:p>
          <w:p>
            <w:pPr>
              <w:jc w:val="left"/>
              <w:rPr>
                <w:rFonts w:eastAsia="Times New Roman"/>
                <w:noProof/>
                <w:szCs w:val="24"/>
              </w:rPr>
            </w:pPr>
            <w:r>
              <w:rPr>
                <w:noProof/>
              </w:rPr>
              <w:t xml:space="preserve">Kehtestatakse tööturu ja ühiskonna koolitusvajaduste kindlakstegemise mehhanismid ja menetlused. </w:t>
            </w:r>
          </w:p>
          <w:p>
            <w:pPr>
              <w:jc w:val="left"/>
              <w:rPr>
                <w:rFonts w:eastAsia="Times New Roman"/>
                <w:noProof/>
                <w:szCs w:val="24"/>
              </w:rPr>
            </w:pPr>
            <w:r>
              <w:rPr>
                <w:noProof/>
              </w:rPr>
              <w:t>Töötatakse välja teabepoliitika, et tagada kvaliteedialaste tulemuste optimaalne avalikustamine vastavalt riiklikele/piirkondlikele andmekaitsenõuetele.</w:t>
            </w:r>
          </w:p>
          <w:p>
            <w:pPr>
              <w:jc w:val="left"/>
              <w:rPr>
                <w:rFonts w:eastAsia="Times New Roman"/>
                <w:noProof/>
                <w:szCs w:val="24"/>
              </w:rPr>
            </w:pPr>
            <w:r>
              <w:rPr>
                <w:noProof/>
              </w:rPr>
              <w:t>Töötatakse välja isiku pädevuste tunnustamise, valideerimise ja sertifitseerimise standardid ja juhised.</w:t>
            </w:r>
          </w:p>
          <w:p>
            <w:pPr>
              <w:jc w:val="left"/>
              <w:rPr>
                <w:noProof/>
                <w:szCs w:val="24"/>
              </w:rPr>
            </w:pPr>
            <w:r>
              <w:rPr>
                <w:noProof/>
              </w:rPr>
              <w:t>Kutsehariduse ja -õppe kvalifikatsioone kirjeldatakse õpiväljundite abil.</w:t>
            </w:r>
          </w:p>
          <w:p>
            <w:pPr>
              <w:jc w:val="left"/>
              <w:rPr>
                <w:noProof/>
                <w:szCs w:val="24"/>
              </w:rPr>
            </w:pPr>
            <w:r>
              <w:rPr>
                <w:noProof/>
              </w:rPr>
              <w:t>Luuakse mehhanismid kvalifikatsioonide kavandamise, hindamise ja läbivaatamise kvaliteedi tagamiseks.</w:t>
            </w:r>
          </w:p>
          <w:p>
            <w:pPr>
              <w:jc w:val="left"/>
              <w:rPr>
                <w:noProof/>
              </w:rPr>
            </w:pPr>
            <w:r>
              <w:rPr>
                <w:noProof/>
              </w:rPr>
              <w:t>Kutsehariduse ja -õppe programmid kavandatakse nii, et võimaldada paindlikke õppimisvõimalusi ja reageerida kiiresti tööturu muutuvatele vajadustele.</w:t>
            </w:r>
          </w:p>
        </w:tc>
        <w:tc>
          <w:tcPr>
            <w:tcW w:w="1920" w:type="pct"/>
            <w:vAlign w:val="center"/>
          </w:tcPr>
          <w:p>
            <w:pPr>
              <w:jc w:val="left"/>
              <w:rPr>
                <w:rFonts w:eastAsia="Times New Roman"/>
                <w:noProof/>
                <w:szCs w:val="24"/>
              </w:rPr>
            </w:pPr>
            <w:r>
              <w:rPr>
                <w:noProof/>
              </w:rPr>
              <w:t>Kutsehariduse ja -õppe pakkujad lähtuvad kohalike eesmärkide seadmisel Euroopa, riiklikest ja piirkondlikest kutsehariduse ja -õppe poliitika eesmärkidest.</w:t>
            </w:r>
          </w:p>
          <w:p>
            <w:pPr>
              <w:jc w:val="left"/>
              <w:rPr>
                <w:rFonts w:eastAsia="Times New Roman"/>
                <w:noProof/>
                <w:szCs w:val="24"/>
              </w:rPr>
            </w:pPr>
            <w:r>
              <w:rPr>
                <w:noProof/>
              </w:rPr>
              <w:t>Seatakse selged eesmärgid ja jälgitakse nende täitmist ning programmid töötatakse välja neist eesmärkidest lähtuvalt.</w:t>
            </w:r>
          </w:p>
          <w:p>
            <w:pPr>
              <w:jc w:val="left"/>
              <w:rPr>
                <w:rFonts w:eastAsia="Times New Roman"/>
                <w:noProof/>
                <w:szCs w:val="24"/>
              </w:rPr>
            </w:pPr>
            <w:r>
              <w:rPr>
                <w:noProof/>
              </w:rPr>
              <w:t>Peetakse pidevalt nõu sotsiaalpartnerite ja kõigi teiste asjaomaste sidusrühmadega, et selgitada välja kohalikud/individuaalsed erivajadused.</w:t>
            </w:r>
          </w:p>
          <w:p>
            <w:pPr>
              <w:jc w:val="left"/>
              <w:rPr>
                <w:rFonts w:eastAsia="Times New Roman"/>
                <w:noProof/>
                <w:szCs w:val="24"/>
              </w:rPr>
            </w:pPr>
            <w:r>
              <w:rPr>
                <w:noProof/>
              </w:rPr>
              <w:t>Määratakse selgelt kindlaks kvaliteedi juhtimise ja parandamisega seotud vastutusvaldkonnad.</w:t>
            </w:r>
          </w:p>
          <w:p>
            <w:pPr>
              <w:jc w:val="left"/>
              <w:rPr>
                <w:rFonts w:eastAsia="Times New Roman"/>
                <w:noProof/>
                <w:szCs w:val="24"/>
              </w:rPr>
            </w:pPr>
            <w:r>
              <w:rPr>
                <w:noProof/>
              </w:rPr>
              <w:t>Töötajad kaasatakse varakult kavandamisse, sh kvaliteedijuhtimise vallas.</w:t>
            </w:r>
          </w:p>
          <w:p>
            <w:pPr>
              <w:jc w:val="left"/>
              <w:rPr>
                <w:rFonts w:eastAsia="Times New Roman"/>
                <w:noProof/>
                <w:szCs w:val="24"/>
              </w:rPr>
            </w:pPr>
            <w:r>
              <w:rPr>
                <w:noProof/>
              </w:rPr>
              <w:t>Kutsehariduse ja -õppe pakkujad kavandavad asjaomaste sidusrühmadega tehtavaid koostööalgatusi.</w:t>
            </w:r>
          </w:p>
          <w:p>
            <w:pPr>
              <w:jc w:val="left"/>
              <w:rPr>
                <w:rFonts w:eastAsia="Times New Roman"/>
                <w:noProof/>
                <w:szCs w:val="24"/>
              </w:rPr>
            </w:pPr>
            <w:r>
              <w:rPr>
                <w:noProof/>
              </w:rPr>
              <w:t>Asjaomased sidusrühmad osalevad kohalike vajaduste analüüsimisel.</w:t>
            </w:r>
          </w:p>
          <w:p>
            <w:pPr>
              <w:jc w:val="left"/>
              <w:rPr>
                <w:rFonts w:eastAsia="Times New Roman"/>
                <w:noProof/>
                <w:szCs w:val="24"/>
              </w:rPr>
            </w:pPr>
            <w:r>
              <w:rPr>
                <w:noProof/>
              </w:rPr>
              <w:t xml:space="preserve">Kutsehariduse ja -õppe pakkujad rakendavad selget ja läbipaistvat kvaliteeditagamissüsteemi. </w:t>
            </w:r>
          </w:p>
          <w:p>
            <w:pPr>
              <w:jc w:val="left"/>
              <w:rPr>
                <w:rFonts w:eastAsia="Times New Roman"/>
                <w:noProof/>
                <w:szCs w:val="24"/>
              </w:rPr>
            </w:pPr>
            <w:r>
              <w:rPr>
                <w:noProof/>
              </w:rPr>
              <w:t xml:space="preserve">Meetmed kavandatakse nii, et tagada andmekaitse-eeskirjade järgimine. </w:t>
            </w:r>
          </w:p>
          <w:p>
            <w:pPr>
              <w:jc w:val="left"/>
              <w:rPr>
                <w:noProof/>
              </w:rPr>
            </w:pPr>
          </w:p>
        </w:tc>
      </w:tr>
      <w:tr>
        <w:tc>
          <w:tcPr>
            <w:tcW w:w="1031" w:type="pct"/>
            <w:vAlign w:val="center"/>
          </w:tcPr>
          <w:p>
            <w:pPr>
              <w:jc w:val="left"/>
              <w:rPr>
                <w:noProof/>
              </w:rPr>
            </w:pPr>
            <w:r>
              <w:rPr>
                <w:noProof/>
              </w:rPr>
              <w:t>Rakenduskavade koostamisel peetakse nõu sidusrühmadega ja need kavad sisaldavad selgeid põhimõtteid</w:t>
            </w:r>
          </w:p>
        </w:tc>
        <w:tc>
          <w:tcPr>
            <w:tcW w:w="2049" w:type="pct"/>
            <w:vAlign w:val="center"/>
          </w:tcPr>
          <w:p>
            <w:pPr>
              <w:jc w:val="left"/>
              <w:rPr>
                <w:rFonts w:eastAsia="Times New Roman"/>
                <w:noProof/>
                <w:szCs w:val="24"/>
              </w:rPr>
            </w:pPr>
            <w:r>
              <w:rPr>
                <w:noProof/>
              </w:rPr>
              <w:t>Rakenduskavad koostatakse koostöös sotsiaalpartnerite, kutsehariduse ja -õppe pakkujate ning teiste asjaomaste eri tasandite sidusrühmadega.</w:t>
            </w:r>
          </w:p>
          <w:p>
            <w:pPr>
              <w:jc w:val="left"/>
              <w:rPr>
                <w:rFonts w:eastAsia="Times New Roman"/>
                <w:noProof/>
                <w:szCs w:val="24"/>
              </w:rPr>
            </w:pPr>
            <w:r>
              <w:rPr>
                <w:noProof/>
              </w:rPr>
              <w:t>Rakenduskavade puhul on hinnatud ressursivajadust ja kasutajate suutlikkust ning vajalikke toetavaid vahendeid ja juhiseid.</w:t>
            </w:r>
          </w:p>
          <w:p>
            <w:pPr>
              <w:jc w:val="left"/>
              <w:rPr>
                <w:rFonts w:eastAsia="Times New Roman"/>
                <w:noProof/>
                <w:szCs w:val="24"/>
              </w:rPr>
            </w:pPr>
            <w:r>
              <w:rPr>
                <w:noProof/>
              </w:rPr>
              <w:t>Töötatakse välja raamistiku eri tasanditel rakendamise juhised ja standardid. Need juhised ja standardid hõlmavad kvalifikatsioonide hindamist, valideerimist ja sertifitseerimist.</w:t>
            </w:r>
          </w:p>
          <w:p>
            <w:pPr>
              <w:jc w:val="left"/>
              <w:rPr>
                <w:rFonts w:eastAsia="Times New Roman"/>
                <w:noProof/>
                <w:szCs w:val="24"/>
              </w:rPr>
            </w:pPr>
            <w:r>
              <w:rPr>
                <w:noProof/>
              </w:rPr>
              <w:t>Rakenduskavad sisaldavad spetsiaalset tuge kutseõpetajate ja -koolitajate koolituseks, sealhulgas digioskuste ja keskkonnasäästlikkuse valdkonnas.</w:t>
            </w:r>
          </w:p>
          <w:p>
            <w:pPr>
              <w:jc w:val="left"/>
              <w:rPr>
                <w:rFonts w:eastAsia="Times New Roman"/>
                <w:noProof/>
                <w:szCs w:val="24"/>
              </w:rPr>
            </w:pPr>
            <w:r>
              <w:rPr>
                <w:noProof/>
              </w:rPr>
              <w:t>Kutsehariduse ja -õppe pakkujate vastutust raamistiku rakendamisel kirjeldatakse selgelt ja läbipaistvalt.</w:t>
            </w:r>
          </w:p>
          <w:p>
            <w:pPr>
              <w:jc w:val="left"/>
              <w:rPr>
                <w:noProof/>
              </w:rPr>
            </w:pPr>
            <w:r>
              <w:rPr>
                <w:noProof/>
              </w:rPr>
              <w:t>Töötatakse välja riiklik ja/või piirkondlik kvaliteeditagamise raamistik, mis sisaldab kutsehariduse ja -õppe pakkujate tasandi juhiseid ja kvaliteedistandardeid, et edendada pidevat täiustamist ja eneseregulatsiooni.</w:t>
            </w:r>
          </w:p>
        </w:tc>
        <w:tc>
          <w:tcPr>
            <w:tcW w:w="1920" w:type="pct"/>
            <w:vAlign w:val="center"/>
          </w:tcPr>
          <w:p>
            <w:pPr>
              <w:jc w:val="left"/>
              <w:rPr>
                <w:rFonts w:eastAsia="Times New Roman"/>
                <w:noProof/>
                <w:szCs w:val="24"/>
              </w:rPr>
            </w:pPr>
            <w:r>
              <w:rPr>
                <w:noProof/>
              </w:rPr>
              <w:t>Organisatsioonis jaotatakse ressursid selliselt, et oleks tagatud rakenduskavades seatud eesmärkide täitmine.</w:t>
            </w:r>
          </w:p>
          <w:p>
            <w:pPr>
              <w:jc w:val="left"/>
              <w:rPr>
                <w:rFonts w:eastAsia="Times New Roman"/>
                <w:noProof/>
                <w:szCs w:val="24"/>
              </w:rPr>
            </w:pPr>
            <w:r>
              <w:rPr>
                <w:noProof/>
              </w:rPr>
              <w:t>Kavandatud meetmete rakendamiseks toetatakse selgesõnaliselt asjakohaseid ja kaasavaid partnerlussuhteid, sealhulgas õpetajate ja koolitajate vahel.</w:t>
            </w:r>
          </w:p>
          <w:p>
            <w:pPr>
              <w:jc w:val="left"/>
              <w:rPr>
                <w:rFonts w:eastAsia="Times New Roman"/>
                <w:noProof/>
                <w:szCs w:val="24"/>
              </w:rPr>
            </w:pPr>
            <w:r>
              <w:rPr>
                <w:noProof/>
              </w:rPr>
              <w:t>Töötajate pädevuste arendamise strateegilises kavas määratakse kindlaks õpetajate ja koolitajate koolitusvajadused.</w:t>
            </w:r>
          </w:p>
          <w:p>
            <w:pPr>
              <w:jc w:val="left"/>
              <w:rPr>
                <w:rFonts w:eastAsia="Times New Roman"/>
                <w:noProof/>
                <w:szCs w:val="24"/>
              </w:rPr>
            </w:pPr>
            <w:r>
              <w:rPr>
                <w:noProof/>
              </w:rPr>
              <w:t>Et toetada suutlikkuse suurendamist ning parandada kvaliteeti ja tulemusi, osalevad töötajad regulaarselt koolitustel ning arendavad koostööd asjaomaste organisatsiooniväliste sidusrühmadega.</w:t>
            </w:r>
          </w:p>
          <w:p>
            <w:pPr>
              <w:jc w:val="left"/>
              <w:rPr>
                <w:noProof/>
                <w:szCs w:val="24"/>
              </w:rPr>
            </w:pPr>
            <w:r>
              <w:rPr>
                <w:noProof/>
              </w:rPr>
              <w:t>Kutsehariduse ja -õppe pakkujate programmid võimaldavad õppijatel saavutada oodatavaid õpiväljundeid ja osaleda õppeprotsessis.</w:t>
            </w:r>
          </w:p>
          <w:p>
            <w:pPr>
              <w:jc w:val="left"/>
              <w:rPr>
                <w:noProof/>
                <w:szCs w:val="24"/>
              </w:rPr>
            </w:pPr>
            <w:r>
              <w:rPr>
                <w:noProof/>
              </w:rPr>
              <w:t>Kutsehariduse ja -õppe pakkujad vastavad isikute õpivajadustele, kasutades õppijakeskset lähenemisviisi, mis võimaldab õppijatel saavutada oodatavad õpiväljundid.</w:t>
            </w:r>
          </w:p>
          <w:p>
            <w:pPr>
              <w:jc w:val="left"/>
              <w:rPr>
                <w:noProof/>
                <w:szCs w:val="24"/>
              </w:rPr>
            </w:pPr>
            <w:r>
              <w:rPr>
                <w:noProof/>
              </w:rPr>
              <w:t>Kutsehariduse ja -õppe pakkujad edendavad innovatsiooni nii kooli- kui ka töölõppe õpetamis- ja õppimismeetodites, kasutades digitehnoloogiat ja e-õppe vahendeid.</w:t>
            </w:r>
          </w:p>
          <w:p>
            <w:pPr>
              <w:jc w:val="left"/>
              <w:rPr>
                <w:noProof/>
              </w:rPr>
            </w:pPr>
            <w:r>
              <w:rPr>
                <w:noProof/>
              </w:rPr>
              <w:t>Kutsehariduse ja -õppe pakkujad kasutavad isikute õpiväljundite hindamiseks sobivaid, täpseid ja usaldusväärseid meetodeid.</w:t>
            </w:r>
          </w:p>
        </w:tc>
      </w:tr>
      <w:tr>
        <w:tc>
          <w:tcPr>
            <w:tcW w:w="1031" w:type="pct"/>
            <w:vAlign w:val="center"/>
          </w:tcPr>
          <w:p>
            <w:pPr>
              <w:jc w:val="left"/>
              <w:rPr>
                <w:rFonts w:eastAsia="Times New Roman"/>
                <w:noProof/>
                <w:szCs w:val="24"/>
              </w:rPr>
            </w:pPr>
            <w:r>
              <w:rPr>
                <w:noProof/>
              </w:rPr>
              <w:t>Tulemusi ja protsesse hinnatakse regulaarselt</w:t>
            </w:r>
          </w:p>
          <w:p>
            <w:pPr>
              <w:jc w:val="left"/>
              <w:rPr>
                <w:noProof/>
              </w:rPr>
            </w:pPr>
            <w:r>
              <w:rPr>
                <w:noProof/>
              </w:rPr>
              <w:t>ja seda toetab mõõtmine</w:t>
            </w:r>
          </w:p>
        </w:tc>
        <w:tc>
          <w:tcPr>
            <w:tcW w:w="2049" w:type="pct"/>
            <w:vAlign w:val="center"/>
          </w:tcPr>
          <w:p>
            <w:pPr>
              <w:jc w:val="left"/>
              <w:rPr>
                <w:rFonts w:eastAsia="Times New Roman"/>
                <w:noProof/>
                <w:szCs w:val="24"/>
              </w:rPr>
            </w:pPr>
            <w:r>
              <w:rPr>
                <w:noProof/>
              </w:rPr>
              <w:t>Töötatakse välja hindamismetoodika, sh sise- ja välishindamise tegemiseks.</w:t>
            </w:r>
          </w:p>
          <w:p>
            <w:pPr>
              <w:jc w:val="left"/>
              <w:rPr>
                <w:rFonts w:eastAsia="Times New Roman"/>
                <w:noProof/>
                <w:szCs w:val="24"/>
              </w:rPr>
            </w:pPr>
            <w:r>
              <w:rPr>
                <w:noProof/>
              </w:rPr>
              <w:t>Lepitakse kokku sidusrühmade kaasamises jälgimisse ja hindamisse ning seda kaasamist kirjeldatakse selgelt.</w:t>
            </w:r>
          </w:p>
          <w:p>
            <w:pPr>
              <w:jc w:val="left"/>
              <w:rPr>
                <w:rFonts w:eastAsia="Times New Roman"/>
                <w:noProof/>
                <w:szCs w:val="24"/>
              </w:rPr>
            </w:pPr>
            <w:r>
              <w:rPr>
                <w:noProof/>
              </w:rPr>
              <w:t>Riiklikud/piirkondlikud kvaliteedi parandamise ja tagamise standardid ja protsessid on asjakohased ja sektori vajadustega proportsionaalsed.</w:t>
            </w:r>
          </w:p>
          <w:p>
            <w:pPr>
              <w:jc w:val="left"/>
              <w:rPr>
                <w:rFonts w:eastAsia="Times New Roman"/>
                <w:noProof/>
                <w:szCs w:val="24"/>
              </w:rPr>
            </w:pPr>
            <w:r>
              <w:rPr>
                <w:noProof/>
              </w:rPr>
              <w:t>Süsteemide suhtes tehakse vastavalt vajadusele enesehindamist ning sise- ja väliskontrolli.</w:t>
            </w:r>
          </w:p>
          <w:p>
            <w:pPr>
              <w:jc w:val="left"/>
              <w:rPr>
                <w:rFonts w:eastAsia="Times New Roman"/>
                <w:noProof/>
                <w:szCs w:val="24"/>
              </w:rPr>
            </w:pPr>
            <w:r>
              <w:rPr>
                <w:noProof/>
              </w:rPr>
              <w:t>Rakendatakse varajase hoiatamise süsteeme.</w:t>
            </w:r>
          </w:p>
          <w:p>
            <w:pPr>
              <w:jc w:val="left"/>
              <w:rPr>
                <w:rFonts w:eastAsia="Times New Roman"/>
                <w:noProof/>
                <w:szCs w:val="24"/>
              </w:rPr>
            </w:pPr>
            <w:r>
              <w:rPr>
                <w:noProof/>
              </w:rPr>
              <w:t>Kasutatakse tulemuslikkuse näitajaid.</w:t>
            </w:r>
          </w:p>
          <w:p>
            <w:pPr>
              <w:jc w:val="left"/>
              <w:rPr>
                <w:noProof/>
              </w:rPr>
            </w:pPr>
            <w:r>
              <w:rPr>
                <w:noProof/>
              </w:rPr>
              <w:t>Et mõõta edusamme ja selgitada välja parandamist vajavad valdkonnad, kogutakse regulaarselt asjakohaseid ja sidusaid andmeid. Töötatakse välja sobiv andmekogumise metoodika, nt küsimustikud, näitajad/mõõtemeetodid.</w:t>
            </w:r>
          </w:p>
        </w:tc>
        <w:tc>
          <w:tcPr>
            <w:tcW w:w="1920" w:type="pct"/>
            <w:vAlign w:val="center"/>
          </w:tcPr>
          <w:p>
            <w:pPr>
              <w:jc w:val="left"/>
              <w:rPr>
                <w:rFonts w:eastAsia="Times New Roman"/>
                <w:noProof/>
                <w:szCs w:val="24"/>
              </w:rPr>
            </w:pPr>
            <w:r>
              <w:rPr>
                <w:noProof/>
              </w:rPr>
              <w:t>Riiklike ja piirkondlike eeskirjade/raamistike alusel või kutsehariduse ja -õppe pakkujate algatusel toimub korrapärane enesehindamine, mis hõlmab ka kutsehariduse- ja -õppeasutuste digitaalset valmisolekut ja keskkonnasäästlikkust.</w:t>
            </w:r>
          </w:p>
          <w:p>
            <w:pPr>
              <w:jc w:val="left"/>
              <w:rPr>
                <w:rFonts w:eastAsia="Times New Roman"/>
                <w:noProof/>
                <w:szCs w:val="24"/>
              </w:rPr>
            </w:pPr>
            <w:r>
              <w:rPr>
                <w:noProof/>
              </w:rPr>
              <w:t>Hindamine ja läbivaatamine hõlmab haridus- ja koolitusprotsesse ja -tulemusi, sh õppijate rahulolu ning töötajate tulemusnäitajaid ja rahulolu.</w:t>
            </w:r>
          </w:p>
          <w:p>
            <w:pPr>
              <w:jc w:val="left"/>
              <w:rPr>
                <w:rFonts w:eastAsia="Times New Roman"/>
                <w:noProof/>
                <w:szCs w:val="24"/>
              </w:rPr>
            </w:pPr>
            <w:r>
              <w:rPr>
                <w:noProof/>
              </w:rPr>
              <w:t>Hindamine ja läbivaatamine hõlmab andmete kogumist ja kasutamist ning piisavaid ja tulemuslikke mehhanisme sisemiste ja väliste sidusrühmade kaasamiseks.</w:t>
            </w:r>
          </w:p>
          <w:p>
            <w:pPr>
              <w:jc w:val="left"/>
              <w:rPr>
                <w:noProof/>
              </w:rPr>
            </w:pPr>
            <w:r>
              <w:rPr>
                <w:noProof/>
              </w:rPr>
              <w:t>Rakendatakse varajase hoiatamise süsteeme.</w:t>
            </w:r>
          </w:p>
        </w:tc>
      </w:tr>
      <w:tr>
        <w:tc>
          <w:tcPr>
            <w:tcW w:w="1031" w:type="pct"/>
            <w:vAlign w:val="center"/>
          </w:tcPr>
          <w:p>
            <w:pPr>
              <w:jc w:val="left"/>
              <w:rPr>
                <w:noProof/>
                <w:szCs w:val="24"/>
              </w:rPr>
            </w:pPr>
            <w:r>
              <w:rPr>
                <w:noProof/>
              </w:rPr>
              <w:t>Läbivaatamine</w:t>
            </w:r>
          </w:p>
        </w:tc>
        <w:tc>
          <w:tcPr>
            <w:tcW w:w="2049" w:type="pct"/>
            <w:vAlign w:val="center"/>
          </w:tcPr>
          <w:p>
            <w:pPr>
              <w:tabs>
                <w:tab w:val="left" w:pos="1047"/>
              </w:tabs>
              <w:jc w:val="left"/>
              <w:rPr>
                <w:rFonts w:eastAsia="Times New Roman"/>
                <w:noProof/>
                <w:szCs w:val="24"/>
              </w:rPr>
            </w:pPr>
            <w:r>
              <w:rPr>
                <w:noProof/>
              </w:rPr>
              <w:t>Määratakse kindlaks läbivaatamise kord, mehhanismid ja vahendid ning neid kasutatakse pakkumise kvaliteedi parandamiseks kõikidel tasanditel.</w:t>
            </w:r>
          </w:p>
          <w:p>
            <w:pPr>
              <w:jc w:val="left"/>
              <w:rPr>
                <w:rFonts w:eastAsia="Times New Roman"/>
                <w:noProof/>
                <w:szCs w:val="24"/>
              </w:rPr>
            </w:pPr>
            <w:r>
              <w:rPr>
                <w:noProof/>
              </w:rPr>
              <w:t>Protsessid vaadatakse korrapäraselt läbi ja koostatakse tegevuskavad muudatuste jaoks. Süsteeme kohandatakse vastavalt.</w:t>
            </w:r>
          </w:p>
          <w:p>
            <w:pPr>
              <w:jc w:val="left"/>
              <w:rPr>
                <w:noProof/>
                <w:szCs w:val="24"/>
              </w:rPr>
            </w:pPr>
            <w:r>
              <w:rPr>
                <w:noProof/>
              </w:rPr>
              <w:t>Hindamistulemused avalikustatakse.</w:t>
            </w:r>
          </w:p>
        </w:tc>
        <w:tc>
          <w:tcPr>
            <w:tcW w:w="1920" w:type="pct"/>
            <w:vAlign w:val="center"/>
          </w:tcPr>
          <w:p>
            <w:pPr>
              <w:tabs>
                <w:tab w:val="left" w:pos="1047"/>
              </w:tabs>
              <w:jc w:val="left"/>
              <w:rPr>
                <w:rFonts w:eastAsia="Times New Roman"/>
                <w:noProof/>
                <w:szCs w:val="24"/>
              </w:rPr>
            </w:pPr>
            <w:r>
              <w:rPr>
                <w:noProof/>
              </w:rPr>
              <w:t>Õppijatelt küsitakse tagasisidet nende individuaalsete õpikogemuste ning õppe- ja õpetamiskeskkonna kohta. Seda kasutatakse koos õpetajate, koolitajate ja kõigi teiste asjaomaste sidusrühmade tagasisidega, et töötada välja edasisi meetmeid.</w:t>
            </w:r>
          </w:p>
          <w:p>
            <w:pPr>
              <w:tabs>
                <w:tab w:val="left" w:pos="1047"/>
              </w:tabs>
              <w:jc w:val="left"/>
              <w:rPr>
                <w:rFonts w:eastAsia="Times New Roman"/>
                <w:noProof/>
                <w:szCs w:val="24"/>
              </w:rPr>
            </w:pPr>
            <w:r>
              <w:rPr>
                <w:noProof/>
              </w:rPr>
              <w:t>Avalikkusel on läbivaatamistulemustele ulatuslik juurdepääs.</w:t>
            </w:r>
          </w:p>
          <w:p>
            <w:pPr>
              <w:tabs>
                <w:tab w:val="left" w:pos="1047"/>
              </w:tabs>
              <w:jc w:val="left"/>
              <w:rPr>
                <w:noProof/>
                <w:szCs w:val="24"/>
              </w:rPr>
            </w:pPr>
            <w:r>
              <w:rPr>
                <w:noProof/>
              </w:rPr>
              <w:t>Tagasiside- ja läbivaatamismenetlused on organisatsiooni strateegilise õppeprotsessi osa ning need toetavad kvaliteetse õppe arendamist ja parandavad õppijate võimalusi.</w:t>
            </w:r>
          </w:p>
          <w:p>
            <w:pPr>
              <w:jc w:val="left"/>
              <w:rPr>
                <w:noProof/>
              </w:rPr>
            </w:pPr>
            <w:r>
              <w:rPr>
                <w:noProof/>
              </w:rPr>
              <w:t>Hindamise tulemusi arutatakse asjaomaste sidusrühmadega ja koostatakse asjakohased tegevuskavad.</w:t>
            </w:r>
          </w:p>
        </w:tc>
      </w:tr>
    </w:tbl>
    <w:p>
      <w:pPr>
        <w:pageBreakBefore/>
        <w:widowControl w:val="0"/>
        <w:tabs>
          <w:tab w:val="left" w:pos="842"/>
        </w:tabs>
        <w:rPr>
          <w:rFonts w:eastAsia="Times New Roman"/>
          <w:b/>
          <w:noProof/>
          <w:szCs w:val="24"/>
        </w:rPr>
      </w:pPr>
      <w:r>
        <w:rPr>
          <w:b/>
          <w:noProof/>
          <w:szCs w:val="24"/>
        </w:rPr>
        <w:t>B osa. EQAVETi näitajate võrdluskogum</w:t>
      </w:r>
    </w:p>
    <w:p>
      <w:pPr>
        <w:widowControl w:val="0"/>
        <w:tabs>
          <w:tab w:val="left" w:pos="842"/>
        </w:tabs>
        <w:rPr>
          <w:rFonts w:eastAsia="Times New Roman"/>
          <w:noProof/>
          <w:szCs w:val="24"/>
        </w:rPr>
      </w:pPr>
      <w:r>
        <w:rPr>
          <w:noProof/>
        </w:rPr>
        <w:t xml:space="preserve">Selles jaos on esitatud võrdlusnäitajad, mida saab EQAVETi raamistiku rakendamisel kasutada, et toetada riiklike/piirkondlike kutsehariduse ja -õppe süsteemide ja/või kutsehariduse ja -õppe pakkujate hindamist ja nende kvaliteedi parandamist. </w:t>
      </w:r>
    </w:p>
    <w:tbl>
      <w:tblPr>
        <w:tblStyle w:val="TableGrid"/>
        <w:tblW w:w="9289" w:type="dxa"/>
        <w:tblLayout w:type="fixed"/>
        <w:tblLook w:val="04A0" w:firstRow="1" w:lastRow="0" w:firstColumn="1" w:lastColumn="0" w:noHBand="0" w:noVBand="1"/>
      </w:tblPr>
      <w:tblGrid>
        <w:gridCol w:w="3652"/>
        <w:gridCol w:w="2126"/>
        <w:gridCol w:w="3511"/>
      </w:tblGrid>
      <w:tr>
        <w:trPr>
          <w:trHeight w:val="20"/>
          <w:tblHeader/>
        </w:trPr>
        <w:tc>
          <w:tcPr>
            <w:tcW w:w="3652" w:type="dxa"/>
            <w:shd w:val="clear" w:color="auto" w:fill="F2F2F2" w:themeFill="background1" w:themeFillShade="F2"/>
            <w:vAlign w:val="center"/>
          </w:tcPr>
          <w:p>
            <w:pPr>
              <w:jc w:val="center"/>
              <w:rPr>
                <w:b/>
                <w:bCs/>
                <w:noProof/>
                <w:szCs w:val="24"/>
              </w:rPr>
            </w:pPr>
            <w:r>
              <w:rPr>
                <w:b/>
                <w:noProof/>
                <w:szCs w:val="24"/>
              </w:rPr>
              <w:t>Näitaja</w:t>
            </w:r>
          </w:p>
        </w:tc>
        <w:tc>
          <w:tcPr>
            <w:tcW w:w="2126" w:type="dxa"/>
            <w:shd w:val="clear" w:color="auto" w:fill="F2F2F2" w:themeFill="background1" w:themeFillShade="F2"/>
            <w:vAlign w:val="center"/>
          </w:tcPr>
          <w:p>
            <w:pPr>
              <w:jc w:val="center"/>
              <w:rPr>
                <w:b/>
                <w:bCs/>
                <w:noProof/>
                <w:szCs w:val="24"/>
              </w:rPr>
            </w:pPr>
            <w:r>
              <w:rPr>
                <w:b/>
                <w:noProof/>
                <w:szCs w:val="24"/>
              </w:rPr>
              <w:t>Näitaja liik</w:t>
            </w:r>
          </w:p>
        </w:tc>
        <w:tc>
          <w:tcPr>
            <w:tcW w:w="3511" w:type="dxa"/>
            <w:shd w:val="clear" w:color="auto" w:fill="F2F2F2" w:themeFill="background1" w:themeFillShade="F2"/>
            <w:vAlign w:val="center"/>
          </w:tcPr>
          <w:p>
            <w:pPr>
              <w:jc w:val="center"/>
              <w:rPr>
                <w:b/>
                <w:bCs/>
                <w:noProof/>
                <w:szCs w:val="24"/>
              </w:rPr>
            </w:pPr>
            <w:r>
              <w:rPr>
                <w:b/>
                <w:noProof/>
                <w:szCs w:val="24"/>
              </w:rPr>
              <w:t>Poliitika eesmärk</w:t>
            </w:r>
          </w:p>
        </w:tc>
      </w:tr>
      <w:tr>
        <w:trPr>
          <w:trHeight w:val="20"/>
        </w:trPr>
        <w:tc>
          <w:tcPr>
            <w:tcW w:w="9289" w:type="dxa"/>
            <w:gridSpan w:val="3"/>
            <w:vAlign w:val="center"/>
          </w:tcPr>
          <w:p>
            <w:pPr>
              <w:jc w:val="left"/>
              <w:rPr>
                <w:b/>
                <w:bCs/>
                <w:noProof/>
                <w:szCs w:val="24"/>
              </w:rPr>
            </w:pPr>
            <w:r>
              <w:rPr>
                <w:b/>
                <w:noProof/>
                <w:szCs w:val="24"/>
              </w:rPr>
              <w:t>Kvaliteeditagamise üldnäitajad</w:t>
            </w:r>
          </w:p>
        </w:tc>
      </w:tr>
      <w:tr>
        <w:trPr>
          <w:trHeight w:val="20"/>
        </w:trPr>
        <w:tc>
          <w:tcPr>
            <w:tcW w:w="9289" w:type="dxa"/>
            <w:gridSpan w:val="3"/>
            <w:vAlign w:val="center"/>
          </w:tcPr>
          <w:p>
            <w:pPr>
              <w:jc w:val="left"/>
              <w:rPr>
                <w:rFonts w:cstheme="minorBidi"/>
                <w:b/>
                <w:i/>
                <w:noProof/>
              </w:rPr>
            </w:pPr>
            <w:r>
              <w:rPr>
                <w:b/>
                <w:i/>
                <w:noProof/>
              </w:rPr>
              <w:t xml:space="preserve">Nr 1 </w:t>
            </w:r>
          </w:p>
        </w:tc>
      </w:tr>
      <w:tr>
        <w:trPr>
          <w:trHeight w:val="20"/>
        </w:trPr>
        <w:tc>
          <w:tcPr>
            <w:tcW w:w="3652" w:type="dxa"/>
            <w:vAlign w:val="center"/>
          </w:tcPr>
          <w:p>
            <w:pPr>
              <w:tabs>
                <w:tab w:val="left" w:pos="1047"/>
              </w:tabs>
              <w:jc w:val="left"/>
              <w:rPr>
                <w:rFonts w:eastAsia="Times New Roman"/>
                <w:noProof/>
                <w:szCs w:val="24"/>
              </w:rPr>
            </w:pPr>
            <w:r>
              <w:rPr>
                <w:noProof/>
              </w:rPr>
              <w:t>Kvaliteeditagamissüsteemi olulisus kutsehariduse ja -õppe pakkujate (edaspidi „pakkuja“) jaoks:</w:t>
            </w:r>
          </w:p>
          <w:p>
            <w:pPr>
              <w:tabs>
                <w:tab w:val="left" w:pos="426"/>
              </w:tabs>
              <w:ind w:left="426" w:hanging="426"/>
              <w:jc w:val="left"/>
              <w:rPr>
                <w:rFonts w:eastAsia="Times New Roman"/>
                <w:noProof/>
                <w:szCs w:val="24"/>
              </w:rPr>
            </w:pPr>
            <w:r>
              <w:rPr>
                <w:noProof/>
              </w:rPr>
              <w:t>a)</w:t>
            </w:r>
            <w:r>
              <w:rPr>
                <w:noProof/>
              </w:rPr>
              <w:tab/>
              <w:t>selliste pakkujate osakaal, kes rakendavad kas seaduse alusel või omal algatusel organisatsioonisiseseid kvaliteeditagamissüsteeme</w:t>
            </w:r>
          </w:p>
          <w:p>
            <w:pPr>
              <w:tabs>
                <w:tab w:val="left" w:pos="426"/>
              </w:tabs>
              <w:ind w:left="426" w:hanging="426"/>
              <w:jc w:val="left"/>
              <w:rPr>
                <w:rFonts w:eastAsia="Times New Roman"/>
                <w:noProof/>
                <w:szCs w:val="24"/>
              </w:rPr>
            </w:pPr>
            <w:r>
              <w:rPr>
                <w:noProof/>
              </w:rPr>
              <w:t>b)</w:t>
            </w:r>
            <w:r>
              <w:rPr>
                <w:noProof/>
              </w:rPr>
              <w:tab/>
              <w:t>akrediteeritud pakkujate osakaal</w:t>
            </w:r>
          </w:p>
        </w:tc>
        <w:tc>
          <w:tcPr>
            <w:tcW w:w="2126" w:type="dxa"/>
            <w:vAlign w:val="center"/>
          </w:tcPr>
          <w:p>
            <w:pPr>
              <w:jc w:val="left"/>
              <w:rPr>
                <w:noProof/>
                <w:w w:val="105"/>
                <w:szCs w:val="24"/>
              </w:rPr>
            </w:pPr>
            <w:r>
              <w:rPr>
                <w:noProof/>
              </w:rPr>
              <w:t>Tausta-/sisendnäitaja</w:t>
            </w:r>
          </w:p>
        </w:tc>
        <w:tc>
          <w:tcPr>
            <w:tcW w:w="3511" w:type="dxa"/>
            <w:vAlign w:val="center"/>
          </w:tcPr>
          <w:p>
            <w:pPr>
              <w:jc w:val="left"/>
              <w:rPr>
                <w:rFonts w:eastAsia="Times New Roman"/>
                <w:noProof/>
                <w:szCs w:val="24"/>
              </w:rPr>
            </w:pPr>
            <w:r>
              <w:rPr>
                <w:noProof/>
              </w:rPr>
              <w:t>Edendada pakkujate tasandil kvaliteedi parandamise kultuuri</w:t>
            </w:r>
          </w:p>
          <w:p>
            <w:pPr>
              <w:jc w:val="left"/>
              <w:rPr>
                <w:rFonts w:eastAsia="Times New Roman"/>
                <w:noProof/>
                <w:szCs w:val="24"/>
              </w:rPr>
            </w:pPr>
            <w:r>
              <w:rPr>
                <w:noProof/>
              </w:rPr>
              <w:t>Muuta koolituse kvaliteet läbipaistvamaks</w:t>
            </w:r>
          </w:p>
          <w:p>
            <w:pPr>
              <w:jc w:val="left"/>
              <w:rPr>
                <w:noProof/>
                <w:w w:val="105"/>
                <w:szCs w:val="24"/>
              </w:rPr>
            </w:pPr>
            <w:r>
              <w:rPr>
                <w:noProof/>
              </w:rPr>
              <w:t>Suurendada koolituse pakkumise vallas vastastikust usaldust</w:t>
            </w:r>
          </w:p>
        </w:tc>
      </w:tr>
      <w:tr>
        <w:trPr>
          <w:trHeight w:val="20"/>
        </w:trPr>
        <w:tc>
          <w:tcPr>
            <w:tcW w:w="9289" w:type="dxa"/>
            <w:gridSpan w:val="3"/>
            <w:vAlign w:val="center"/>
          </w:tcPr>
          <w:p>
            <w:pPr>
              <w:jc w:val="left"/>
              <w:rPr>
                <w:rFonts w:cstheme="minorBidi"/>
                <w:b/>
                <w:i/>
                <w:noProof/>
              </w:rPr>
            </w:pPr>
            <w:r>
              <w:rPr>
                <w:b/>
                <w:i/>
                <w:noProof/>
              </w:rPr>
              <w:t>Nr 2</w:t>
            </w:r>
          </w:p>
        </w:tc>
      </w:tr>
      <w:tr>
        <w:trPr>
          <w:trHeight w:val="20"/>
        </w:trPr>
        <w:tc>
          <w:tcPr>
            <w:tcW w:w="3652" w:type="dxa"/>
            <w:vAlign w:val="center"/>
          </w:tcPr>
          <w:p>
            <w:pPr>
              <w:jc w:val="left"/>
              <w:rPr>
                <w:rFonts w:eastAsia="Times New Roman"/>
                <w:noProof/>
                <w:szCs w:val="24"/>
              </w:rPr>
            </w:pPr>
            <w:r>
              <w:rPr>
                <w:noProof/>
              </w:rPr>
              <w:t>Investeerimine õpetajate ja koolitajate koolitusse:</w:t>
            </w:r>
          </w:p>
          <w:p>
            <w:pPr>
              <w:ind w:left="426" w:hanging="426"/>
              <w:jc w:val="left"/>
              <w:rPr>
                <w:rFonts w:eastAsia="Times New Roman"/>
                <w:noProof/>
                <w:szCs w:val="24"/>
              </w:rPr>
            </w:pPr>
            <w:r>
              <w:rPr>
                <w:noProof/>
              </w:rPr>
              <w:t>a)</w:t>
            </w:r>
            <w:r>
              <w:rPr>
                <w:noProof/>
              </w:rPr>
              <w:tab/>
              <w:t>täienduskoolituses osalevate õpetajate ja koolitajate osakaal</w:t>
            </w:r>
          </w:p>
          <w:p>
            <w:pPr>
              <w:ind w:left="426" w:hanging="426"/>
              <w:jc w:val="left"/>
              <w:rPr>
                <w:rFonts w:eastAsia="Times New Roman"/>
                <w:noProof/>
                <w:szCs w:val="24"/>
                <w:lang w:bidi="en-US"/>
              </w:rPr>
            </w:pPr>
          </w:p>
          <w:p>
            <w:pPr>
              <w:ind w:left="426" w:hanging="426"/>
              <w:jc w:val="left"/>
              <w:rPr>
                <w:rFonts w:eastAsia="Times New Roman"/>
                <w:noProof/>
                <w:szCs w:val="24"/>
              </w:rPr>
            </w:pPr>
            <w:r>
              <w:rPr>
                <w:noProof/>
              </w:rPr>
              <w:t>b)</w:t>
            </w:r>
            <w:r>
              <w:rPr>
                <w:noProof/>
              </w:rPr>
              <w:tab/>
              <w:t>investeeritud vahendite summa, sealhulgas digioskustesse investeeritud vahendid</w:t>
            </w:r>
          </w:p>
        </w:tc>
        <w:tc>
          <w:tcPr>
            <w:tcW w:w="2126" w:type="dxa"/>
            <w:vAlign w:val="center"/>
          </w:tcPr>
          <w:p>
            <w:pPr>
              <w:jc w:val="left"/>
              <w:rPr>
                <w:noProof/>
                <w:szCs w:val="24"/>
              </w:rPr>
            </w:pPr>
            <w:r>
              <w:rPr>
                <w:noProof/>
              </w:rPr>
              <w:t>Sisend-/protsessinäitaja</w:t>
            </w:r>
          </w:p>
        </w:tc>
        <w:tc>
          <w:tcPr>
            <w:tcW w:w="3511" w:type="dxa"/>
            <w:vAlign w:val="center"/>
          </w:tcPr>
          <w:p>
            <w:pPr>
              <w:jc w:val="left"/>
              <w:rPr>
                <w:rFonts w:eastAsia="Times New Roman"/>
                <w:noProof/>
                <w:szCs w:val="24"/>
              </w:rPr>
            </w:pPr>
            <w:r>
              <w:rPr>
                <w:noProof/>
              </w:rPr>
              <w:t>Edendada õpetajate ja koolitajate vastutust kutsehariduse ja -õppe kvaliteedi parandamisel</w:t>
            </w:r>
          </w:p>
          <w:p>
            <w:pPr>
              <w:jc w:val="left"/>
              <w:rPr>
                <w:rFonts w:eastAsia="Times New Roman"/>
                <w:noProof/>
                <w:szCs w:val="24"/>
              </w:rPr>
            </w:pPr>
            <w:r>
              <w:rPr>
                <w:noProof/>
              </w:rPr>
              <w:t>Parandada kutsehariduse ja -õppe vastavust tööturu muutuvatele vajadustele</w:t>
            </w:r>
          </w:p>
          <w:p>
            <w:pPr>
              <w:jc w:val="left"/>
              <w:rPr>
                <w:rFonts w:eastAsia="Times New Roman"/>
                <w:noProof/>
                <w:szCs w:val="24"/>
              </w:rPr>
            </w:pPr>
            <w:r>
              <w:rPr>
                <w:noProof/>
              </w:rPr>
              <w:t>Suurendada individuaalset õpisuutlikkust</w:t>
            </w:r>
          </w:p>
          <w:p>
            <w:pPr>
              <w:jc w:val="left"/>
              <w:rPr>
                <w:noProof/>
                <w:szCs w:val="24"/>
              </w:rPr>
            </w:pPr>
            <w:r>
              <w:rPr>
                <w:noProof/>
              </w:rPr>
              <w:t>Parandada õppijate tulemusi</w:t>
            </w:r>
          </w:p>
        </w:tc>
      </w:tr>
      <w:tr>
        <w:trPr>
          <w:trHeight w:val="20"/>
        </w:trPr>
        <w:tc>
          <w:tcPr>
            <w:tcW w:w="9289" w:type="dxa"/>
            <w:gridSpan w:val="3"/>
            <w:vAlign w:val="center"/>
          </w:tcPr>
          <w:p>
            <w:pPr>
              <w:jc w:val="left"/>
              <w:rPr>
                <w:b/>
                <w:bCs/>
                <w:noProof/>
                <w:szCs w:val="24"/>
              </w:rPr>
            </w:pPr>
            <w:r>
              <w:rPr>
                <w:b/>
                <w:noProof/>
                <w:szCs w:val="24"/>
              </w:rPr>
              <w:t>Kutsehariduse ja -õppe poliitika kvaliteedieesmärke toetavad näitajad</w:t>
            </w:r>
          </w:p>
        </w:tc>
      </w:tr>
      <w:tr>
        <w:trPr>
          <w:trHeight w:val="20"/>
        </w:trPr>
        <w:tc>
          <w:tcPr>
            <w:tcW w:w="9289" w:type="dxa"/>
            <w:gridSpan w:val="3"/>
            <w:vAlign w:val="center"/>
          </w:tcPr>
          <w:p>
            <w:pPr>
              <w:jc w:val="left"/>
              <w:rPr>
                <w:rFonts w:cstheme="minorBidi"/>
                <w:b/>
                <w:i/>
                <w:noProof/>
              </w:rPr>
            </w:pPr>
            <w:r>
              <w:rPr>
                <w:b/>
                <w:i/>
                <w:noProof/>
              </w:rPr>
              <w:t>Nr 3</w:t>
            </w:r>
          </w:p>
        </w:tc>
      </w:tr>
      <w:tr>
        <w:trPr>
          <w:trHeight w:val="20"/>
        </w:trPr>
        <w:tc>
          <w:tcPr>
            <w:tcW w:w="3652" w:type="dxa"/>
            <w:vAlign w:val="center"/>
          </w:tcPr>
          <w:p>
            <w:pPr>
              <w:jc w:val="left"/>
              <w:rPr>
                <w:rFonts w:eastAsia="Times New Roman"/>
                <w:noProof/>
                <w:szCs w:val="24"/>
              </w:rPr>
            </w:pPr>
            <w:r>
              <w:rPr>
                <w:noProof/>
              </w:rPr>
              <w:t>Kutsehariduse ja -õppe programmides osalemise määr:</w:t>
            </w:r>
          </w:p>
          <w:p>
            <w:pPr>
              <w:jc w:val="left"/>
              <w:rPr>
                <w:rFonts w:eastAsia="Times New Roman"/>
                <w:noProof/>
                <w:szCs w:val="24"/>
              </w:rPr>
            </w:pPr>
            <w:r>
              <w:rPr>
                <w:noProof/>
              </w:rPr>
              <w:t>kutsehariduse ja -õppe programmides osalejate arv</w:t>
            </w:r>
            <w:r>
              <w:rPr>
                <w:rStyle w:val="FootnoteReference"/>
                <w:noProof/>
              </w:rPr>
              <w:footnoteReference w:id="14"/>
            </w:r>
            <w:r>
              <w:rPr>
                <w:noProof/>
              </w:rPr>
              <w:t xml:space="preserve"> (vastavalt programmi liigile ja üksikutele kriteeriumidele</w:t>
            </w:r>
            <w:r>
              <w:rPr>
                <w:rStyle w:val="FootnoteReference"/>
                <w:noProof/>
              </w:rPr>
              <w:footnoteReference w:id="15"/>
            </w:r>
            <w:r>
              <w:rPr>
                <w:noProof/>
              </w:rPr>
              <w:t>)</w:t>
            </w:r>
          </w:p>
        </w:tc>
        <w:tc>
          <w:tcPr>
            <w:tcW w:w="2126" w:type="dxa"/>
            <w:vAlign w:val="center"/>
          </w:tcPr>
          <w:p>
            <w:pPr>
              <w:jc w:val="left"/>
              <w:rPr>
                <w:rFonts w:eastAsia="Times New Roman"/>
                <w:noProof/>
                <w:szCs w:val="24"/>
              </w:rPr>
            </w:pPr>
            <w:r>
              <w:rPr>
                <w:noProof/>
              </w:rPr>
              <w:t>Sisend-, protsessi-/väljundnäitaja</w:t>
            </w:r>
          </w:p>
        </w:tc>
        <w:tc>
          <w:tcPr>
            <w:tcW w:w="3511" w:type="dxa"/>
            <w:vAlign w:val="center"/>
          </w:tcPr>
          <w:p>
            <w:pPr>
              <w:jc w:val="left"/>
              <w:rPr>
                <w:rFonts w:eastAsia="Times New Roman"/>
                <w:noProof/>
                <w:szCs w:val="24"/>
              </w:rPr>
            </w:pPr>
            <w:r>
              <w:rPr>
                <w:noProof/>
              </w:rPr>
              <w:t>Koguda põhiteavet kutsehariduse ja -õppe atraktiivsuse kohta kutsehariduse ja -õppe süsteemi ja pakkuja tasandil</w:t>
            </w:r>
          </w:p>
          <w:p>
            <w:pPr>
              <w:jc w:val="left"/>
              <w:rPr>
                <w:rFonts w:eastAsia="Times New Roman"/>
                <w:noProof/>
                <w:szCs w:val="24"/>
              </w:rPr>
            </w:pPr>
            <w:r>
              <w:rPr>
                <w:noProof/>
              </w:rPr>
              <w:t>Toetada sihipäraselt kutsehariduse ja -õppe kättesaadavamaks muutmist, sh ebasoodsas olukorras olevate rühmade jaoks</w:t>
            </w:r>
          </w:p>
        </w:tc>
      </w:tr>
      <w:tr>
        <w:trPr>
          <w:trHeight w:val="20"/>
        </w:trPr>
        <w:tc>
          <w:tcPr>
            <w:tcW w:w="9289" w:type="dxa"/>
            <w:gridSpan w:val="3"/>
            <w:vAlign w:val="center"/>
          </w:tcPr>
          <w:p>
            <w:pPr>
              <w:jc w:val="left"/>
              <w:rPr>
                <w:rFonts w:cstheme="minorBidi"/>
                <w:b/>
                <w:i/>
                <w:noProof/>
              </w:rPr>
            </w:pPr>
            <w:r>
              <w:rPr>
                <w:b/>
                <w:i/>
                <w:noProof/>
              </w:rPr>
              <w:t>Nr 4</w:t>
            </w:r>
          </w:p>
        </w:tc>
      </w:tr>
      <w:tr>
        <w:trPr>
          <w:trHeight w:val="20"/>
        </w:trPr>
        <w:tc>
          <w:tcPr>
            <w:tcW w:w="3652" w:type="dxa"/>
            <w:vAlign w:val="center"/>
          </w:tcPr>
          <w:p>
            <w:pPr>
              <w:jc w:val="left"/>
              <w:rPr>
                <w:rFonts w:eastAsia="Times New Roman"/>
                <w:noProof/>
                <w:szCs w:val="24"/>
              </w:rPr>
            </w:pPr>
            <w:r>
              <w:rPr>
                <w:noProof/>
              </w:rPr>
              <w:t>Kutsehariduse ja -õppe programmide läbimise määr:</w:t>
            </w:r>
          </w:p>
          <w:p>
            <w:pPr>
              <w:jc w:val="left"/>
              <w:rPr>
                <w:rFonts w:eastAsia="Times New Roman"/>
                <w:noProof/>
                <w:szCs w:val="24"/>
              </w:rPr>
            </w:pPr>
            <w:r>
              <w:rPr>
                <w:noProof/>
              </w:rPr>
              <w:t>kutsehariduse ja -õppe programmi edukalt läbinud / programmist väljalangenud isikute arv (vastavalt programmi liigile ja üksikutele kriteeriumidele)</w:t>
            </w:r>
          </w:p>
        </w:tc>
        <w:tc>
          <w:tcPr>
            <w:tcW w:w="2126" w:type="dxa"/>
            <w:vAlign w:val="center"/>
          </w:tcPr>
          <w:p>
            <w:pPr>
              <w:jc w:val="left"/>
              <w:rPr>
                <w:rFonts w:eastAsia="Times New Roman"/>
                <w:noProof/>
                <w:szCs w:val="24"/>
              </w:rPr>
            </w:pPr>
            <w:r>
              <w:rPr>
                <w:noProof/>
              </w:rPr>
              <w:t>Protsessi-/väljund-/tulemusnäitaja</w:t>
            </w:r>
          </w:p>
        </w:tc>
        <w:tc>
          <w:tcPr>
            <w:tcW w:w="3511" w:type="dxa"/>
            <w:vAlign w:val="center"/>
          </w:tcPr>
          <w:p>
            <w:pPr>
              <w:jc w:val="left"/>
              <w:rPr>
                <w:rFonts w:eastAsia="Times New Roman"/>
                <w:noProof/>
                <w:szCs w:val="24"/>
              </w:rPr>
            </w:pPr>
            <w:r>
              <w:rPr>
                <w:noProof/>
              </w:rPr>
              <w:t>Koguda põhiteavet haridusalaste saavutuste ja koolituse kvaliteedi kohta</w:t>
            </w:r>
          </w:p>
          <w:p>
            <w:pPr>
              <w:jc w:val="left"/>
              <w:rPr>
                <w:rFonts w:eastAsia="Times New Roman"/>
                <w:noProof/>
                <w:szCs w:val="24"/>
              </w:rPr>
            </w:pPr>
            <w:r>
              <w:rPr>
                <w:noProof/>
              </w:rPr>
              <w:t>Arvutada välja väljalangevuse määr võrreldes osalusmääraga</w:t>
            </w:r>
          </w:p>
          <w:p>
            <w:pPr>
              <w:jc w:val="left"/>
              <w:rPr>
                <w:rFonts w:eastAsia="Times New Roman"/>
                <w:noProof/>
                <w:szCs w:val="24"/>
              </w:rPr>
            </w:pPr>
            <w:r>
              <w:rPr>
                <w:noProof/>
              </w:rPr>
              <w:t>Toetada programmide edukat läbimist kui ühte peamist kutsehariduse ja -õppe kvaliteedi tagamise eesmärki</w:t>
            </w:r>
          </w:p>
          <w:p>
            <w:pPr>
              <w:jc w:val="left"/>
              <w:rPr>
                <w:rFonts w:eastAsia="Times New Roman"/>
                <w:noProof/>
                <w:szCs w:val="24"/>
              </w:rPr>
            </w:pPr>
            <w:r>
              <w:rPr>
                <w:noProof/>
              </w:rPr>
              <w:t>Toetada kohandatud koolituse pakkumist, sh ebasoodsas olukorras olevatele rühmadele</w:t>
            </w:r>
          </w:p>
        </w:tc>
      </w:tr>
      <w:tr>
        <w:trPr>
          <w:trHeight w:val="20"/>
        </w:trPr>
        <w:tc>
          <w:tcPr>
            <w:tcW w:w="9289" w:type="dxa"/>
            <w:gridSpan w:val="3"/>
            <w:vAlign w:val="center"/>
          </w:tcPr>
          <w:p>
            <w:pPr>
              <w:jc w:val="left"/>
              <w:rPr>
                <w:rFonts w:cstheme="minorBidi"/>
                <w:b/>
                <w:i/>
                <w:noProof/>
              </w:rPr>
            </w:pPr>
            <w:r>
              <w:rPr>
                <w:b/>
                <w:i/>
                <w:noProof/>
              </w:rPr>
              <w:t>Nr 5</w:t>
            </w:r>
          </w:p>
        </w:tc>
      </w:tr>
      <w:tr>
        <w:trPr>
          <w:trHeight w:val="20"/>
        </w:trPr>
        <w:tc>
          <w:tcPr>
            <w:tcW w:w="3652" w:type="dxa"/>
            <w:vAlign w:val="center"/>
          </w:tcPr>
          <w:p>
            <w:pPr>
              <w:jc w:val="left"/>
              <w:rPr>
                <w:rFonts w:eastAsia="Times New Roman"/>
                <w:noProof/>
                <w:szCs w:val="24"/>
              </w:rPr>
            </w:pPr>
            <w:r>
              <w:rPr>
                <w:noProof/>
              </w:rPr>
              <w:t>Töö leidmise määr pärast kutsehariduse ja -õppe programmi läbimist:</w:t>
            </w:r>
          </w:p>
          <w:p>
            <w:pPr>
              <w:ind w:left="426" w:hanging="426"/>
              <w:jc w:val="left"/>
              <w:rPr>
                <w:rFonts w:eastAsia="Times New Roman"/>
                <w:noProof/>
                <w:szCs w:val="24"/>
              </w:rPr>
            </w:pPr>
            <w:r>
              <w:rPr>
                <w:noProof/>
              </w:rPr>
              <w:t>a)</w:t>
            </w:r>
            <w:r>
              <w:rPr>
                <w:noProof/>
              </w:rPr>
              <w:tab/>
              <w:t>kutsehariduses ja -õppes osalenute tegevus kindlaksmääratud ajal pärast koolituse läbimist (vastavalt programmi liigile ja üksikutele kriteeriumidele</w:t>
            </w:r>
            <w:r>
              <w:rPr>
                <w:rStyle w:val="FootnoteReference"/>
                <w:noProof/>
              </w:rPr>
              <w:footnoteReference w:id="16"/>
            </w:r>
            <w:r>
              <w:rPr>
                <w:noProof/>
              </w:rPr>
              <w:t>)</w:t>
            </w:r>
          </w:p>
          <w:p>
            <w:pPr>
              <w:ind w:left="426" w:hanging="426"/>
              <w:jc w:val="left"/>
              <w:rPr>
                <w:rFonts w:eastAsia="Times New Roman"/>
                <w:noProof/>
                <w:szCs w:val="24"/>
              </w:rPr>
            </w:pPr>
            <w:r>
              <w:rPr>
                <w:noProof/>
              </w:rPr>
              <w:t>b)</w:t>
            </w:r>
            <w:r>
              <w:rPr>
                <w:noProof/>
              </w:rPr>
              <w:tab/>
              <w:t>tööle asunud õppijate osakaal kindlaksmääratud ajal pärast koolituse läbimist (vastavalt programmi liigile ja üksikutele kriteeriumidele)</w:t>
            </w:r>
          </w:p>
        </w:tc>
        <w:tc>
          <w:tcPr>
            <w:tcW w:w="2126" w:type="dxa"/>
            <w:vAlign w:val="center"/>
          </w:tcPr>
          <w:p>
            <w:pPr>
              <w:jc w:val="left"/>
              <w:rPr>
                <w:noProof/>
                <w:w w:val="105"/>
                <w:szCs w:val="24"/>
              </w:rPr>
            </w:pPr>
            <w:r>
              <w:rPr>
                <w:noProof/>
              </w:rPr>
              <w:t>Väljundnäitaja</w:t>
            </w:r>
          </w:p>
        </w:tc>
        <w:tc>
          <w:tcPr>
            <w:tcW w:w="3511" w:type="dxa"/>
            <w:vAlign w:val="center"/>
          </w:tcPr>
          <w:p>
            <w:pPr>
              <w:jc w:val="left"/>
              <w:rPr>
                <w:rFonts w:eastAsia="Times New Roman"/>
                <w:noProof/>
                <w:szCs w:val="24"/>
              </w:rPr>
            </w:pPr>
            <w:r>
              <w:rPr>
                <w:noProof/>
              </w:rPr>
              <w:t>Toetada tööalast konkurentsivõimet</w:t>
            </w:r>
          </w:p>
          <w:p>
            <w:pPr>
              <w:jc w:val="left"/>
              <w:rPr>
                <w:rFonts w:eastAsia="Times New Roman"/>
                <w:noProof/>
                <w:szCs w:val="24"/>
              </w:rPr>
            </w:pPr>
            <w:r>
              <w:rPr>
                <w:noProof/>
              </w:rPr>
              <w:t>Parandada kutsehariduse ja -õppe vastavust tööturu muutuvatele vajadustele</w:t>
            </w:r>
          </w:p>
          <w:p>
            <w:pPr>
              <w:jc w:val="left"/>
              <w:rPr>
                <w:noProof/>
                <w:szCs w:val="24"/>
              </w:rPr>
            </w:pPr>
            <w:r>
              <w:rPr>
                <w:noProof/>
              </w:rPr>
              <w:t>Toetada kohandatud koolituse pakkumist, sh ebasoodsas olukorras olevatele rühmadele</w:t>
            </w:r>
          </w:p>
        </w:tc>
      </w:tr>
      <w:tr>
        <w:trPr>
          <w:trHeight w:val="20"/>
        </w:trPr>
        <w:tc>
          <w:tcPr>
            <w:tcW w:w="9289" w:type="dxa"/>
            <w:gridSpan w:val="3"/>
            <w:vAlign w:val="center"/>
          </w:tcPr>
          <w:p>
            <w:pPr>
              <w:jc w:val="left"/>
              <w:rPr>
                <w:rFonts w:cstheme="minorBidi"/>
                <w:b/>
                <w:i/>
                <w:noProof/>
              </w:rPr>
            </w:pPr>
            <w:r>
              <w:rPr>
                <w:b/>
                <w:i/>
                <w:noProof/>
              </w:rPr>
              <w:t>Nr 6</w:t>
            </w:r>
          </w:p>
        </w:tc>
      </w:tr>
      <w:tr>
        <w:trPr>
          <w:trHeight w:val="20"/>
        </w:trPr>
        <w:tc>
          <w:tcPr>
            <w:tcW w:w="3652" w:type="dxa"/>
            <w:vAlign w:val="center"/>
          </w:tcPr>
          <w:p>
            <w:pPr>
              <w:ind w:left="426" w:hanging="426"/>
              <w:jc w:val="left"/>
              <w:rPr>
                <w:rFonts w:eastAsia="Times New Roman"/>
                <w:noProof/>
                <w:szCs w:val="24"/>
              </w:rPr>
            </w:pPr>
            <w:r>
              <w:rPr>
                <w:noProof/>
              </w:rPr>
              <w:t>Omandatud oskuste kasutamine töökohal:</w:t>
            </w:r>
          </w:p>
          <w:p>
            <w:pPr>
              <w:ind w:left="426" w:hanging="426"/>
              <w:jc w:val="left"/>
              <w:rPr>
                <w:rFonts w:eastAsia="Times New Roman"/>
                <w:noProof/>
                <w:szCs w:val="24"/>
              </w:rPr>
            </w:pPr>
            <w:r>
              <w:rPr>
                <w:noProof/>
              </w:rPr>
              <w:t>a)</w:t>
            </w:r>
            <w:r>
              <w:rPr>
                <w:noProof/>
              </w:rPr>
              <w:tab/>
              <w:t>teave ametikoha kohta, millele isikud on pärast koolituse läbimist asunud (vastavalt programmi liigile ja üksikutele kriteeriumidele)</w:t>
            </w:r>
          </w:p>
          <w:p>
            <w:pPr>
              <w:ind w:left="426" w:hanging="426"/>
              <w:jc w:val="left"/>
              <w:rPr>
                <w:rFonts w:eastAsia="Times New Roman"/>
                <w:noProof/>
                <w:szCs w:val="24"/>
              </w:rPr>
            </w:pPr>
            <w:r>
              <w:rPr>
                <w:noProof/>
              </w:rPr>
              <w:t>b)</w:t>
            </w:r>
            <w:r>
              <w:rPr>
                <w:noProof/>
              </w:rPr>
              <w:tab/>
              <w:t>isikute ja tööandjate rahulolu omandatud oskuste/pädevustega</w:t>
            </w:r>
          </w:p>
        </w:tc>
        <w:tc>
          <w:tcPr>
            <w:tcW w:w="2126" w:type="dxa"/>
            <w:vAlign w:val="center"/>
          </w:tcPr>
          <w:p>
            <w:pPr>
              <w:jc w:val="left"/>
              <w:rPr>
                <w:rFonts w:eastAsia="Times New Roman"/>
                <w:noProof/>
                <w:szCs w:val="24"/>
              </w:rPr>
            </w:pPr>
            <w:r>
              <w:rPr>
                <w:noProof/>
              </w:rPr>
              <w:t>Väljundnäitaja</w:t>
            </w:r>
          </w:p>
          <w:p>
            <w:pPr>
              <w:jc w:val="left"/>
              <w:rPr>
                <w:b/>
                <w:bCs/>
                <w:noProof/>
                <w:szCs w:val="24"/>
              </w:rPr>
            </w:pPr>
            <w:r>
              <w:rPr>
                <w:noProof/>
              </w:rPr>
              <w:t>(kvalitatiivsete ja kvantitatiivsete näitajate kombinatsioon)</w:t>
            </w:r>
          </w:p>
        </w:tc>
        <w:tc>
          <w:tcPr>
            <w:tcW w:w="3511" w:type="dxa"/>
            <w:vAlign w:val="center"/>
          </w:tcPr>
          <w:p>
            <w:pPr>
              <w:jc w:val="left"/>
              <w:rPr>
                <w:rFonts w:eastAsia="Times New Roman"/>
                <w:noProof/>
                <w:szCs w:val="24"/>
              </w:rPr>
            </w:pPr>
            <w:r>
              <w:rPr>
                <w:noProof/>
              </w:rPr>
              <w:t>Suurendada tööalast konkurentsivõimet</w:t>
            </w:r>
          </w:p>
          <w:p>
            <w:pPr>
              <w:jc w:val="left"/>
              <w:rPr>
                <w:rFonts w:eastAsia="Times New Roman"/>
                <w:noProof/>
                <w:szCs w:val="24"/>
              </w:rPr>
            </w:pPr>
            <w:r>
              <w:rPr>
                <w:noProof/>
              </w:rPr>
              <w:t>Suurendada kutsehariduse ja -õppe vastavust tööturu muutuvatele vajadustele</w:t>
            </w:r>
          </w:p>
          <w:p>
            <w:pPr>
              <w:jc w:val="left"/>
              <w:rPr>
                <w:b/>
                <w:bCs/>
                <w:noProof/>
                <w:szCs w:val="24"/>
              </w:rPr>
            </w:pPr>
            <w:r>
              <w:rPr>
                <w:noProof/>
              </w:rPr>
              <w:t>Toetada kohandatud koolituse pakkumist, sh ebasoodsas olukorras olevatele rühmadele</w:t>
            </w:r>
          </w:p>
        </w:tc>
      </w:tr>
      <w:tr>
        <w:trPr>
          <w:trHeight w:val="20"/>
        </w:trPr>
        <w:tc>
          <w:tcPr>
            <w:tcW w:w="9289" w:type="dxa"/>
            <w:gridSpan w:val="3"/>
            <w:vAlign w:val="center"/>
          </w:tcPr>
          <w:p>
            <w:pPr>
              <w:jc w:val="left"/>
              <w:rPr>
                <w:b/>
                <w:bCs/>
                <w:noProof/>
                <w:szCs w:val="24"/>
              </w:rPr>
            </w:pPr>
            <w:r>
              <w:rPr>
                <w:b/>
                <w:noProof/>
                <w:szCs w:val="24"/>
              </w:rPr>
              <w:t>Taustteave</w:t>
            </w:r>
          </w:p>
        </w:tc>
      </w:tr>
      <w:tr>
        <w:trPr>
          <w:trHeight w:val="20"/>
        </w:trPr>
        <w:tc>
          <w:tcPr>
            <w:tcW w:w="9289" w:type="dxa"/>
            <w:gridSpan w:val="3"/>
            <w:vAlign w:val="center"/>
          </w:tcPr>
          <w:p>
            <w:pPr>
              <w:jc w:val="left"/>
              <w:rPr>
                <w:rFonts w:cstheme="minorBidi"/>
                <w:b/>
                <w:i/>
                <w:noProof/>
              </w:rPr>
            </w:pPr>
            <w:r>
              <w:rPr>
                <w:b/>
                <w:i/>
                <w:noProof/>
              </w:rPr>
              <w:t>Nr 7</w:t>
            </w:r>
          </w:p>
        </w:tc>
      </w:tr>
      <w:tr>
        <w:trPr>
          <w:trHeight w:val="20"/>
        </w:trPr>
        <w:tc>
          <w:tcPr>
            <w:tcW w:w="3652" w:type="dxa"/>
            <w:vAlign w:val="center"/>
          </w:tcPr>
          <w:p>
            <w:pPr>
              <w:jc w:val="left"/>
              <w:rPr>
                <w:rFonts w:eastAsia="Times New Roman"/>
                <w:noProof/>
                <w:szCs w:val="24"/>
              </w:rPr>
            </w:pPr>
            <w:r>
              <w:rPr>
                <w:noProof/>
              </w:rPr>
              <w:t>Töötuse määr</w:t>
            </w:r>
            <w:r>
              <w:rPr>
                <w:rStyle w:val="FootnoteReference"/>
                <w:noProof/>
              </w:rPr>
              <w:footnoteReference w:id="17"/>
            </w:r>
            <w:r>
              <w:rPr>
                <w:noProof/>
              </w:rPr>
              <w:t xml:space="preserve"> (vastavalt üksikutele kriteeriumidele)</w:t>
            </w:r>
          </w:p>
        </w:tc>
        <w:tc>
          <w:tcPr>
            <w:tcW w:w="2126" w:type="dxa"/>
            <w:vAlign w:val="center"/>
          </w:tcPr>
          <w:p>
            <w:pPr>
              <w:jc w:val="left"/>
              <w:rPr>
                <w:noProof/>
                <w:w w:val="105"/>
                <w:szCs w:val="24"/>
              </w:rPr>
            </w:pPr>
            <w:r>
              <w:rPr>
                <w:noProof/>
              </w:rPr>
              <w:t>Taustanäitaja</w:t>
            </w:r>
          </w:p>
        </w:tc>
        <w:tc>
          <w:tcPr>
            <w:tcW w:w="3511" w:type="dxa"/>
            <w:vAlign w:val="center"/>
          </w:tcPr>
          <w:p>
            <w:pPr>
              <w:jc w:val="left"/>
              <w:rPr>
                <w:noProof/>
                <w:szCs w:val="24"/>
              </w:rPr>
            </w:pPr>
            <w:r>
              <w:rPr>
                <w:noProof/>
              </w:rPr>
              <w:t>Taustteave poliitiliste otsuste tegemiseks kutsehariduse ja -õppe süsteemi tasandil</w:t>
            </w:r>
          </w:p>
        </w:tc>
      </w:tr>
      <w:tr>
        <w:trPr>
          <w:trHeight w:val="20"/>
        </w:trPr>
        <w:tc>
          <w:tcPr>
            <w:tcW w:w="9289" w:type="dxa"/>
            <w:gridSpan w:val="3"/>
            <w:vAlign w:val="center"/>
          </w:tcPr>
          <w:p>
            <w:pPr>
              <w:jc w:val="left"/>
              <w:rPr>
                <w:rFonts w:cstheme="minorBidi"/>
                <w:b/>
                <w:i/>
                <w:noProof/>
              </w:rPr>
            </w:pPr>
            <w:r>
              <w:rPr>
                <w:b/>
                <w:i/>
                <w:noProof/>
              </w:rPr>
              <w:t>Nr 8</w:t>
            </w:r>
          </w:p>
        </w:tc>
      </w:tr>
      <w:tr>
        <w:trPr>
          <w:trHeight w:val="20"/>
        </w:trPr>
        <w:tc>
          <w:tcPr>
            <w:tcW w:w="3652" w:type="dxa"/>
            <w:vAlign w:val="center"/>
          </w:tcPr>
          <w:p>
            <w:pPr>
              <w:jc w:val="left"/>
              <w:rPr>
                <w:rFonts w:eastAsia="Times New Roman"/>
                <w:noProof/>
                <w:szCs w:val="24"/>
              </w:rPr>
            </w:pPr>
            <w:r>
              <w:rPr>
                <w:noProof/>
              </w:rPr>
              <w:t>Haavatavate elanikkonnarühmade osalemine:</w:t>
            </w:r>
          </w:p>
          <w:p>
            <w:pPr>
              <w:ind w:left="426" w:hanging="426"/>
              <w:jc w:val="left"/>
              <w:rPr>
                <w:rFonts w:eastAsia="Times New Roman"/>
                <w:noProof/>
                <w:szCs w:val="24"/>
              </w:rPr>
            </w:pPr>
            <w:r>
              <w:rPr>
                <w:noProof/>
              </w:rPr>
              <w:t>a)</w:t>
            </w:r>
            <w:r>
              <w:rPr>
                <w:noProof/>
              </w:rPr>
              <w:tab/>
              <w:t>nende kutsehariduses ja -õppes osalejate protsent, keda liigitatakse ebasoodsas olukorras olevatesse elanikkonnarühmadesse (määratletud piirkonnas või seirealal) (vastavalt vanusele ja soole)</w:t>
            </w:r>
          </w:p>
          <w:p>
            <w:pPr>
              <w:ind w:left="426" w:hanging="426"/>
              <w:jc w:val="left"/>
              <w:rPr>
                <w:rFonts w:eastAsia="Times New Roman"/>
                <w:noProof/>
                <w:szCs w:val="24"/>
              </w:rPr>
            </w:pPr>
            <w:r>
              <w:rPr>
                <w:noProof/>
              </w:rPr>
              <w:t>b)</w:t>
            </w:r>
            <w:r>
              <w:rPr>
                <w:noProof/>
              </w:rPr>
              <w:tab/>
              <w:t>ebasoodsas olukorras olevate elanikkonnarühmade edumäär (vastavalt vanusele ja soole)</w:t>
            </w:r>
          </w:p>
        </w:tc>
        <w:tc>
          <w:tcPr>
            <w:tcW w:w="2126" w:type="dxa"/>
            <w:vAlign w:val="center"/>
          </w:tcPr>
          <w:p>
            <w:pPr>
              <w:jc w:val="left"/>
              <w:rPr>
                <w:rFonts w:eastAsia="Times New Roman"/>
                <w:noProof/>
                <w:szCs w:val="24"/>
              </w:rPr>
            </w:pPr>
            <w:r>
              <w:rPr>
                <w:noProof/>
              </w:rPr>
              <w:t>Taustanäitaja</w:t>
            </w:r>
          </w:p>
        </w:tc>
        <w:tc>
          <w:tcPr>
            <w:tcW w:w="3511" w:type="dxa"/>
            <w:vAlign w:val="center"/>
          </w:tcPr>
          <w:p>
            <w:pPr>
              <w:jc w:val="left"/>
              <w:rPr>
                <w:rFonts w:eastAsia="Times New Roman"/>
                <w:noProof/>
                <w:szCs w:val="24"/>
              </w:rPr>
            </w:pPr>
            <w:r>
              <w:rPr>
                <w:noProof/>
              </w:rPr>
              <w:t>Taustteave poliitiliste otsuste tegemiseks kutsehariduse ja -õppe süsteemi tasandil</w:t>
            </w:r>
          </w:p>
          <w:p>
            <w:pPr>
              <w:jc w:val="left"/>
              <w:rPr>
                <w:rFonts w:eastAsia="Times New Roman"/>
                <w:noProof/>
                <w:szCs w:val="24"/>
              </w:rPr>
            </w:pPr>
            <w:r>
              <w:rPr>
                <w:noProof/>
              </w:rPr>
              <w:t>Toetada ebasoodsas olukorras olevate elanikkonnarühmade juurdepääsu kutseharidusele ja -õppele</w:t>
            </w:r>
          </w:p>
          <w:p>
            <w:pPr>
              <w:jc w:val="left"/>
              <w:rPr>
                <w:noProof/>
                <w:szCs w:val="24"/>
              </w:rPr>
            </w:pPr>
            <w:r>
              <w:rPr>
                <w:noProof/>
              </w:rPr>
              <w:t>Toetada kohandatud koolituse pakkumist ebasoodsas olukorras olevatele elanikkonnarühmadele</w:t>
            </w:r>
          </w:p>
        </w:tc>
      </w:tr>
      <w:tr>
        <w:trPr>
          <w:trHeight w:val="20"/>
        </w:trPr>
        <w:tc>
          <w:tcPr>
            <w:tcW w:w="9289" w:type="dxa"/>
            <w:gridSpan w:val="3"/>
            <w:vAlign w:val="center"/>
          </w:tcPr>
          <w:p>
            <w:pPr>
              <w:jc w:val="left"/>
              <w:rPr>
                <w:rFonts w:cstheme="minorBidi"/>
                <w:b/>
                <w:i/>
                <w:noProof/>
              </w:rPr>
            </w:pPr>
            <w:r>
              <w:rPr>
                <w:b/>
                <w:i/>
                <w:noProof/>
              </w:rPr>
              <w:t>Nr 9</w:t>
            </w:r>
          </w:p>
        </w:tc>
      </w:tr>
      <w:tr>
        <w:trPr>
          <w:trHeight w:val="20"/>
        </w:trPr>
        <w:tc>
          <w:tcPr>
            <w:tcW w:w="3652" w:type="dxa"/>
            <w:vAlign w:val="center"/>
          </w:tcPr>
          <w:p>
            <w:pPr>
              <w:jc w:val="left"/>
              <w:rPr>
                <w:rFonts w:eastAsia="Times New Roman"/>
                <w:noProof/>
                <w:szCs w:val="24"/>
              </w:rPr>
            </w:pPr>
            <w:r>
              <w:rPr>
                <w:noProof/>
              </w:rPr>
              <w:t>Tööturu koolitusvajaduste väljaselgitamise mehhanismid:</w:t>
            </w:r>
          </w:p>
          <w:p>
            <w:pPr>
              <w:numPr>
                <w:ilvl w:val="0"/>
                <w:numId w:val="2"/>
              </w:numPr>
              <w:spacing w:before="0" w:after="0"/>
              <w:ind w:left="426" w:hanging="426"/>
              <w:contextualSpacing/>
              <w:jc w:val="left"/>
              <w:rPr>
                <w:rFonts w:eastAsia="Times New Roman"/>
                <w:noProof/>
                <w:szCs w:val="24"/>
              </w:rPr>
            </w:pPr>
            <w:r>
              <w:rPr>
                <w:noProof/>
              </w:rPr>
              <w:t>teave mehhanismide kohta, mis on võetud kasutusele muutuvate vajaduste väljaselgitamiseks eri tasanditel</w:t>
            </w:r>
          </w:p>
          <w:p>
            <w:pPr>
              <w:numPr>
                <w:ilvl w:val="0"/>
                <w:numId w:val="2"/>
              </w:numPr>
              <w:spacing w:before="0" w:after="0"/>
              <w:ind w:left="426" w:hanging="426"/>
              <w:contextualSpacing/>
              <w:jc w:val="left"/>
              <w:rPr>
                <w:rFonts w:eastAsia="Times New Roman"/>
                <w:noProof/>
                <w:szCs w:val="24"/>
              </w:rPr>
            </w:pPr>
            <w:r>
              <w:rPr>
                <w:noProof/>
              </w:rPr>
              <w:t>tõendid selliste mehhanismide kasutamise ja tulemuslikkuse kohta</w:t>
            </w:r>
          </w:p>
        </w:tc>
        <w:tc>
          <w:tcPr>
            <w:tcW w:w="2126" w:type="dxa"/>
            <w:vAlign w:val="center"/>
          </w:tcPr>
          <w:p>
            <w:pPr>
              <w:jc w:val="left"/>
              <w:rPr>
                <w:noProof/>
                <w:w w:val="105"/>
                <w:szCs w:val="24"/>
              </w:rPr>
            </w:pPr>
            <w:r>
              <w:rPr>
                <w:noProof/>
              </w:rPr>
              <w:t>Tausta-/sisendnäitaja (kvalitatiivne teave)</w:t>
            </w:r>
          </w:p>
        </w:tc>
        <w:tc>
          <w:tcPr>
            <w:tcW w:w="3511" w:type="dxa"/>
            <w:vAlign w:val="center"/>
          </w:tcPr>
          <w:p>
            <w:pPr>
              <w:jc w:val="left"/>
              <w:rPr>
                <w:rFonts w:eastAsia="Times New Roman"/>
                <w:noProof/>
                <w:szCs w:val="24"/>
              </w:rPr>
            </w:pPr>
            <w:r>
              <w:rPr>
                <w:noProof/>
              </w:rPr>
              <w:t>Suurendada kutsehariduse ja -õppe vastavust tööturu muutuvatele vajadustele</w:t>
            </w:r>
          </w:p>
          <w:p>
            <w:pPr>
              <w:jc w:val="left"/>
              <w:rPr>
                <w:noProof/>
                <w:szCs w:val="24"/>
              </w:rPr>
            </w:pPr>
            <w:r>
              <w:rPr>
                <w:noProof/>
              </w:rPr>
              <w:t>Toetada tööalast konkurentsivõimet</w:t>
            </w:r>
          </w:p>
        </w:tc>
      </w:tr>
      <w:tr>
        <w:trPr>
          <w:trHeight w:val="387"/>
        </w:trPr>
        <w:tc>
          <w:tcPr>
            <w:tcW w:w="9289" w:type="dxa"/>
            <w:gridSpan w:val="3"/>
            <w:vAlign w:val="center"/>
          </w:tcPr>
          <w:p>
            <w:pPr>
              <w:jc w:val="left"/>
              <w:rPr>
                <w:rFonts w:cstheme="minorBidi"/>
                <w:b/>
                <w:i/>
                <w:noProof/>
              </w:rPr>
            </w:pPr>
            <w:r>
              <w:rPr>
                <w:b/>
                <w:i/>
                <w:noProof/>
              </w:rPr>
              <w:t>Nr 10</w:t>
            </w:r>
          </w:p>
        </w:tc>
      </w:tr>
      <w:tr>
        <w:trPr>
          <w:trHeight w:val="2138"/>
        </w:trPr>
        <w:tc>
          <w:tcPr>
            <w:tcW w:w="3652" w:type="dxa"/>
            <w:vAlign w:val="center"/>
          </w:tcPr>
          <w:p>
            <w:pPr>
              <w:jc w:val="left"/>
              <w:rPr>
                <w:rFonts w:eastAsia="Times New Roman"/>
                <w:noProof/>
                <w:szCs w:val="24"/>
              </w:rPr>
            </w:pPr>
            <w:r>
              <w:rPr>
                <w:noProof/>
              </w:rPr>
              <w:t>Kavad, mida kasutatakse kutsehariduse ja -õppe kättesaadavamaks muutmiseks ning (potentsiaalsetele) kutsehariduse ja -õppe õppijatele suuniste pakkumiseks:</w:t>
            </w:r>
          </w:p>
          <w:p>
            <w:pPr>
              <w:ind w:left="426" w:hanging="426"/>
              <w:jc w:val="left"/>
              <w:rPr>
                <w:rFonts w:eastAsia="Times New Roman"/>
                <w:noProof/>
                <w:szCs w:val="24"/>
              </w:rPr>
            </w:pPr>
            <w:r>
              <w:rPr>
                <w:noProof/>
              </w:rPr>
              <w:t>a)</w:t>
            </w:r>
            <w:r>
              <w:rPr>
                <w:noProof/>
              </w:rPr>
              <w:tab/>
              <w:t>teave eri tasandil olemasolevate kavade kohta</w:t>
            </w:r>
          </w:p>
          <w:p>
            <w:pPr>
              <w:ind w:left="426" w:hanging="426"/>
              <w:jc w:val="left"/>
              <w:rPr>
                <w:rFonts w:eastAsia="Times New Roman"/>
                <w:noProof/>
                <w:szCs w:val="24"/>
              </w:rPr>
            </w:pPr>
            <w:r>
              <w:rPr>
                <w:noProof/>
              </w:rPr>
              <w:t>b)</w:t>
            </w:r>
            <w:r>
              <w:rPr>
                <w:noProof/>
              </w:rPr>
              <w:tab/>
              <w:t>tõendid nende tulemuslikkuse kohta</w:t>
            </w:r>
          </w:p>
        </w:tc>
        <w:tc>
          <w:tcPr>
            <w:tcW w:w="2126" w:type="dxa"/>
            <w:vAlign w:val="center"/>
          </w:tcPr>
          <w:p>
            <w:pPr>
              <w:jc w:val="left"/>
              <w:rPr>
                <w:noProof/>
                <w:szCs w:val="24"/>
              </w:rPr>
            </w:pPr>
            <w:r>
              <w:rPr>
                <w:noProof/>
              </w:rPr>
              <w:t>Protsessinäitaja (kvalitatiivne teave)</w:t>
            </w:r>
          </w:p>
        </w:tc>
        <w:tc>
          <w:tcPr>
            <w:tcW w:w="3511" w:type="dxa"/>
            <w:vAlign w:val="center"/>
          </w:tcPr>
          <w:p>
            <w:pPr>
              <w:jc w:val="left"/>
              <w:rPr>
                <w:rFonts w:eastAsia="Times New Roman"/>
                <w:noProof/>
                <w:szCs w:val="24"/>
              </w:rPr>
            </w:pPr>
            <w:r>
              <w:rPr>
                <w:noProof/>
              </w:rPr>
              <w:t>Edendada juurdepääsu kutseharidusele ja -õppele, sh ebasoodsas olukorras olevate elanikkonnarühmade jaoks</w:t>
            </w:r>
          </w:p>
          <w:p>
            <w:pPr>
              <w:jc w:val="left"/>
              <w:rPr>
                <w:rFonts w:eastAsia="Times New Roman"/>
                <w:noProof/>
                <w:szCs w:val="24"/>
              </w:rPr>
            </w:pPr>
            <w:r>
              <w:rPr>
                <w:noProof/>
              </w:rPr>
              <w:t xml:space="preserve">Pakkuda suuniseid (potentsiaalsetele) kutsehariduse ja -õppe õppijatele </w:t>
            </w:r>
          </w:p>
          <w:p>
            <w:pPr>
              <w:jc w:val="left"/>
              <w:rPr>
                <w:noProof/>
                <w:szCs w:val="24"/>
              </w:rPr>
            </w:pPr>
            <w:r>
              <w:rPr>
                <w:noProof/>
              </w:rPr>
              <w:t>Toetada kohandatud koolituste pakkumist</w:t>
            </w:r>
          </w:p>
        </w:tc>
      </w:tr>
    </w:tbl>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EÜT: JO P 63, 1963, lk 1338.</w:t>
      </w:r>
    </w:p>
  </w:footnote>
  <w:footnote w:id="2">
    <w:p>
      <w:pPr>
        <w:pStyle w:val="FootnoteText"/>
      </w:pPr>
      <w:r>
        <w:rPr>
          <w:rStyle w:val="FootnoteReference"/>
        </w:rPr>
        <w:footnoteRef/>
      </w:r>
      <w:r>
        <w:tab/>
        <w:t>ELT C 398, 22.12.2012.</w:t>
      </w:r>
    </w:p>
  </w:footnote>
  <w:footnote w:id="3">
    <w:p>
      <w:pPr>
        <w:pStyle w:val="FootnoteText"/>
      </w:pPr>
      <w:r>
        <w:rPr>
          <w:rStyle w:val="FootnoteReference"/>
        </w:rPr>
        <w:footnoteRef/>
      </w:r>
      <w:r>
        <w:tab/>
        <w:t>Vt Euroopa kvalifikatsiooniraamistiku II lisa, milles on esitatud Euroopa kvalifikatsiooniraamistiku tasemete kirjeldused.</w:t>
      </w:r>
    </w:p>
  </w:footnote>
  <w:footnote w:id="4">
    <w:p>
      <w:pPr>
        <w:pStyle w:val="FootnoteText"/>
      </w:pPr>
      <w:r>
        <w:rPr>
          <w:rStyle w:val="FootnoteReference"/>
        </w:rPr>
        <w:footnoteRef/>
      </w:r>
      <w:r>
        <w:tab/>
        <w:t xml:space="preserve">ELT C 484, 24.12.2016. </w:t>
      </w:r>
    </w:p>
  </w:footnote>
  <w:footnote w:id="5">
    <w:p>
      <w:pPr>
        <w:pStyle w:val="FootnoteText"/>
      </w:pPr>
      <w:r>
        <w:rPr>
          <w:rStyle w:val="FootnoteReference"/>
        </w:rPr>
        <w:footnoteRef/>
      </w:r>
      <w:r>
        <w:tab/>
        <w:t>ELT C 189, 15.6.2017.</w:t>
      </w:r>
    </w:p>
  </w:footnote>
  <w:footnote w:id="6">
    <w:p>
      <w:pPr>
        <w:pStyle w:val="FootnoteText"/>
      </w:pPr>
      <w:r>
        <w:rPr>
          <w:rStyle w:val="FootnoteReference"/>
        </w:rPr>
        <w:footnoteRef/>
      </w:r>
      <w:r>
        <w:tab/>
        <w:t>ELT C 423, 9.12.2017.</w:t>
      </w:r>
    </w:p>
  </w:footnote>
  <w:footnote w:id="7">
    <w:p>
      <w:pPr>
        <w:pStyle w:val="FootnoteText"/>
      </w:pPr>
      <w:r>
        <w:rPr>
          <w:rStyle w:val="FootnoteReference"/>
        </w:rPr>
        <w:footnoteRef/>
      </w:r>
      <w:r>
        <w:tab/>
        <w:t>ELT L 112, 2.5.2018.</w:t>
      </w:r>
    </w:p>
  </w:footnote>
  <w:footnote w:id="8">
    <w:p>
      <w:pPr>
        <w:pStyle w:val="FootnoteText"/>
      </w:pPr>
      <w:r>
        <w:rPr>
          <w:rStyle w:val="FootnoteReference"/>
        </w:rPr>
        <w:footnoteRef/>
      </w:r>
      <w:r>
        <w:tab/>
        <w:t>ELT C 189, 4.6.2018.</w:t>
      </w:r>
    </w:p>
  </w:footnote>
  <w:footnote w:id="9">
    <w:p>
      <w:pPr>
        <w:pStyle w:val="FootnoteText"/>
      </w:pPr>
      <w:r>
        <w:rPr>
          <w:rStyle w:val="FootnoteReference"/>
        </w:rPr>
        <w:footnoteRef/>
      </w:r>
      <w:r>
        <w:tab/>
        <w:t>ELT C 444, 10.12.2018.</w:t>
      </w:r>
    </w:p>
  </w:footnote>
  <w:footnote w:id="10">
    <w:p>
      <w:pPr>
        <w:pStyle w:val="FootnoteText"/>
      </w:pPr>
      <w:r>
        <w:rPr>
          <w:rStyle w:val="FootnoteReference"/>
        </w:rPr>
        <w:footnoteRef/>
      </w:r>
      <w:r>
        <w:tab/>
        <w:t>ELT C 195, 7.6.2018, lk 7–10.</w:t>
      </w:r>
    </w:p>
  </w:footnote>
  <w:footnote w:id="11">
    <w:p>
      <w:pPr>
        <w:pStyle w:val="FootnoteText"/>
      </w:pPr>
      <w:r>
        <w:rPr>
          <w:rStyle w:val="FootnoteReference"/>
        </w:rPr>
        <w:footnoteRef/>
      </w:r>
      <w:r>
        <w:tab/>
        <w:t>ELT C 389, 18.11.2019, lk 1–6.</w:t>
      </w:r>
    </w:p>
  </w:footnote>
  <w:footnote w:id="12">
    <w:p>
      <w:pPr>
        <w:pStyle w:val="FootnoteText"/>
      </w:pPr>
      <w:r>
        <w:rPr>
          <w:rStyle w:val="FootnoteReference"/>
        </w:rPr>
        <w:footnoteRef/>
      </w:r>
      <w:r>
        <w:tab/>
        <w:t>ELT C 189, 5.6.2019.</w:t>
      </w:r>
    </w:p>
  </w:footnote>
  <w:footnote w:id="13">
    <w:p>
      <w:pPr>
        <w:pStyle w:val="FootnoteText"/>
      </w:pPr>
      <w:r>
        <w:rPr>
          <w:rStyle w:val="FootnoteReference"/>
        </w:rPr>
        <w:footnoteRef/>
      </w:r>
      <w:r>
        <w:tab/>
        <w:t>COM(2019) 650 final.</w:t>
      </w:r>
    </w:p>
  </w:footnote>
  <w:footnote w:id="14">
    <w:p>
      <w:pPr>
        <w:pStyle w:val="FootnoteText"/>
      </w:pPr>
      <w:r>
        <w:rPr>
          <w:rStyle w:val="FootnoteReference"/>
        </w:rPr>
        <w:footnoteRef/>
      </w:r>
      <w:r>
        <w:tab/>
        <w:t>Esmakutseõppe puhul: õppijat loetakse osalejaks pärast seda, kui ta on õppes osalenud kuus nädalat. Elukestva õppe puhul: ametlikes kutsehariduse ja -õppe programmides osalevate elanike protsent.</w:t>
      </w:r>
    </w:p>
  </w:footnote>
  <w:footnote w:id="15">
    <w:p>
      <w:pPr>
        <w:pStyle w:val="FootnoteText"/>
      </w:pPr>
      <w:r>
        <w:rPr>
          <w:rStyle w:val="FootnoteReference"/>
        </w:rPr>
        <w:footnoteRef/>
      </w:r>
      <w:r>
        <w:tab/>
        <w:t>Lisaks põhiteabele soo ja vanuse kohta võib kasutada teisi sotsiaalseid kriteeriume, nt madala haridustasemega noored, kõrgeim haridustase, rändajad, puudega isikud, töötuse kestus.</w:t>
      </w:r>
    </w:p>
  </w:footnote>
  <w:footnote w:id="16">
    <w:p>
      <w:pPr>
        <w:pStyle w:val="FootnoteText"/>
      </w:pPr>
      <w:r>
        <w:rPr>
          <w:rStyle w:val="FootnoteReference"/>
        </w:rPr>
        <w:footnoteRef/>
      </w:r>
      <w:r>
        <w:tab/>
        <w:t>Esmakutseõppe puhul: sealhulgas teave väljalangenud õppijate tegevuse kohta.</w:t>
      </w:r>
    </w:p>
  </w:footnote>
  <w:footnote w:id="17">
    <w:p>
      <w:pPr>
        <w:pStyle w:val="FootnoteText"/>
      </w:pPr>
      <w:r>
        <w:rPr>
          <w:rStyle w:val="FootnoteReference"/>
        </w:rPr>
        <w:footnoteRef/>
      </w:r>
      <w:r>
        <w:tab/>
        <w:t>Rahvusvahelise Tööorganisatsiooni määratluse kohaselt tööta isikud vanuses 15–74, kes otsivad aktiivselt tööd ja on valmis tööle minema.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EF2A95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1FC524E"/>
    <w:lvl w:ilvl="0">
      <w:start w:val="1"/>
      <w:numFmt w:val="decimal"/>
      <w:pStyle w:val="ListNumber3"/>
      <w:lvlText w:val="%1."/>
      <w:lvlJc w:val="left"/>
      <w:pPr>
        <w:tabs>
          <w:tab w:val="num" w:pos="926"/>
        </w:tabs>
        <w:ind w:left="926" w:hanging="360"/>
      </w:pPr>
    </w:lvl>
  </w:abstractNum>
  <w:abstractNum w:abstractNumId="2">
    <w:nsid w:val="FFFFFF7F"/>
    <w:multiLevelType w:val="singleLevel"/>
    <w:tmpl w:val="090C7F70"/>
    <w:lvl w:ilvl="0">
      <w:start w:val="1"/>
      <w:numFmt w:val="decimal"/>
      <w:pStyle w:val="ListNumber2"/>
      <w:lvlText w:val="%1."/>
      <w:lvlJc w:val="left"/>
      <w:pPr>
        <w:tabs>
          <w:tab w:val="num" w:pos="643"/>
        </w:tabs>
        <w:ind w:left="643" w:hanging="360"/>
      </w:pPr>
    </w:lvl>
  </w:abstractNum>
  <w:abstractNum w:abstractNumId="3">
    <w:nsid w:val="FFFFFF81"/>
    <w:multiLevelType w:val="singleLevel"/>
    <w:tmpl w:val="089A741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C42922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4F049A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FEEC94A"/>
    <w:lvl w:ilvl="0">
      <w:start w:val="1"/>
      <w:numFmt w:val="decimal"/>
      <w:pStyle w:val="ListNumber"/>
      <w:lvlText w:val="%1."/>
      <w:lvlJc w:val="left"/>
      <w:pPr>
        <w:tabs>
          <w:tab w:val="num" w:pos="360"/>
        </w:tabs>
        <w:ind w:left="360" w:hanging="360"/>
      </w:pPr>
    </w:lvl>
  </w:abstractNum>
  <w:abstractNum w:abstractNumId="7">
    <w:nsid w:val="FFFFFF89"/>
    <w:multiLevelType w:val="singleLevel"/>
    <w:tmpl w:val="FA3C94E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1AB7459"/>
    <w:multiLevelType w:val="hybridMultilevel"/>
    <w:tmpl w:val="E60A9DE2"/>
    <w:lvl w:ilvl="0" w:tplc="FAD43C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0F3096"/>
    <w:multiLevelType w:val="hybridMultilevel"/>
    <w:tmpl w:val="5D6A270C"/>
    <w:lvl w:ilvl="0" w:tplc="586823CE">
      <w:start w:val="1"/>
      <w:numFmt w:val="decimal"/>
      <w:pStyle w:val="NumPar0"/>
      <w:lvlText w:val="%1)"/>
      <w:lvlJc w:val="left"/>
      <w:pPr>
        <w:ind w:left="2062" w:hanging="360"/>
      </w:p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6"/>
  </w:num>
  <w:num w:numId="2">
    <w:abstractNumId w:val="8"/>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3"/>
  </w:num>
  <w:num w:numId="14">
    <w:abstractNumId w:val="22"/>
  </w:num>
  <w:num w:numId="15">
    <w:abstractNumId w:val="12"/>
  </w:num>
  <w:num w:numId="16">
    <w:abstractNumId w:val="14"/>
  </w:num>
  <w:num w:numId="17">
    <w:abstractNumId w:val="10"/>
  </w:num>
  <w:num w:numId="18">
    <w:abstractNumId w:val="21"/>
  </w:num>
  <w:num w:numId="19">
    <w:abstractNumId w:val="9"/>
  </w:num>
  <w:num w:numId="20">
    <w:abstractNumId w:val="15"/>
  </w:num>
  <w:num w:numId="21">
    <w:abstractNumId w:val="18"/>
  </w:num>
  <w:num w:numId="22">
    <w:abstractNumId w:val="19"/>
  </w:num>
  <w:num w:numId="23">
    <w:abstractNumId w:val="11"/>
  </w:num>
  <w:num w:numId="24">
    <w:abstractNumId w:val="17"/>
  </w:num>
  <w:num w:numId="25">
    <w:abstractNumId w:val="23"/>
  </w:num>
  <w:num w:numId="26">
    <w:abstractNumId w:val="20"/>
  </w:num>
  <w:num w:numId="27">
    <w:abstractNumId w:val="13"/>
  </w:num>
  <w:num w:numId="28">
    <w:abstractNumId w:val="22"/>
  </w:num>
  <w:num w:numId="29">
    <w:abstractNumId w:val="12"/>
  </w:num>
  <w:num w:numId="30">
    <w:abstractNumId w:val="14"/>
  </w:num>
  <w:num w:numId="31">
    <w:abstractNumId w:val="10"/>
  </w:num>
  <w:num w:numId="32">
    <w:abstractNumId w:val="21"/>
  </w:num>
  <w:num w:numId="33">
    <w:abstractNumId w:val="9"/>
  </w:num>
  <w:num w:numId="34">
    <w:abstractNumId w:val="15"/>
  </w:num>
  <w:num w:numId="35">
    <w:abstractNumId w:val="18"/>
  </w:num>
  <w:num w:numId="36">
    <w:abstractNumId w:val="19"/>
  </w:num>
  <w:num w:numId="37">
    <w:abstractNumId w:val="11"/>
  </w:num>
  <w:num w:numId="38">
    <w:abstractNumId w:val="17"/>
  </w:num>
  <w:num w:numId="39">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fr-FR" w:vendorID="64" w:dllVersion="131078" w:nlCheck="1" w:checkStyle="0"/>
  <w:attachedTemplate r:id="rId1"/>
  <w:revisionView w:markup="0"/>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7-09 18:59:1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järgmise dokumendi juurde:"/>
    <w:docVar w:name="LW_ACCOMPAGNANT.CP" w:val="järgmise dokumendi juurde:"/>
    <w:docVar w:name="LW_ANNEX_NBR_FIRST" w:val="1"/>
    <w:docVar w:name="LW_ANNEX_NBR_LAST" w:val="2"/>
    <w:docVar w:name="LW_ANNEX_UNIQUE" w:val="0"/>
    <w:docVar w:name="LW_CORRIGENDUM" w:val="&lt;UNUSED&gt;"/>
    <w:docVar w:name="LW_COVERPAGE_EXISTS" w:val="True"/>
    <w:docVar w:name="LW_COVERPAGE_GUID" w:val="102B8527-0ED3-4AB8-BAEA-C07F8EFD31D0"/>
    <w:docVar w:name="LW_COVERPAGE_TYPE" w:val="1"/>
    <w:docVar w:name="LW_CROSSREFERENCE" w:val="{SWD(2020) 123 final}"/>
    <w:docVar w:name="LW_DocType" w:val="ANNEX"/>
    <w:docVar w:name="LW_EMISSION" w:val="1.7.2020"/>
    <w:docVar w:name="LW_EMISSION_ISODATE" w:val="2020-07-01"/>
    <w:docVar w:name="LW_EMISSION_LOCATION" w:val="BRX"/>
    <w:docVar w:name="LW_EMISSION_PREFIX" w:val="Brüssel,"/>
    <w:docVar w:name="LW_EMISSION_SUFFIX" w:val=" "/>
    <w:docVar w:name="LW_ID_DOCSTRUCTURE" w:val="COM/ANNEX"/>
    <w:docVar w:name="LW_ID_DOCTYPE" w:val="SG-017"/>
    <w:docVar w:name="LW_LANGUE" w:val="ET"/>
    <w:docVar w:name="LW_LEVEL_OF_SENSITIVITY" w:val="Standard treatment"/>
    <w:docVar w:name="LW_NOM.INST" w:val="EUROOPA KOMISJON"/>
    <w:docVar w:name="LW_NOM.INST_JOINTDOC" w:val="&lt;EMPTY&gt;"/>
    <w:docVar w:name="LW_OBJETACTEPRINCIPAL" w:val="jätkusuutlikku konkurentsivõimet, sotsiaalset õiglust ja vastupanuvõimet toetava kutsehariduse ja -õppe kohta_x000d__x000d__x000d__x000d__x000d__x000d__x000d__x000d__x000b_"/>
    <w:docVar w:name="LW_OBJETACTEPRINCIPAL.CP" w:val="jätkusuutlikku konkurentsivõimet, sotsiaalset õiglust ja vastupanuvõimet toetava kutsehariduse ja -õppe kohta_x000d__x000d__x000d__x000d__x000d__x000d__x000d__x000d__x000b_"/>
    <w:docVar w:name="LW_PART_NBR" w:val="&lt;UNUSED&gt;"/>
    <w:docVar w:name="LW_PART_NBR_TOTAL" w:val="&lt;UNUSED&gt;"/>
    <w:docVar w:name="LW_REF.INST.NEW" w:val="COM"/>
    <w:docVar w:name="LW_REF.INST.NEW_ADOPTED" w:val="final"/>
    <w:docVar w:name="LW_REF.INST.NEW_TEXT" w:val="(2020) 27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LISAD"/>
    <w:docVar w:name="LW_TYPE.DOC.CP" w:val="LISAD"/>
    <w:docVar w:name="LW_TYPEACTEPRINCIPAL" w:val="NÕUKOGU SOOVITUS_x000b_"/>
    <w:docVar w:name="LW_TYPEACTEPRINCIPAL.CP" w:val="NÕUKOGU SOOVITUS_x000b_"/>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customStyle="1" w:styleId="NumPar0">
    <w:name w:val="NumPar 0"/>
    <w:basedOn w:val="Normal"/>
    <w:pPr>
      <w:numPr>
        <w:numId w:val="1"/>
      </w:numPr>
      <w:spacing w:before="0" w:after="200" w:line="276" w:lineRule="auto"/>
      <w:ind w:left="567" w:hanging="567"/>
      <w:jc w:val="left"/>
    </w:pPr>
    <w:rPr>
      <w:lang w:bidi="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customStyle="1" w:styleId="NumPar0">
    <w:name w:val="NumPar 0"/>
    <w:basedOn w:val="Normal"/>
    <w:pPr>
      <w:numPr>
        <w:numId w:val="1"/>
      </w:numPr>
      <w:spacing w:before="0" w:after="200" w:line="276" w:lineRule="auto"/>
      <w:ind w:left="567" w:hanging="567"/>
      <w:jc w:val="left"/>
    </w:pPr>
    <w:rPr>
      <w:lang w:bidi="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FA497FD42E47274BB8C9F216EABFADD9" ma:contentTypeVersion="8" ma:contentTypeDescription="Create a new document in this library." ma:contentTypeScope="" ma:versionID="e95cf22ec94fa30968592f30d9b476e4">
  <xsd:schema xmlns:xsd="http://www.w3.org/2001/XMLSchema" xmlns:xs="http://www.w3.org/2001/XMLSchema" xmlns:p="http://schemas.microsoft.com/office/2006/metadata/properties" xmlns:ns3="0607588f-e8fc-4f62-89a5-2b63ec5058da" targetNamespace="http://schemas.microsoft.com/office/2006/metadata/properties" ma:root="true" ma:fieldsID="30171a0791002974d7eb4f17f59606ef" ns3:_="">
    <xsd:import namespace="0607588f-e8fc-4f62-89a5-2b63ec5058da"/>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7588f-e8fc-4f62-89a5-2b63ec5058d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DocumentLanguage xmlns="0607588f-e8fc-4f62-89a5-2b63ec5058da">EN</EC_Collab_DocumentLanguage>
    <EC_Collab_Status xmlns="0607588f-e8fc-4f62-89a5-2b63ec5058da">Not Started</EC_Collab_Status>
    <EC_Collab_Reference xmlns="0607588f-e8fc-4f62-89a5-2b63ec5058da" xsi:nil="true"/>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1B42879-A0A1-455F-9BE8-8E119801D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7588f-e8fc-4f62-89a5-2b63ec505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368535-CAB2-47E1-8BAA-A4C43545C37C}">
  <ds:schemaRefs>
    <ds:schemaRef ds:uri="http://schemas.microsoft.com/sharepoint/v3/contenttype/forms"/>
  </ds:schemaRefs>
</ds:datastoreItem>
</file>

<file path=customXml/itemProps3.xml><?xml version="1.0" encoding="utf-8"?>
<ds:datastoreItem xmlns:ds="http://schemas.openxmlformats.org/officeDocument/2006/customXml" ds:itemID="{0E09F76A-D2CF-40D4-A043-D853F6B2EF9F}">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0607588f-e8fc-4f62-89a5-2b63ec5058da"/>
    <ds:schemaRef ds:uri="http://www.w3.org/XML/1998/namespace"/>
  </ds:schemaRefs>
</ds:datastoreItem>
</file>

<file path=customXml/itemProps4.xml><?xml version="1.0" encoding="utf-8"?>
<ds:datastoreItem xmlns:ds="http://schemas.openxmlformats.org/officeDocument/2006/customXml" ds:itemID="{42FCC628-A165-4C23-8FC6-470E241FB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12</Pages>
  <Words>1986</Words>
  <Characters>16612</Characters>
  <Application>Microsoft Office Word</Application>
  <DocSecurity>0</DocSecurity>
  <Lines>593</Lines>
  <Paragraphs>177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2020-07-07T09:21:00Z</dcterms:created>
  <dcterms:modified xsi:type="dcterms:W3CDTF">2020-07-09T16:59:00Z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7.0.1, Build 20190916</vt:lpwstr>
  </property>
  <property fmtid="{D5CDD505-2E9C-101B-9397-08002B2CF9AE}" pid="4" name="First annex">
    <vt:lpwstr>1</vt:lpwstr>
  </property>
  <property fmtid="{D5CDD505-2E9C-101B-9397-08002B2CF9AE}" pid="5" name="Last annex">
    <vt:lpwstr>2</vt:lpwstr>
  </property>
  <property fmtid="{D5CDD505-2E9C-101B-9397-08002B2CF9AE}" pid="6" name="Unique annex">
    <vt:lpwstr>0</vt:lpwstr>
  </property>
  <property fmtid="{D5CDD505-2E9C-101B-9397-08002B2CF9AE}" pid="7" name="Part">
    <vt:lpwstr>&lt;UNUSED&gt;</vt:lpwstr>
  </property>
  <property fmtid="{D5CDD505-2E9C-101B-9397-08002B2CF9AE}" pid="8" name="Total parts">
    <vt:lpwstr>&lt;UNUSED&gt;</vt:lpwstr>
  </property>
  <property fmtid="{D5CDD505-2E9C-101B-9397-08002B2CF9AE}" pid="9" name="LWTemplateID">
    <vt:lpwstr>SG-017</vt:lpwstr>
  </property>
  <property fmtid="{D5CDD505-2E9C-101B-9397-08002B2CF9AE}" pid="10" name="ContentTypeId">
    <vt:lpwstr>0x010100258AA79CEB83498886A3A0868112325000FA497FD42E47274BB8C9F216EABFADD9</vt:lpwstr>
  </property>
  <property fmtid="{D5CDD505-2E9C-101B-9397-08002B2CF9AE}" pid="11" name="DQCStatus">
    <vt:lpwstr>Green (DQC version 03)</vt:lpwstr>
  </property>
  <property fmtid="{D5CDD505-2E9C-101B-9397-08002B2CF9AE}" pid="12" name="Category">
    <vt:lpwstr>COM/ANNEX</vt:lpwstr>
  </property>
</Properties>
</file>