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347938EF-5A84-469C-BBD2-79512A14EF13" style="width:451.25pt;height:424.4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 PIELIKUMS. Būtiskie tiesību akti prasmju, izglītības un apmācības jomā</w:t>
      </w:r>
    </w:p>
    <w:p>
      <w:pPr>
        <w:pStyle w:val="NumPar1"/>
        <w:numPr>
          <w:ilvl w:val="0"/>
          <w:numId w:val="11"/>
        </w:numPr>
        <w:rPr>
          <w:noProof/>
        </w:rPr>
      </w:pPr>
      <w:r>
        <w:rPr>
          <w:noProof/>
        </w:rPr>
        <w:t>Padomes 1963. gada 2. aprīļa Lēmums, kas nosaka kopējas profesionālās izglītības politikas īstenošanas vispārīgos principus</w:t>
      </w:r>
      <w:r>
        <w:rPr>
          <w:rStyle w:val="FootnoteReference"/>
          <w:noProof/>
        </w:rPr>
        <w:footnoteReference w:id="1"/>
      </w:r>
      <w:r>
        <w:rPr>
          <w:noProof/>
        </w:rPr>
        <w:t>.</w:t>
      </w:r>
    </w:p>
    <w:p>
      <w:pPr>
        <w:pStyle w:val="NumPar1"/>
        <w:rPr>
          <w:noProof/>
        </w:rPr>
      </w:pPr>
      <w:r>
        <w:rPr>
          <w:noProof/>
        </w:rPr>
        <w:t>Padomes 2012. gada 20. decembra Ieteikumā par neformālās un ikdienējās mācīšanās validēšanu</w:t>
      </w:r>
      <w:r>
        <w:rPr>
          <w:rStyle w:val="FootnoteReference"/>
          <w:noProof/>
        </w:rPr>
        <w:footnoteReference w:id="2"/>
      </w:r>
      <w:r>
        <w:rPr>
          <w:noProof/>
        </w:rPr>
        <w:t xml:space="preserve"> dalībvalstis tika aicinātas ieviest pasākumus neformālās un ikdienējās mācīšanās validēšanai, lai indivīdi varētu iegūt kvalifikāciju, kas atbilst saskaņotiem standartiem, kuri ir vai nu tādi paši kā formālās izglītības programmās iegūtas kvalifikācijas standarti, vai līdzvērtīgi.</w:t>
      </w:r>
    </w:p>
    <w:p>
      <w:pPr>
        <w:pStyle w:val="NumPar1"/>
        <w:rPr>
          <w:noProof/>
        </w:rPr>
      </w:pPr>
      <w:r>
        <w:rPr>
          <w:noProof/>
        </w:rPr>
        <w:t>Padomes un Komisijas 2015. gada 15. decembra Kopīgajā ziņojumā par stratēģiskās sistēmas Eiropas sadarbībai izglītības un apmācības jomā (</w:t>
      </w:r>
      <w:r>
        <w:rPr>
          <w:i/>
          <w:noProof/>
        </w:rPr>
        <w:t>ET 2020</w:t>
      </w:r>
      <w:r>
        <w:rPr>
          <w:noProof/>
        </w:rPr>
        <w:t>) īstenošanu par prioritāti pieaugušo izglītības jomā cita starpā noteikts uzlabot rakstpratības, rēķinpratības un digitālo prasmju piedāvājumu un pietiekamas otrās iespējas, kuru rezultātā atzītu EKI kvalifikāciju iegūtu tie, kuriem nav EKI 4. līmeņa kvalifikācijas</w:t>
      </w:r>
      <w:r>
        <w:rPr>
          <w:rStyle w:val="FootnoteReference"/>
          <w:noProof/>
        </w:rPr>
        <w:footnoteReference w:id="3"/>
      </w:r>
      <w:r>
        <w:rPr>
          <w:noProof/>
        </w:rPr>
        <w:t>. Minētajā kopīgajā ziņojumā ir noteikti arī vidēja termiņa mērķi, kas jāsasniedz profesionālās izglītības un apmācības jomā, tostarp – ar elastīgāku un caurlaidīgāku profesionālās izglītības un apmācības sistēmu palīdzību uzlabot piekļuvi kvalifikācijām attiecībā uz visiem, it īpaši – piedāvājot efektīvus un integrētus ievirzīšanas pakalpojumus un ieviešot neformālās un sadzīviskās mācīšanās validēšanu.</w:t>
      </w:r>
    </w:p>
    <w:p>
      <w:pPr>
        <w:pStyle w:val="NumPar1"/>
        <w:rPr>
          <w:noProof/>
        </w:rPr>
      </w:pPr>
      <w:r>
        <w:rPr>
          <w:noProof/>
        </w:rPr>
        <w:t>Padomes 2016. gada 19. decembra Ieteikumā “Prasmju pilnveides ceļi — jaunas iespējas pieaugušajiem”</w:t>
      </w:r>
      <w:r>
        <w:rPr>
          <w:rStyle w:val="FootnoteReference"/>
          <w:noProof/>
        </w:rPr>
        <w:footnoteReference w:id="4"/>
      </w:r>
      <w:r>
        <w:rPr>
          <w:noProof/>
        </w:rPr>
        <w:t xml:space="preserve"> dalībvalstis ir aicinātas uzlabot piekļuvi kvalitatīvām mācību iespējām, ko piedāvā pieaugušajiem ar zemu prasmju līmeni, un šādu iespēju izmantošanu, trijos posmos: novērtēt prasmes, nodrošināt individualizētu mācību piedāvājumu un validēt un atzīt iegūtās prasmes.</w:t>
      </w:r>
    </w:p>
    <w:p>
      <w:pPr>
        <w:pStyle w:val="NumPar1"/>
        <w:rPr>
          <w:noProof/>
        </w:rPr>
      </w:pPr>
      <w:r>
        <w:rPr>
          <w:noProof/>
        </w:rPr>
        <w:t>Padomes 2017. gada 22. maija Ieteikums par Eiropas kvalifikāciju ietvarstruktūru (EKI) mūžizglītībai</w:t>
      </w:r>
      <w:r>
        <w:rPr>
          <w:rStyle w:val="FootnoteReference"/>
          <w:noProof/>
        </w:rPr>
        <w:footnoteReference w:id="5"/>
      </w:r>
      <w:r>
        <w:rPr>
          <w:noProof/>
        </w:rPr>
        <w:t xml:space="preserve"> nodrošina, ka EKI līmeņa kvalifikāciju pamatā ir vienoti kvalitātes nodrošināšanas principi (EKI ieteikuma IV pielikums) un ka gadījumos, kad EKI līmeņa kvalifikācijas tiek piešķirtas uz kredītpunktu pamata, attiecībā uz kredītpunktu sistēmām tiek izmantoti vienoti principi (EKI ieteikuma V pielikums). </w:t>
      </w:r>
    </w:p>
    <w:p>
      <w:pPr>
        <w:pStyle w:val="NumPar1"/>
        <w:rPr>
          <w:noProof/>
        </w:rPr>
      </w:pPr>
      <w:r>
        <w:rPr>
          <w:noProof/>
        </w:rPr>
        <w:t>Padomes 2017. gada 20. novembra Ieteikumā par absolventu gaitu apzināšanu</w:t>
      </w:r>
      <w:r>
        <w:rPr>
          <w:rStyle w:val="FootnoteReference"/>
          <w:noProof/>
        </w:rPr>
        <w:footnoteReference w:id="6"/>
      </w:r>
      <w:r>
        <w:rPr>
          <w:noProof/>
        </w:rPr>
        <w:t xml:space="preserve"> dalībvalstis ir aicinātas panākt, lai būtu labāk pieejami labākas kvalitātes dati par profesionālās izglītības un apmācības un augstākās izglītības iestāžu absolventu gaitām līdz 2020. gadam.</w:t>
      </w:r>
    </w:p>
    <w:p>
      <w:pPr>
        <w:pStyle w:val="NumPar1"/>
        <w:rPr>
          <w:noProof/>
        </w:rPr>
      </w:pPr>
      <w:r>
        <w:rPr>
          <w:noProof/>
        </w:rPr>
        <w:t>Ar Eiropas Parlamenta un Padomes 2018. gada 18. aprīļa Lēmumu (ES) 2018/646 par kopēju sistēmu labāku pakalpojumu sniegšanai attiecībā uz prasmēm un kvalifikācijām (</w:t>
      </w:r>
      <w:r>
        <w:rPr>
          <w:i/>
          <w:iCs/>
          <w:noProof/>
        </w:rPr>
        <w:t>Europass</w:t>
      </w:r>
      <w:r>
        <w:rPr>
          <w:noProof/>
        </w:rPr>
        <w:t>)</w:t>
      </w:r>
      <w:r>
        <w:rPr>
          <w:rStyle w:val="FootnoteReference"/>
          <w:noProof/>
        </w:rPr>
        <w:footnoteReference w:id="7"/>
      </w:r>
      <w:r>
        <w:rPr>
          <w:noProof/>
        </w:rPr>
        <w:t xml:space="preserve"> ir izveidota platforma, kurā tiek dokumentētas un raksturotas kvalifikācijas un prasmes, un lietotājiem (piemēram, darba meklētājiem, izglītojamajiem) tiek piedāvāts e-portfeļa rīks, kurā viņi var saglabāt informāciju par savām prasmēm un kvalifikācijām, izveidot CV un iesniegt darba pieteikumus. Tas kalpos arī par tīmekļa portālu, kurā pieejama informācija par kvalifikācijām un kvalifikāciju sistēmām, ievirzīšanu, validāciju, atzīšanu un citiem ar prasmēm un </w:t>
      </w:r>
      <w:r>
        <w:rPr>
          <w:noProof/>
        </w:rPr>
        <w:lastRenderedPageBreak/>
        <w:t xml:space="preserve">kvalifikācijām saistītiem jautājumiem. Jaunais </w:t>
      </w:r>
      <w:r>
        <w:rPr>
          <w:i/>
          <w:noProof/>
        </w:rPr>
        <w:t>Europass</w:t>
      </w:r>
      <w:r>
        <w:rPr>
          <w:noProof/>
        </w:rPr>
        <w:t xml:space="preserve"> pakalpojums arī atbalstīs autentifikācijas pakalpojumu (piemēram, digitālo sarakstu/sertifikātu) izmantošanu. </w:t>
      </w:r>
    </w:p>
    <w:p>
      <w:pPr>
        <w:pStyle w:val="NumPar1"/>
        <w:rPr>
          <w:noProof/>
        </w:rPr>
      </w:pPr>
      <w:r>
        <w:rPr>
          <w:noProof/>
        </w:rPr>
        <w:t>Padomes 2018. gada 22. maija Ieteikumā par pamatkompetencēm mūžizglītībā</w:t>
      </w:r>
      <w:r>
        <w:rPr>
          <w:rStyle w:val="FootnoteReference"/>
          <w:noProof/>
        </w:rPr>
        <w:footnoteReference w:id="8"/>
      </w:r>
      <w:r>
        <w:rPr>
          <w:noProof/>
        </w:rPr>
        <w:t xml:space="preserve"> ir uzsvērta vajadzība pievērsties pamatkompetenču attīstībai mūžizglītības perspektīvā un nodrošināt atbalstu visos izglītības, apmācības un mācīšanās līmeņos, turpinot attīstīt sākotnējo profesionālo izglītību un apmācību un profesionālo tālākizglītību un tālākapmācību.</w:t>
      </w:r>
    </w:p>
    <w:p>
      <w:pPr>
        <w:pStyle w:val="NumPar1"/>
        <w:rPr>
          <w:noProof/>
        </w:rPr>
      </w:pPr>
      <w:r>
        <w:rPr>
          <w:noProof/>
        </w:rPr>
        <w:t>Padomes 2018. gada 26. novembra Ieteikumā par to, kā sekmēt augstākās izglītības un vidējās izglītības diplomu un ārvalstīs pavadītu mācību periodu rezultātu automātisku savstarpēju atzīšanu</w:t>
      </w:r>
      <w:r>
        <w:rPr>
          <w:rStyle w:val="FootnoteReference"/>
          <w:noProof/>
        </w:rPr>
        <w:footnoteReference w:id="9"/>
      </w:r>
      <w:r>
        <w:rPr>
          <w:noProof/>
        </w:rPr>
        <w:t xml:space="preserve">, dalībvalstis ir aicinātas veikt pasākumus, kas vajadzīgi, lai līdz 2025. gadam panāktu augstākās izglītības un vidējās izglītības kvalifikāciju automātisku atzīšanu, kā arī mācību periodu rezultātu atzīšanu ar mērķi izveidot Eiropas izglītības telpu. Minētajā ieteikumā ir uzsvērta vajadzība pilnveidot kvalitātes nodrošināšanas instrumentus profesionālajā izglītībā un apmācībā saskaņā ar Eiropas kvalitātes nodrošināšanas pamatprincipu ietvarstruktūru profesionālajai izglītībai un apmācībai un tās turpmākās norises nolūkā sekmēt pārredzamību un veidot savstarpēju uzticēšanos vidējās izglītības un apmācības sistēmai. Lai atvieglotu mobilitāti un sekmētu ārvalstīs pavadīto mācību periodu rezultātu atzīšanu, ieteikumā ir arī pausts aicinājums profesionālās izglītības un apmācības jomā plašāk izmantot tādus ES rīkus, kuri darīti pieejami </w:t>
      </w:r>
      <w:r>
        <w:rPr>
          <w:i/>
          <w:iCs/>
          <w:noProof/>
        </w:rPr>
        <w:t>Europass</w:t>
      </w:r>
      <w:r>
        <w:rPr>
          <w:noProof/>
        </w:rPr>
        <w:t xml:space="preserve"> tiešsaistes platformā, un saprašanās memorandu un mācību līgumu, kas ietilpst Eiropas kredītpunktu sistēmā profesionālās izglītības un apmācības jomā.</w:t>
      </w:r>
    </w:p>
    <w:p>
      <w:pPr>
        <w:pStyle w:val="NumPar1"/>
        <w:rPr>
          <w:noProof/>
        </w:rPr>
      </w:pPr>
      <w:r>
        <w:rPr>
          <w:noProof/>
        </w:rPr>
        <w:t>Padomes Secinājumos par virzību uz redzējumu par Eiropas izglītības telpu</w:t>
      </w:r>
      <w:r>
        <w:rPr>
          <w:rStyle w:val="FootnoteReference"/>
          <w:noProof/>
        </w:rPr>
        <w:footnoteReference w:id="10"/>
      </w:r>
      <w:r>
        <w:rPr>
          <w:noProof/>
        </w:rPr>
        <w:t xml:space="preserve"> uzsvērts, ka “iniciatīvām un turpmākajām darbībām, ko paredzēts ierosināt un īstenot kā daļu no Eiropas izglītības telpas, ... būtu jāiekļauj visi izglītības un apmācības līmeņi un veidi, tostarp pieaugušo izglītība un profesionālā izglītība un apmācība”.</w:t>
      </w:r>
    </w:p>
    <w:p>
      <w:pPr>
        <w:pStyle w:val="NumPar1"/>
        <w:rPr>
          <w:noProof/>
        </w:rPr>
      </w:pPr>
      <w:r>
        <w:rPr>
          <w:noProof/>
        </w:rPr>
        <w:t>Padomes Rezolūcijā par Eiropas izglītības telpas turpmāku attīstīšanu nolūkā atbalstīt uz nākotni orientētas izglītības un apmācības sistēmas</w:t>
      </w:r>
      <w:r>
        <w:rPr>
          <w:rStyle w:val="FootnoteReference"/>
          <w:noProof/>
        </w:rPr>
        <w:footnoteReference w:id="11"/>
      </w:r>
      <w:r>
        <w:rPr>
          <w:noProof/>
        </w:rPr>
        <w:t xml:space="preserve"> ir atgādināts, ka “šīs telpas pamatā vajadzētu būt nepārtrauktai mūžizglītībai, sākot no agrīnās pirmskolas izglītības un aprūpes un turpinot ar skolu un profesionālo izglītību un apmācību līdz pat augstākajai izglītībai un pieaugušo izglītībai”.</w:t>
      </w:r>
    </w:p>
    <w:p>
      <w:pPr>
        <w:pStyle w:val="NumPar1"/>
        <w:rPr>
          <w:noProof/>
        </w:rPr>
      </w:pPr>
      <w:r>
        <w:rPr>
          <w:noProof/>
        </w:rPr>
        <w:t>Padomes 2019. gada secinājumos par Padomes ieteikuma “Prasmju pilnveides ceļi – jaunas iespējas pieaugušajiem” īstenošanu</w:t>
      </w:r>
      <w:r>
        <w:rPr>
          <w:rStyle w:val="FootnoteReference"/>
          <w:noProof/>
        </w:rPr>
        <w:footnoteReference w:id="12"/>
      </w:r>
      <w:r>
        <w:rPr>
          <w:noProof/>
        </w:rPr>
        <w:t xml:space="preserve"> ir uzsvērta vajadzība ieviest ilgtspējīgus ilgtermiņa pasākumus pieaugušo prasmju pilnveidei un pārkvalifikācijai kā daļu no plašākas stratēģiskas pieejas prasmju pilnveidošanai mūža garumā.</w:t>
      </w:r>
    </w:p>
    <w:p>
      <w:pPr>
        <w:pStyle w:val="NumPar1"/>
        <w:rPr>
          <w:noProof/>
        </w:rPr>
      </w:pPr>
      <w:r>
        <w:rPr>
          <w:noProof/>
        </w:rPr>
        <w:t>Padomes 2019. gada Secinājumos par labklājības ekonomiku dalībvalstis ir aicinātas arī veicināt visaptverošas mūžizglītības politikas, kā arī prasmju un kompetenču attīstīšanu visa mūža garumā.</w:t>
      </w:r>
    </w:p>
    <w:p>
      <w:pPr>
        <w:pStyle w:val="NumPar1"/>
        <w:ind w:left="851" w:hanging="851"/>
        <w:rPr>
          <w:noProof/>
        </w:rPr>
      </w:pPr>
      <w:r>
        <w:rPr>
          <w:noProof/>
        </w:rPr>
        <w:t>Komisijas paziņojumā “2020. gada ilgtspējīgas izaugsmes stratēģija”</w:t>
      </w:r>
      <w:r>
        <w:rPr>
          <w:rStyle w:val="FootnoteReference"/>
          <w:noProof/>
        </w:rPr>
        <w:footnoteReference w:id="13"/>
      </w:r>
      <w:r>
        <w:rPr>
          <w:noProof/>
        </w:rPr>
        <w:t xml:space="preserve"> ir izklāstītas prioritātes Savienības pārveidošanai par ilgtspējīgu ekonomiku, kas virza gan zaļo, gan digitālo pārkārtošanos un pārveido mūsu sociālā tirgus ekonomiku, lai nodrošinātu, ka Eiropa arī turpmāk piedāvās pasaules attīstītākās labklājības sistēmas un būs dinamisks inovācijas un konkurētspējīgas uzņēmējdarbības centrs. Tajā liels uzsvars ir likts arī uz vajadzību nostiprināt ieguldījumus prasmēs un izglītības un apmācības sistēmu reformās.</w:t>
      </w:r>
    </w:p>
    <w:p>
      <w:pPr>
        <w:pStyle w:val="Text1"/>
        <w:tabs>
          <w:tab w:val="left" w:pos="1792"/>
        </w:tabs>
        <w:rPr>
          <w:noProof/>
        </w:rPr>
      </w:pPr>
      <w:r>
        <w:rPr>
          <w:noProof/>
        </w:rPr>
        <w:tab/>
      </w:r>
    </w:p>
    <w:p>
      <w:pPr>
        <w:tabs>
          <w:tab w:val="left" w:pos="1792"/>
        </w:tabs>
        <w:rPr>
          <w:noProof/>
        </w:rPr>
        <w:sectPr>
          <w:footerReference w:type="default" r:id="rId19"/>
          <w:footerReference w:type="first" r:id="rId20"/>
          <w:pgSz w:w="11907" w:h="16839"/>
          <w:pgMar w:top="1134" w:right="1417" w:bottom="1134" w:left="1417" w:header="709" w:footer="709" w:gutter="0"/>
          <w:cols w:space="720"/>
          <w:docGrid w:linePitch="360"/>
        </w:sectPr>
      </w:pPr>
      <w:r>
        <w:rPr>
          <w:noProof/>
        </w:rPr>
        <w:tab/>
      </w:r>
    </w:p>
    <w:p>
      <w:pPr>
        <w:pStyle w:val="Annexetitre"/>
        <w:rPr>
          <w:noProof/>
        </w:rPr>
      </w:pPr>
      <w:r>
        <w:rPr>
          <w:noProof/>
        </w:rPr>
        <w:t xml:space="preserve">II PIELIKUMS. </w:t>
      </w:r>
      <w:r>
        <w:rPr>
          <w:i/>
          <w:iCs/>
          <w:noProof/>
        </w:rPr>
        <w:t>EQAVET</w:t>
      </w:r>
      <w:r>
        <w:rPr>
          <w:noProof/>
        </w:rPr>
        <w:t xml:space="preserve"> ietvarstruktūra</w:t>
      </w:r>
    </w:p>
    <w:p>
      <w:pPr>
        <w:widowControl w:val="0"/>
        <w:tabs>
          <w:tab w:val="left" w:pos="842"/>
        </w:tabs>
        <w:rPr>
          <w:rFonts w:eastAsia="Times New Roman"/>
          <w:b/>
          <w:noProof/>
          <w:szCs w:val="24"/>
        </w:rPr>
      </w:pPr>
      <w:r>
        <w:rPr>
          <w:b/>
          <w:noProof/>
          <w:szCs w:val="24"/>
        </w:rPr>
        <w:t xml:space="preserve">A daļa. </w:t>
      </w:r>
      <w:r>
        <w:rPr>
          <w:b/>
          <w:i/>
          <w:noProof/>
          <w:szCs w:val="24"/>
        </w:rPr>
        <w:t>EQAVET</w:t>
      </w:r>
      <w:r>
        <w:rPr>
          <w:b/>
          <w:noProof/>
          <w:szCs w:val="24"/>
        </w:rPr>
        <w:t xml:space="preserve"> indikatīvie deskriptori </w:t>
      </w:r>
    </w:p>
    <w:p>
      <w:pPr>
        <w:rPr>
          <w:noProof/>
        </w:rPr>
      </w:pPr>
      <w:r>
        <w:rPr>
          <w:i/>
          <w:noProof/>
        </w:rPr>
        <w:t>EQAVET</w:t>
      </w:r>
      <w:r>
        <w:rPr>
          <w:noProof/>
        </w:rPr>
        <w:t xml:space="preserve"> indikatīvie deskriptori ir paredzēti tam, lai atbalstītu dalībvalstis un profesionālās izglītības un apmācības (PIA) sniedzējus </w:t>
      </w:r>
      <w:r>
        <w:rPr>
          <w:i/>
          <w:noProof/>
        </w:rPr>
        <w:t>EQAVET</w:t>
      </w:r>
      <w:r>
        <w:rPr>
          <w:noProof/>
        </w:rPr>
        <w:t xml:space="preserve"> ietvarstruktūras īstenošanā. Tie ir strukturēti pēc kvalitātes cikla fāzēm: </w:t>
      </w:r>
      <w:r>
        <w:rPr>
          <w:i/>
          <w:noProof/>
        </w:rPr>
        <w:t>plānošana — īstenošana — izvērtēšana — pārskatīšana</w:t>
      </w:r>
      <w:r>
        <w:rPr>
          <w:noProof/>
        </w:rPr>
        <w:t>. Tos var piemērot gan sākotnējā PIA, gan profesionālajā tālākizglītībā un tālākapmācībā, un tie ir piemērojami visās mācību vidēs — skolās un darbavietās, arī māceklības shēmās.</w:t>
      </w:r>
    </w:p>
    <w:tbl>
      <w:tblPr>
        <w:tblStyle w:val="TableGrid"/>
        <w:tblW w:w="5095" w:type="pct"/>
        <w:tblLook w:val="04A0" w:firstRow="1" w:lastRow="0" w:firstColumn="1" w:lastColumn="0" w:noHBand="0" w:noVBand="1"/>
      </w:tblPr>
      <w:tblGrid>
        <w:gridCol w:w="2143"/>
        <w:gridCol w:w="3783"/>
        <w:gridCol w:w="3539"/>
      </w:tblGrid>
      <w:tr>
        <w:trPr>
          <w:tblHeader/>
        </w:trPr>
        <w:tc>
          <w:tcPr>
            <w:tcW w:w="1031" w:type="pct"/>
            <w:shd w:val="clear" w:color="auto" w:fill="F2F2F2" w:themeFill="background1" w:themeFillShade="F2"/>
            <w:vAlign w:val="center"/>
          </w:tcPr>
          <w:p>
            <w:pPr>
              <w:jc w:val="center"/>
              <w:rPr>
                <w:rFonts w:eastAsia="Times New Roman"/>
                <w:b/>
                <w:noProof/>
                <w:szCs w:val="24"/>
              </w:rPr>
            </w:pPr>
            <w:r>
              <w:rPr>
                <w:b/>
                <w:noProof/>
                <w:szCs w:val="24"/>
              </w:rPr>
              <w:t>Kvalitātes kritēriji</w:t>
            </w:r>
          </w:p>
        </w:tc>
        <w:tc>
          <w:tcPr>
            <w:tcW w:w="2049" w:type="pct"/>
            <w:shd w:val="clear" w:color="auto" w:fill="F2F2F2" w:themeFill="background1" w:themeFillShade="F2"/>
            <w:vAlign w:val="center"/>
          </w:tcPr>
          <w:p>
            <w:pPr>
              <w:jc w:val="center"/>
              <w:rPr>
                <w:rFonts w:eastAsia="Times New Roman"/>
                <w:b/>
                <w:noProof/>
                <w:szCs w:val="24"/>
              </w:rPr>
            </w:pPr>
            <w:r>
              <w:rPr>
                <w:b/>
                <w:noProof/>
                <w:szCs w:val="24"/>
              </w:rPr>
              <w:t>Indikatīvie deskriptori PIA sistēmu līmenī</w:t>
            </w:r>
          </w:p>
        </w:tc>
        <w:tc>
          <w:tcPr>
            <w:tcW w:w="1920" w:type="pct"/>
            <w:shd w:val="clear" w:color="auto" w:fill="F2F2F2" w:themeFill="background1" w:themeFillShade="F2"/>
            <w:vAlign w:val="center"/>
          </w:tcPr>
          <w:p>
            <w:pPr>
              <w:jc w:val="center"/>
              <w:rPr>
                <w:rFonts w:eastAsia="Times New Roman"/>
                <w:b/>
                <w:noProof/>
                <w:szCs w:val="24"/>
              </w:rPr>
            </w:pPr>
            <w:r>
              <w:rPr>
                <w:b/>
                <w:noProof/>
                <w:szCs w:val="24"/>
              </w:rPr>
              <w:t>Indikatīvie deskriptori PIA sniedzēju līmenī</w:t>
            </w:r>
          </w:p>
        </w:tc>
      </w:tr>
      <w:tr>
        <w:tc>
          <w:tcPr>
            <w:tcW w:w="1031" w:type="pct"/>
            <w:vAlign w:val="center"/>
          </w:tcPr>
          <w:p>
            <w:pPr>
              <w:jc w:val="left"/>
              <w:rPr>
                <w:noProof/>
              </w:rPr>
            </w:pPr>
            <w:r>
              <w:rPr>
                <w:noProof/>
              </w:rPr>
              <w:t>Plānošana atspoguļo stratēģisku ieceri, kas ir kopīga attiecīgajām ieinteresētajām personām, un ietver skaidrus mērķus/uzdevumus, darbības un rādītājus</w:t>
            </w:r>
          </w:p>
        </w:tc>
        <w:tc>
          <w:tcPr>
            <w:tcW w:w="2049" w:type="pct"/>
            <w:vAlign w:val="center"/>
          </w:tcPr>
          <w:p>
            <w:pPr>
              <w:jc w:val="left"/>
              <w:rPr>
                <w:rFonts w:eastAsia="Times New Roman"/>
                <w:noProof/>
                <w:szCs w:val="24"/>
              </w:rPr>
            </w:pPr>
            <w:r>
              <w:rPr>
                <w:noProof/>
              </w:rPr>
              <w:t xml:space="preserve">Ir aprakstīti PIA mērķi/uzdevumi vidējam termiņam un ilgtermiņam, un tie ir saistīti ar Eiropas un ilgtspējīgas attīstības mērķiem, ņemot vērā vides apsvērumus </w:t>
            </w:r>
          </w:p>
          <w:p>
            <w:pPr>
              <w:jc w:val="left"/>
              <w:rPr>
                <w:rFonts w:eastAsia="Times New Roman"/>
                <w:noProof/>
                <w:szCs w:val="24"/>
              </w:rPr>
            </w:pPr>
            <w:r>
              <w:rPr>
                <w:noProof/>
              </w:rPr>
              <w:t>Sociālie partneri un visas citas attiecīgās ieinteresētās personas piedalās PIA mērķu un uzdevumu noteikšanā dažādos līmeņos</w:t>
            </w:r>
          </w:p>
          <w:p>
            <w:pPr>
              <w:jc w:val="left"/>
              <w:rPr>
                <w:rFonts w:eastAsia="Times New Roman"/>
                <w:noProof/>
                <w:szCs w:val="24"/>
              </w:rPr>
            </w:pPr>
            <w:r>
              <w:rPr>
                <w:noProof/>
              </w:rPr>
              <w:t>Mērķrādītāji ir noteikti un tiek uzraudzīti, izmantojot īpašus rādītājus (panākumu kritērijus)</w:t>
            </w:r>
          </w:p>
          <w:p>
            <w:pPr>
              <w:jc w:val="left"/>
              <w:rPr>
                <w:rFonts w:eastAsia="Times New Roman"/>
                <w:noProof/>
                <w:szCs w:val="24"/>
              </w:rPr>
            </w:pPr>
            <w:r>
              <w:rPr>
                <w:noProof/>
              </w:rPr>
              <w:t xml:space="preserve">Ir noteikti mehānismi un procedūras darba tirgus un sabiedrības apmācības vajadzību apzināšanai </w:t>
            </w:r>
          </w:p>
          <w:p>
            <w:pPr>
              <w:jc w:val="left"/>
              <w:rPr>
                <w:rFonts w:eastAsia="Times New Roman"/>
                <w:noProof/>
                <w:szCs w:val="24"/>
              </w:rPr>
            </w:pPr>
            <w:r>
              <w:rPr>
                <w:noProof/>
              </w:rPr>
              <w:t>Ir izstrādāta informācijas politika, lai nodrošinātu kvalitātes rezultātu/iznākumu optimālu izpaušanu, ievērojot valsts/reģionālās datu aizsardzības prasības</w:t>
            </w:r>
          </w:p>
          <w:p>
            <w:pPr>
              <w:jc w:val="left"/>
              <w:rPr>
                <w:rFonts w:eastAsia="Times New Roman"/>
                <w:noProof/>
                <w:szCs w:val="24"/>
              </w:rPr>
            </w:pPr>
            <w:r>
              <w:rPr>
                <w:noProof/>
              </w:rPr>
              <w:t>Ir noteikti standarti un pamatnostādnes indivīda kompetenču atzīšanai, validācijai un sertifikācijai</w:t>
            </w:r>
          </w:p>
          <w:p>
            <w:pPr>
              <w:jc w:val="left"/>
              <w:rPr>
                <w:noProof/>
                <w:szCs w:val="24"/>
              </w:rPr>
            </w:pPr>
            <w:r>
              <w:rPr>
                <w:noProof/>
              </w:rPr>
              <w:t>PIA kvalifikācijas ir aprakstītas, izmantojot mācību rezultātus</w:t>
            </w:r>
          </w:p>
          <w:p>
            <w:pPr>
              <w:jc w:val="left"/>
              <w:rPr>
                <w:noProof/>
                <w:szCs w:val="24"/>
              </w:rPr>
            </w:pPr>
            <w:r>
              <w:rPr>
                <w:noProof/>
              </w:rPr>
              <w:t>Ir izveidoti mehānismi kvalifikāciju izstrādes, novērtēšanas un pārskatīšanas kvalitātes nodrošināšanai</w:t>
            </w:r>
          </w:p>
          <w:p>
            <w:pPr>
              <w:jc w:val="left"/>
              <w:rPr>
                <w:noProof/>
              </w:rPr>
            </w:pPr>
            <w:r>
              <w:rPr>
                <w:noProof/>
              </w:rPr>
              <w:t>PIA programmas ir izstrādātas tā, lai tās nodrošinātu elastīgus mācīšanās veidus un ātri reaģētu uz mainīgām darba tirgus vajadzībām</w:t>
            </w:r>
          </w:p>
        </w:tc>
        <w:tc>
          <w:tcPr>
            <w:tcW w:w="1920" w:type="pct"/>
            <w:vAlign w:val="center"/>
          </w:tcPr>
          <w:p>
            <w:pPr>
              <w:jc w:val="left"/>
              <w:rPr>
                <w:rFonts w:eastAsia="Times New Roman"/>
                <w:noProof/>
                <w:szCs w:val="24"/>
              </w:rPr>
            </w:pPr>
            <w:r>
              <w:rPr>
                <w:noProof/>
              </w:rPr>
              <w:t>Eiropas, valsts un reģionālie PI politikas mērķi/uzdevumi ir atspoguļoti PIA sniedzēju noteiktajos vietējos mērķrādītājos</w:t>
            </w:r>
          </w:p>
          <w:p>
            <w:pPr>
              <w:jc w:val="left"/>
              <w:rPr>
                <w:rFonts w:eastAsia="Times New Roman"/>
                <w:noProof/>
                <w:szCs w:val="24"/>
              </w:rPr>
            </w:pPr>
            <w:r>
              <w:rPr>
                <w:noProof/>
              </w:rPr>
              <w:t>Ir noteikti skaidri mērķi/uzdevumi un mērķrādītāji, un programmas tiek izstrādātas tā, lai tos izpildītu</w:t>
            </w:r>
          </w:p>
          <w:p>
            <w:pPr>
              <w:jc w:val="left"/>
              <w:rPr>
                <w:rFonts w:eastAsia="Times New Roman"/>
                <w:noProof/>
                <w:szCs w:val="24"/>
              </w:rPr>
            </w:pPr>
            <w:r>
              <w:rPr>
                <w:noProof/>
              </w:rPr>
              <w:t>Pastāvīgi notiek apspriešanās ar sociālajiem partneriem un visām citām attiecīgajām ieinteresētajām personām, lai apzinātu konkrētās vietējās/individuālās vajadzības</w:t>
            </w:r>
          </w:p>
          <w:p>
            <w:pPr>
              <w:jc w:val="left"/>
              <w:rPr>
                <w:rFonts w:eastAsia="Times New Roman"/>
                <w:noProof/>
                <w:szCs w:val="24"/>
              </w:rPr>
            </w:pPr>
            <w:r>
              <w:rPr>
                <w:noProof/>
              </w:rPr>
              <w:t>Pienākumi kvalitātes vadības un attīstības jomā ir skaidri sadalīti</w:t>
            </w:r>
          </w:p>
          <w:p>
            <w:pPr>
              <w:jc w:val="left"/>
              <w:rPr>
                <w:rFonts w:eastAsia="Times New Roman"/>
                <w:noProof/>
                <w:szCs w:val="24"/>
              </w:rPr>
            </w:pPr>
            <w:r>
              <w:rPr>
                <w:noProof/>
              </w:rPr>
              <w:t>Personāls agrīni iesaistās plānošanā, arī attiecībā uz kvalitātes attīstību</w:t>
            </w:r>
          </w:p>
          <w:p>
            <w:pPr>
              <w:jc w:val="left"/>
              <w:rPr>
                <w:rFonts w:eastAsia="Times New Roman"/>
                <w:noProof/>
                <w:szCs w:val="24"/>
              </w:rPr>
            </w:pPr>
            <w:r>
              <w:rPr>
                <w:noProof/>
              </w:rPr>
              <w:t>PIA sniedzēji plāno kopējas iniciatīvas ar attiecīgajām ieinteresētajām personām</w:t>
            </w:r>
          </w:p>
          <w:p>
            <w:pPr>
              <w:jc w:val="left"/>
              <w:rPr>
                <w:rFonts w:eastAsia="Times New Roman"/>
                <w:noProof/>
                <w:szCs w:val="24"/>
              </w:rPr>
            </w:pPr>
            <w:r>
              <w:rPr>
                <w:noProof/>
              </w:rPr>
              <w:t>Attiecīgās ieinteresētās personas piedalās vietējo vajadzību analīzes procesā</w:t>
            </w:r>
          </w:p>
          <w:p>
            <w:pPr>
              <w:jc w:val="left"/>
              <w:rPr>
                <w:rFonts w:eastAsia="Times New Roman"/>
                <w:noProof/>
                <w:szCs w:val="24"/>
              </w:rPr>
            </w:pPr>
            <w:r>
              <w:rPr>
                <w:noProof/>
              </w:rPr>
              <w:t xml:space="preserve">PIA sniedzējiem ir ieviesta skaidra un pārredzama kvalitātes nodrošināšanas sistēma </w:t>
            </w:r>
          </w:p>
          <w:p>
            <w:pPr>
              <w:jc w:val="left"/>
              <w:rPr>
                <w:rFonts w:eastAsia="Times New Roman"/>
                <w:noProof/>
                <w:szCs w:val="24"/>
              </w:rPr>
            </w:pPr>
            <w:r>
              <w:rPr>
                <w:noProof/>
              </w:rPr>
              <w:t xml:space="preserve">Ir izstrādāti pasākumi, lai nodrošinātu atbilstību datu aizsardzības noteikumiem </w:t>
            </w:r>
          </w:p>
          <w:p>
            <w:pPr>
              <w:jc w:val="left"/>
              <w:rPr>
                <w:noProof/>
              </w:rPr>
            </w:pPr>
          </w:p>
        </w:tc>
      </w:tr>
      <w:tr>
        <w:tc>
          <w:tcPr>
            <w:tcW w:w="1031" w:type="pct"/>
            <w:vAlign w:val="center"/>
          </w:tcPr>
          <w:p>
            <w:pPr>
              <w:jc w:val="left"/>
              <w:rPr>
                <w:noProof/>
              </w:rPr>
            </w:pPr>
            <w:r>
              <w:rPr>
                <w:noProof/>
              </w:rPr>
              <w:t>Apspriežoties ar ieinteresētajām personām, ir izstrādāti īstenošanas plāni, kuros ietverti skaidri principi</w:t>
            </w:r>
          </w:p>
        </w:tc>
        <w:tc>
          <w:tcPr>
            <w:tcW w:w="2049" w:type="pct"/>
            <w:vAlign w:val="center"/>
          </w:tcPr>
          <w:p>
            <w:pPr>
              <w:jc w:val="left"/>
              <w:rPr>
                <w:rFonts w:eastAsia="Times New Roman"/>
                <w:noProof/>
                <w:szCs w:val="24"/>
              </w:rPr>
            </w:pPr>
            <w:r>
              <w:rPr>
                <w:noProof/>
              </w:rPr>
              <w:t>Sadarbojoties ar sociālajiem partneriem, PIA sniedzējiem un citām attiecīgajām ieinteresētajām personām dažādos līmeņos, īstenošanas plāni tiek ieviesti</w:t>
            </w:r>
          </w:p>
          <w:p>
            <w:pPr>
              <w:jc w:val="left"/>
              <w:rPr>
                <w:rFonts w:eastAsia="Times New Roman"/>
                <w:noProof/>
                <w:szCs w:val="24"/>
              </w:rPr>
            </w:pPr>
            <w:r>
              <w:rPr>
                <w:noProof/>
              </w:rPr>
              <w:t>Īstenošanas plānos ir ņemtas vērā resursu vajadzības, lietotāju spēja un atbalstam vajadzīgie rīki un vadlīnijas</w:t>
            </w:r>
          </w:p>
          <w:p>
            <w:pPr>
              <w:jc w:val="left"/>
              <w:rPr>
                <w:rFonts w:eastAsia="Times New Roman"/>
                <w:noProof/>
                <w:szCs w:val="24"/>
              </w:rPr>
            </w:pPr>
            <w:r>
              <w:rPr>
                <w:noProof/>
              </w:rPr>
              <w:t>Ir izstrādātas vadlīnijas un standarti īstenošanai dažādos līmeņos. Šādās vadlīnijās un standartos ir ietverts kvalifikāciju novērtējums, validācija un sertifikācija</w:t>
            </w:r>
          </w:p>
          <w:p>
            <w:pPr>
              <w:jc w:val="left"/>
              <w:rPr>
                <w:rFonts w:eastAsia="Times New Roman"/>
                <w:noProof/>
                <w:szCs w:val="24"/>
              </w:rPr>
            </w:pPr>
            <w:r>
              <w:rPr>
                <w:noProof/>
              </w:rPr>
              <w:t>Īstenošanas plāni ietver īpašu atbalstu skolotāju un pasniedzēju apmācībai, tostarp digitālo prasmju un vides ilgtspējas jomā.</w:t>
            </w:r>
          </w:p>
          <w:p>
            <w:pPr>
              <w:jc w:val="left"/>
              <w:rPr>
                <w:rFonts w:eastAsia="Times New Roman"/>
                <w:noProof/>
                <w:szCs w:val="24"/>
              </w:rPr>
            </w:pPr>
            <w:r>
              <w:rPr>
                <w:noProof/>
              </w:rPr>
              <w:t>PIA sniedzēju pienākumi īstenošanas procesā ir skaidri aprakstīti un ir pārredzami</w:t>
            </w:r>
          </w:p>
          <w:p>
            <w:pPr>
              <w:jc w:val="left"/>
              <w:rPr>
                <w:noProof/>
              </w:rPr>
            </w:pPr>
            <w:r>
              <w:rPr>
                <w:noProof/>
              </w:rPr>
              <w:t>Ir izstrādāts valsts un/vai reģionāls kvalitātes nodrošināšanas satvars, kurā ietvertas vadlīnijas un kvalitātes standarti PIA sniedzēju līmenī, lai veicinātu pastāvīgus uzlabojumus un pašregulējumu</w:t>
            </w:r>
          </w:p>
        </w:tc>
        <w:tc>
          <w:tcPr>
            <w:tcW w:w="1920" w:type="pct"/>
            <w:vAlign w:val="center"/>
          </w:tcPr>
          <w:p>
            <w:pPr>
              <w:jc w:val="left"/>
              <w:rPr>
                <w:rFonts w:eastAsia="Times New Roman"/>
                <w:noProof/>
                <w:szCs w:val="24"/>
              </w:rPr>
            </w:pPr>
            <w:r>
              <w:rPr>
                <w:noProof/>
              </w:rPr>
              <w:t>Ir veikta atbilstoša resursu iekšēja saskaņošana/piešķiršana, lai sasniegtu īstenošanas plānos noteiktos mērķrādītājus</w:t>
            </w:r>
          </w:p>
          <w:p>
            <w:pPr>
              <w:jc w:val="left"/>
              <w:rPr>
                <w:rFonts w:eastAsia="Times New Roman"/>
                <w:noProof/>
                <w:szCs w:val="24"/>
              </w:rPr>
            </w:pPr>
            <w:r>
              <w:rPr>
                <w:noProof/>
              </w:rPr>
              <w:t>Lai īstenotu plānotās darbības, tiek skaidri atbalstītas attiecīgas un iekļaujošas partnerības, ieskaitot partnerības starp skolotājiem un pasniedzējiem</w:t>
            </w:r>
          </w:p>
          <w:p>
            <w:pPr>
              <w:jc w:val="left"/>
              <w:rPr>
                <w:rFonts w:eastAsia="Times New Roman"/>
                <w:noProof/>
                <w:szCs w:val="24"/>
              </w:rPr>
            </w:pPr>
            <w:r>
              <w:rPr>
                <w:noProof/>
              </w:rPr>
              <w:t>Stratēģiskajā personāla kompetenču attīstības plānā ir noteikta vajadzība nodrošināt skolotāju un pasniedzēju apmācību</w:t>
            </w:r>
          </w:p>
          <w:p>
            <w:pPr>
              <w:jc w:val="left"/>
              <w:rPr>
                <w:rFonts w:eastAsia="Times New Roman"/>
                <w:noProof/>
                <w:szCs w:val="24"/>
              </w:rPr>
            </w:pPr>
            <w:r>
              <w:rPr>
                <w:noProof/>
              </w:rPr>
              <w:t>Personāls apņemas apgūt regulāru apmācību un attīstīt sadarbību ar attiecīgajām ārējām ieinteresētajām personām, lai atbalstītu spēju veidošanu un kvalitātes uzlabošanu, kā arī uzlabotu darbības rezultātus</w:t>
            </w:r>
          </w:p>
          <w:p>
            <w:pPr>
              <w:jc w:val="left"/>
              <w:rPr>
                <w:noProof/>
                <w:szCs w:val="24"/>
              </w:rPr>
            </w:pPr>
            <w:r>
              <w:rPr>
                <w:noProof/>
              </w:rPr>
              <w:t>PIA sniedzēju programmas ļauj izglītojamajiem sasniegt gaidītos mācību rezultātus un iesaistīties mācību procesā</w:t>
            </w:r>
          </w:p>
          <w:p>
            <w:pPr>
              <w:jc w:val="left"/>
              <w:rPr>
                <w:noProof/>
                <w:szCs w:val="24"/>
              </w:rPr>
            </w:pPr>
            <w:r>
              <w:rPr>
                <w:noProof/>
              </w:rPr>
              <w:t>PIA sniedzēji reaģē uz indivīdu mācību vajadzībām, izmantojot uz izglītojamo vērstu pieeju, kas ļauj izglītojamajiem sasniegt gaidītos mācību rezultātus</w:t>
            </w:r>
          </w:p>
          <w:p>
            <w:pPr>
              <w:jc w:val="left"/>
              <w:rPr>
                <w:noProof/>
                <w:szCs w:val="24"/>
              </w:rPr>
            </w:pPr>
            <w:r>
              <w:rPr>
                <w:noProof/>
              </w:rPr>
              <w:t>PIA sniedzēji veicina mācīšanas un mācīšanās metožu inovāciju skolās un darbavietās, izmantojot digitālās tehnoloģijas un tiešsaistes mācību rīkus.</w:t>
            </w:r>
          </w:p>
          <w:p>
            <w:pPr>
              <w:jc w:val="left"/>
              <w:rPr>
                <w:noProof/>
              </w:rPr>
            </w:pPr>
            <w:r>
              <w:rPr>
                <w:noProof/>
              </w:rPr>
              <w:t>PIA sniedzēji izmanto derīgas, precīzas un uzticamas metodes, lai novērtu indivīdu mācību rezultātus</w:t>
            </w:r>
          </w:p>
        </w:tc>
      </w:tr>
      <w:tr>
        <w:tc>
          <w:tcPr>
            <w:tcW w:w="1031" w:type="pct"/>
            <w:vAlign w:val="center"/>
          </w:tcPr>
          <w:p>
            <w:pPr>
              <w:jc w:val="left"/>
              <w:rPr>
                <w:rFonts w:eastAsia="Times New Roman"/>
                <w:noProof/>
                <w:szCs w:val="24"/>
              </w:rPr>
            </w:pPr>
            <w:r>
              <w:rPr>
                <w:noProof/>
              </w:rPr>
              <w:t>Regulāri ar vadības atbalstu tiek veikta rezultātu un</w:t>
            </w:r>
          </w:p>
          <w:p>
            <w:pPr>
              <w:jc w:val="left"/>
              <w:rPr>
                <w:noProof/>
              </w:rPr>
            </w:pPr>
            <w:r>
              <w:rPr>
                <w:noProof/>
              </w:rPr>
              <w:t>procesu izvērtēšana</w:t>
            </w:r>
          </w:p>
        </w:tc>
        <w:tc>
          <w:tcPr>
            <w:tcW w:w="2049" w:type="pct"/>
            <w:vAlign w:val="center"/>
          </w:tcPr>
          <w:p>
            <w:pPr>
              <w:jc w:val="left"/>
              <w:rPr>
                <w:rFonts w:eastAsia="Times New Roman"/>
                <w:noProof/>
                <w:szCs w:val="24"/>
              </w:rPr>
            </w:pPr>
            <w:r>
              <w:rPr>
                <w:noProof/>
              </w:rPr>
              <w:t>Ir izstrādāta izvērtēšanas metodika, kas aptver iekšējo un ārējo izvērtēšanu</w:t>
            </w:r>
          </w:p>
          <w:p>
            <w:pPr>
              <w:jc w:val="left"/>
              <w:rPr>
                <w:rFonts w:eastAsia="Times New Roman"/>
                <w:noProof/>
                <w:szCs w:val="24"/>
              </w:rPr>
            </w:pPr>
            <w:r>
              <w:rPr>
                <w:noProof/>
              </w:rPr>
              <w:t>Ieinteresēto personu iesaistīšanās uzraudzības un izvērtēšanas procesā ir saskaņota un skaidri aprakstīta</w:t>
            </w:r>
          </w:p>
          <w:p>
            <w:pPr>
              <w:jc w:val="left"/>
              <w:rPr>
                <w:rFonts w:eastAsia="Times New Roman"/>
                <w:noProof/>
                <w:szCs w:val="24"/>
              </w:rPr>
            </w:pPr>
            <w:r>
              <w:rPr>
                <w:noProof/>
              </w:rPr>
              <w:t>Valsts/reģiona kvalitātes uzlabošanas un nodrošināšanas standarti un procesi ir atbilstīgi un samērīgi attiecībā pret vajadzībām</w:t>
            </w:r>
          </w:p>
          <w:p>
            <w:pPr>
              <w:jc w:val="left"/>
              <w:rPr>
                <w:rFonts w:eastAsia="Times New Roman"/>
                <w:noProof/>
                <w:szCs w:val="24"/>
              </w:rPr>
            </w:pPr>
            <w:r>
              <w:rPr>
                <w:noProof/>
              </w:rPr>
              <w:t>Sistēmām atkarībā no konkrētā gadījuma piemēro pašnovērtējumu, iekšējo izvērtēšanu vai ārējo izvērtēšanu</w:t>
            </w:r>
          </w:p>
          <w:p>
            <w:pPr>
              <w:jc w:val="left"/>
              <w:rPr>
                <w:rFonts w:eastAsia="Times New Roman"/>
                <w:noProof/>
                <w:szCs w:val="24"/>
              </w:rPr>
            </w:pPr>
            <w:r>
              <w:rPr>
                <w:noProof/>
              </w:rPr>
              <w:t>Tiek īstenotas agrīnās brīdināšanas sistēmas</w:t>
            </w:r>
          </w:p>
          <w:p>
            <w:pPr>
              <w:jc w:val="left"/>
              <w:rPr>
                <w:rFonts w:eastAsia="Times New Roman"/>
                <w:noProof/>
                <w:szCs w:val="24"/>
              </w:rPr>
            </w:pPr>
            <w:r>
              <w:rPr>
                <w:noProof/>
              </w:rPr>
              <w:t>Tiek piemēroti darbības rādītāji</w:t>
            </w:r>
          </w:p>
          <w:p>
            <w:pPr>
              <w:jc w:val="left"/>
              <w:rPr>
                <w:noProof/>
              </w:rPr>
            </w:pPr>
            <w:r>
              <w:rPr>
                <w:noProof/>
              </w:rPr>
              <w:t>Notiek atbilstoša, regulāra un saskaņota datu vākšana, lai novērtētu panākumus un apzinātu jomas, kurās veicami uzlabojumi. Ir izstrādātas atbilstošas datu vākšanas metodikas, piemēram, aptaujas anketas un rādītāji/metrika</w:t>
            </w:r>
          </w:p>
        </w:tc>
        <w:tc>
          <w:tcPr>
            <w:tcW w:w="1920" w:type="pct"/>
            <w:vAlign w:val="center"/>
          </w:tcPr>
          <w:p>
            <w:pPr>
              <w:jc w:val="left"/>
              <w:rPr>
                <w:rFonts w:eastAsia="Times New Roman"/>
                <w:noProof/>
                <w:szCs w:val="24"/>
              </w:rPr>
            </w:pPr>
            <w:r>
              <w:rPr>
                <w:noProof/>
              </w:rPr>
              <w:t>Periodiski tiek veikta pašnovērtēšana/pašizvērtēšana saskaņā ar valsts un reģionu noteikumiem/regulējumiem vai pēc PIA sniedzēju iniciatīvas, aptverot arī PIA iestāžu digitālo gatavību un vides ilgtspēju.</w:t>
            </w:r>
          </w:p>
          <w:p>
            <w:pPr>
              <w:jc w:val="left"/>
              <w:rPr>
                <w:rFonts w:eastAsia="Times New Roman"/>
                <w:noProof/>
                <w:szCs w:val="24"/>
              </w:rPr>
            </w:pPr>
            <w:r>
              <w:rPr>
                <w:noProof/>
              </w:rPr>
              <w:t>Izvērtēšana un pārskatīšana aptver izglītības un apmācības procesus un rezultātus, tostarp izglītojamo apmierinātības, personāla apmierinātības un viņu darbības rādītāju novērtēšanu.</w:t>
            </w:r>
          </w:p>
          <w:p>
            <w:pPr>
              <w:jc w:val="left"/>
              <w:rPr>
                <w:rFonts w:eastAsia="Times New Roman"/>
                <w:noProof/>
                <w:szCs w:val="24"/>
              </w:rPr>
            </w:pPr>
            <w:r>
              <w:rPr>
                <w:noProof/>
              </w:rPr>
              <w:t>Izvērtēšana un pārskatīšana ietver datu vākšanu un izmantošanu un atbilstošus un efektīvus mehānismus iekšējo un ārējo ieinteresēto personu iesaistīšanai</w:t>
            </w:r>
          </w:p>
          <w:p>
            <w:pPr>
              <w:jc w:val="left"/>
              <w:rPr>
                <w:noProof/>
              </w:rPr>
            </w:pPr>
            <w:r>
              <w:rPr>
                <w:noProof/>
              </w:rPr>
              <w:t>Tiek īstenotas agrīnās brīdināšanas sistēmas</w:t>
            </w:r>
          </w:p>
        </w:tc>
      </w:tr>
      <w:tr>
        <w:tc>
          <w:tcPr>
            <w:tcW w:w="1031" w:type="pct"/>
            <w:vAlign w:val="center"/>
          </w:tcPr>
          <w:p>
            <w:pPr>
              <w:jc w:val="left"/>
              <w:rPr>
                <w:noProof/>
                <w:szCs w:val="24"/>
              </w:rPr>
            </w:pPr>
            <w:r>
              <w:rPr>
                <w:noProof/>
              </w:rPr>
              <w:t>Pārskatīšana</w:t>
            </w:r>
          </w:p>
        </w:tc>
        <w:tc>
          <w:tcPr>
            <w:tcW w:w="2049" w:type="pct"/>
            <w:vAlign w:val="center"/>
          </w:tcPr>
          <w:p>
            <w:pPr>
              <w:tabs>
                <w:tab w:val="left" w:pos="1047"/>
              </w:tabs>
              <w:jc w:val="left"/>
              <w:rPr>
                <w:rFonts w:eastAsia="Times New Roman"/>
                <w:noProof/>
                <w:szCs w:val="24"/>
              </w:rPr>
            </w:pPr>
            <w:r>
              <w:rPr>
                <w:noProof/>
              </w:rPr>
              <w:t>Ir noteiktas procedūras, mehānismi un instrumenti pārskatīšanas veikšanai, un tos izmanto izglītības un apmācības sniegšanas kvalitātes uzlabošanai visos līmeņos</w:t>
            </w:r>
          </w:p>
          <w:p>
            <w:pPr>
              <w:jc w:val="left"/>
              <w:rPr>
                <w:rFonts w:eastAsia="Times New Roman"/>
                <w:noProof/>
                <w:szCs w:val="24"/>
              </w:rPr>
            </w:pPr>
            <w:r>
              <w:rPr>
                <w:noProof/>
              </w:rPr>
              <w:t>Procesi tiek regulāri pārskatīti, un ir izstrādāti rīcības plāni izmaiņu ieviešanai. Sistēmas ir attiecīgi pielāgotas</w:t>
            </w:r>
          </w:p>
          <w:p>
            <w:pPr>
              <w:jc w:val="left"/>
              <w:rPr>
                <w:noProof/>
                <w:szCs w:val="24"/>
              </w:rPr>
            </w:pPr>
            <w:r>
              <w:rPr>
                <w:noProof/>
              </w:rPr>
              <w:t>Informācija par izvērtēšanas rezultātiem tiek publiskota</w:t>
            </w:r>
          </w:p>
        </w:tc>
        <w:tc>
          <w:tcPr>
            <w:tcW w:w="1920" w:type="pct"/>
            <w:vAlign w:val="center"/>
          </w:tcPr>
          <w:p>
            <w:pPr>
              <w:tabs>
                <w:tab w:val="left" w:pos="1047"/>
              </w:tabs>
              <w:jc w:val="left"/>
              <w:rPr>
                <w:rFonts w:eastAsia="Times New Roman"/>
                <w:noProof/>
                <w:szCs w:val="24"/>
              </w:rPr>
            </w:pPr>
            <w:r>
              <w:rPr>
                <w:noProof/>
              </w:rPr>
              <w:t>Tiek apkopotas izglītojamo atsauksmes par viņu individuālo mācību pieredzi un par mācību un mācīšanas vidi. Šīs atsauksmes kopā ar skolotāju, pasniedzēju un visu citu attiecīgo ieinteresēto personu atsauksmēm tiek izmantotas turpmākās rīcības noteikšanai</w:t>
            </w:r>
          </w:p>
          <w:p>
            <w:pPr>
              <w:tabs>
                <w:tab w:val="left" w:pos="1047"/>
              </w:tabs>
              <w:jc w:val="left"/>
              <w:rPr>
                <w:rFonts w:eastAsia="Times New Roman"/>
                <w:noProof/>
                <w:szCs w:val="24"/>
              </w:rPr>
            </w:pPr>
            <w:r>
              <w:rPr>
                <w:noProof/>
              </w:rPr>
              <w:t>Informācija par pārskatīšanas rezultātiem ir plaši un publiski pieejama</w:t>
            </w:r>
          </w:p>
          <w:p>
            <w:pPr>
              <w:tabs>
                <w:tab w:val="left" w:pos="1047"/>
              </w:tabs>
              <w:jc w:val="left"/>
              <w:rPr>
                <w:noProof/>
                <w:szCs w:val="24"/>
              </w:rPr>
            </w:pPr>
            <w:r>
              <w:rPr>
                <w:noProof/>
              </w:rPr>
              <w:t>Atsauksmju sniegšanas un pārskatīšanas procedūras ir daļa no organizācijas stratēģiskā mācību procesa, atbalsta augstas kvalitātes izglītības un apmācības sniegšanas attīstību un uzlabo iespējas izglītojamajiem.</w:t>
            </w:r>
          </w:p>
          <w:p>
            <w:pPr>
              <w:jc w:val="left"/>
              <w:rPr>
                <w:noProof/>
              </w:rPr>
            </w:pPr>
            <w:r>
              <w:rPr>
                <w:noProof/>
              </w:rPr>
              <w:t>Izvērtēšanas procesa rezultāti/iznākumi tiek apspriesti ar attiecīgajām ieinteresētajām personām, un ir ieviesti atbilstoši rīcības plāni</w:t>
            </w:r>
          </w:p>
        </w:tc>
      </w:tr>
    </w:tbl>
    <w:p>
      <w:pPr>
        <w:pageBreakBefore/>
        <w:widowControl w:val="0"/>
        <w:tabs>
          <w:tab w:val="left" w:pos="842"/>
        </w:tabs>
        <w:rPr>
          <w:rFonts w:eastAsia="Times New Roman"/>
          <w:b/>
          <w:noProof/>
          <w:szCs w:val="24"/>
        </w:rPr>
      </w:pPr>
      <w:r>
        <w:rPr>
          <w:b/>
          <w:noProof/>
          <w:szCs w:val="24"/>
        </w:rPr>
        <w:t xml:space="preserve">B daļa. </w:t>
      </w:r>
      <w:r>
        <w:rPr>
          <w:b/>
          <w:i/>
          <w:noProof/>
          <w:szCs w:val="24"/>
        </w:rPr>
        <w:t>EQAVET</w:t>
      </w:r>
      <w:r>
        <w:rPr>
          <w:b/>
          <w:noProof/>
          <w:szCs w:val="24"/>
        </w:rPr>
        <w:t xml:space="preserve"> rādītāju atsauces kopums</w:t>
      </w:r>
    </w:p>
    <w:p>
      <w:pPr>
        <w:widowControl w:val="0"/>
        <w:tabs>
          <w:tab w:val="left" w:pos="842"/>
        </w:tabs>
        <w:rPr>
          <w:rFonts w:eastAsia="Times New Roman"/>
          <w:noProof/>
          <w:szCs w:val="24"/>
        </w:rPr>
      </w:pPr>
      <w:r>
        <w:rPr>
          <w:noProof/>
        </w:rPr>
        <w:t xml:space="preserve">Šajā iedaļā ir noteikts atsauces rādītāju kopums, ko var izmantot, lai atbalstītu valsts/reģionālo PIS sistēmu un/vai PIA sniedzēju izvērtēšanu un kvalitātes uzlabošanu, kad tiek īstenota </w:t>
      </w:r>
      <w:r>
        <w:rPr>
          <w:i/>
          <w:noProof/>
        </w:rPr>
        <w:t>EQAVET</w:t>
      </w:r>
      <w:r>
        <w:rPr>
          <w:noProof/>
        </w:rPr>
        <w:t xml:space="preserve"> ietvarstruktūra. </w:t>
      </w:r>
    </w:p>
    <w:tbl>
      <w:tblPr>
        <w:tblStyle w:val="TableGrid"/>
        <w:tblW w:w="9289" w:type="dxa"/>
        <w:tblLayout w:type="fixed"/>
        <w:tblLook w:val="04A0" w:firstRow="1" w:lastRow="0" w:firstColumn="1" w:lastColumn="0" w:noHBand="0" w:noVBand="1"/>
      </w:tblPr>
      <w:tblGrid>
        <w:gridCol w:w="3652"/>
        <w:gridCol w:w="2126"/>
        <w:gridCol w:w="3511"/>
      </w:tblGrid>
      <w:tr>
        <w:trPr>
          <w:trHeight w:val="20"/>
          <w:tblHeader/>
        </w:trPr>
        <w:tc>
          <w:tcPr>
            <w:tcW w:w="3652" w:type="dxa"/>
            <w:shd w:val="clear" w:color="auto" w:fill="F2F2F2" w:themeFill="background1" w:themeFillShade="F2"/>
            <w:vAlign w:val="center"/>
          </w:tcPr>
          <w:p>
            <w:pPr>
              <w:jc w:val="center"/>
              <w:rPr>
                <w:b/>
                <w:bCs/>
                <w:noProof/>
                <w:szCs w:val="24"/>
              </w:rPr>
            </w:pPr>
            <w:r>
              <w:rPr>
                <w:b/>
                <w:noProof/>
                <w:szCs w:val="24"/>
              </w:rPr>
              <w:t>Rādītājs</w:t>
            </w:r>
          </w:p>
        </w:tc>
        <w:tc>
          <w:tcPr>
            <w:tcW w:w="2126" w:type="dxa"/>
            <w:shd w:val="clear" w:color="auto" w:fill="F2F2F2" w:themeFill="background1" w:themeFillShade="F2"/>
            <w:vAlign w:val="center"/>
          </w:tcPr>
          <w:p>
            <w:pPr>
              <w:jc w:val="center"/>
              <w:rPr>
                <w:b/>
                <w:bCs/>
                <w:noProof/>
                <w:szCs w:val="24"/>
              </w:rPr>
            </w:pPr>
            <w:r>
              <w:rPr>
                <w:b/>
                <w:noProof/>
                <w:szCs w:val="24"/>
              </w:rPr>
              <w:t>Rādītāja veids</w:t>
            </w:r>
          </w:p>
        </w:tc>
        <w:tc>
          <w:tcPr>
            <w:tcW w:w="3511" w:type="dxa"/>
            <w:shd w:val="clear" w:color="auto" w:fill="F2F2F2" w:themeFill="background1" w:themeFillShade="F2"/>
            <w:vAlign w:val="center"/>
          </w:tcPr>
          <w:p>
            <w:pPr>
              <w:jc w:val="center"/>
              <w:rPr>
                <w:b/>
                <w:bCs/>
                <w:noProof/>
                <w:szCs w:val="24"/>
              </w:rPr>
            </w:pPr>
            <w:r>
              <w:rPr>
                <w:b/>
                <w:noProof/>
                <w:szCs w:val="24"/>
              </w:rPr>
              <w:t>Politikas mērķis</w:t>
            </w:r>
          </w:p>
        </w:tc>
      </w:tr>
      <w:tr>
        <w:trPr>
          <w:trHeight w:val="20"/>
        </w:trPr>
        <w:tc>
          <w:tcPr>
            <w:tcW w:w="9289" w:type="dxa"/>
            <w:gridSpan w:val="3"/>
            <w:vAlign w:val="center"/>
          </w:tcPr>
          <w:p>
            <w:pPr>
              <w:jc w:val="left"/>
              <w:rPr>
                <w:b/>
                <w:bCs/>
                <w:noProof/>
                <w:szCs w:val="24"/>
              </w:rPr>
            </w:pPr>
            <w:r>
              <w:rPr>
                <w:b/>
                <w:noProof/>
                <w:szCs w:val="24"/>
              </w:rPr>
              <w:t>Kvalitātes nodrošinājuma pamatrādītāji</w:t>
            </w:r>
          </w:p>
        </w:tc>
      </w:tr>
      <w:tr>
        <w:trPr>
          <w:trHeight w:val="20"/>
        </w:trPr>
        <w:tc>
          <w:tcPr>
            <w:tcW w:w="9289" w:type="dxa"/>
            <w:gridSpan w:val="3"/>
            <w:vAlign w:val="center"/>
          </w:tcPr>
          <w:p>
            <w:pPr>
              <w:jc w:val="left"/>
              <w:rPr>
                <w:rFonts w:cstheme="minorBidi"/>
                <w:b/>
                <w:i/>
                <w:noProof/>
              </w:rPr>
            </w:pPr>
            <w:r>
              <w:rPr>
                <w:b/>
                <w:i/>
                <w:noProof/>
              </w:rPr>
              <w:t xml:space="preserve">1. </w:t>
            </w:r>
          </w:p>
        </w:tc>
      </w:tr>
      <w:tr>
        <w:trPr>
          <w:trHeight w:val="20"/>
        </w:trPr>
        <w:tc>
          <w:tcPr>
            <w:tcW w:w="3652" w:type="dxa"/>
            <w:vAlign w:val="center"/>
          </w:tcPr>
          <w:p>
            <w:pPr>
              <w:tabs>
                <w:tab w:val="left" w:pos="1047"/>
              </w:tabs>
              <w:jc w:val="left"/>
              <w:rPr>
                <w:rFonts w:eastAsia="Times New Roman"/>
                <w:noProof/>
                <w:szCs w:val="24"/>
              </w:rPr>
            </w:pPr>
            <w:r>
              <w:rPr>
                <w:noProof/>
              </w:rPr>
              <w:t>Kvalitātes nodrošināšanas sistēmu nozīmīgums PIA sniedzējiem:</w:t>
            </w:r>
          </w:p>
          <w:p>
            <w:pPr>
              <w:tabs>
                <w:tab w:val="left" w:pos="426"/>
              </w:tabs>
              <w:ind w:left="426" w:hanging="426"/>
              <w:jc w:val="left"/>
              <w:rPr>
                <w:rFonts w:eastAsia="Times New Roman"/>
                <w:noProof/>
                <w:szCs w:val="24"/>
              </w:rPr>
            </w:pPr>
            <w:r>
              <w:rPr>
                <w:noProof/>
              </w:rPr>
              <w:t>a)</w:t>
            </w:r>
            <w:r>
              <w:rPr>
                <w:noProof/>
              </w:rPr>
              <w:tab/>
              <w:t>to PIA sniedzēju īpatsvars, kuri piemēro iekšējās kvalitātes nodrošināšanas sistēmas, kas noteiktas likumā / pēc savas iniciatīvas</w:t>
            </w:r>
          </w:p>
          <w:p>
            <w:pPr>
              <w:tabs>
                <w:tab w:val="left" w:pos="426"/>
              </w:tabs>
              <w:ind w:left="426" w:hanging="426"/>
              <w:jc w:val="left"/>
              <w:rPr>
                <w:rFonts w:eastAsia="Times New Roman"/>
                <w:noProof/>
                <w:szCs w:val="24"/>
              </w:rPr>
            </w:pPr>
            <w:r>
              <w:rPr>
                <w:noProof/>
              </w:rPr>
              <w:t>b)</w:t>
            </w:r>
            <w:r>
              <w:rPr>
                <w:noProof/>
              </w:rPr>
              <w:tab/>
              <w:t>akreditēto PIA sniedzēju īpatsvars</w:t>
            </w:r>
          </w:p>
        </w:tc>
        <w:tc>
          <w:tcPr>
            <w:tcW w:w="2126" w:type="dxa"/>
            <w:vAlign w:val="center"/>
          </w:tcPr>
          <w:p>
            <w:pPr>
              <w:jc w:val="left"/>
              <w:rPr>
                <w:noProof/>
                <w:w w:val="105"/>
                <w:szCs w:val="24"/>
              </w:rPr>
            </w:pPr>
            <w:r>
              <w:rPr>
                <w:noProof/>
              </w:rPr>
              <w:t>Konteksta rādītājs / ievadrādītājs</w:t>
            </w:r>
          </w:p>
        </w:tc>
        <w:tc>
          <w:tcPr>
            <w:tcW w:w="3511" w:type="dxa"/>
            <w:vAlign w:val="center"/>
          </w:tcPr>
          <w:p>
            <w:pPr>
              <w:jc w:val="left"/>
              <w:rPr>
                <w:rFonts w:eastAsia="Times New Roman"/>
                <w:noProof/>
                <w:szCs w:val="24"/>
              </w:rPr>
            </w:pPr>
            <w:r>
              <w:rPr>
                <w:noProof/>
              </w:rPr>
              <w:t>Veicināt kvalitātes uzlabošanas kultūru PIA sniedzēju līmenī</w:t>
            </w:r>
          </w:p>
          <w:p>
            <w:pPr>
              <w:jc w:val="left"/>
              <w:rPr>
                <w:rFonts w:eastAsia="Times New Roman"/>
                <w:noProof/>
                <w:szCs w:val="24"/>
              </w:rPr>
            </w:pPr>
            <w:r>
              <w:rPr>
                <w:noProof/>
              </w:rPr>
              <w:t>Palielināt apmācības kvalitātes pārredzamību</w:t>
            </w:r>
          </w:p>
          <w:p>
            <w:pPr>
              <w:jc w:val="left"/>
              <w:rPr>
                <w:noProof/>
                <w:w w:val="105"/>
                <w:szCs w:val="24"/>
              </w:rPr>
            </w:pPr>
            <w:r>
              <w:rPr>
                <w:noProof/>
              </w:rPr>
              <w:t>Uzlabot savstarpējo uzticēšanos apmācības nodrošināšanā</w:t>
            </w:r>
          </w:p>
        </w:tc>
      </w:tr>
      <w:tr>
        <w:trPr>
          <w:trHeight w:val="20"/>
        </w:trPr>
        <w:tc>
          <w:tcPr>
            <w:tcW w:w="9289" w:type="dxa"/>
            <w:gridSpan w:val="3"/>
            <w:vAlign w:val="center"/>
          </w:tcPr>
          <w:p>
            <w:pPr>
              <w:jc w:val="left"/>
              <w:rPr>
                <w:rFonts w:cstheme="minorBidi"/>
                <w:b/>
                <w:i/>
                <w:noProof/>
              </w:rPr>
            </w:pPr>
            <w:r>
              <w:rPr>
                <w:b/>
                <w:i/>
                <w:noProof/>
              </w:rPr>
              <w:t>2.</w:t>
            </w:r>
          </w:p>
        </w:tc>
      </w:tr>
      <w:tr>
        <w:trPr>
          <w:trHeight w:val="20"/>
        </w:trPr>
        <w:tc>
          <w:tcPr>
            <w:tcW w:w="3652" w:type="dxa"/>
            <w:vAlign w:val="center"/>
          </w:tcPr>
          <w:p>
            <w:pPr>
              <w:jc w:val="left"/>
              <w:rPr>
                <w:rFonts w:eastAsia="Times New Roman"/>
                <w:noProof/>
                <w:szCs w:val="24"/>
              </w:rPr>
            </w:pPr>
            <w:r>
              <w:rPr>
                <w:noProof/>
              </w:rPr>
              <w:t>Ieguldījumi skolotāju un pasniedzēju apmācībā:</w:t>
            </w:r>
          </w:p>
          <w:p>
            <w:pPr>
              <w:ind w:left="426" w:hanging="426"/>
              <w:jc w:val="left"/>
              <w:rPr>
                <w:rFonts w:eastAsia="Times New Roman"/>
                <w:noProof/>
                <w:szCs w:val="24"/>
              </w:rPr>
            </w:pPr>
            <w:r>
              <w:rPr>
                <w:noProof/>
              </w:rPr>
              <w:t>a)</w:t>
            </w:r>
            <w:r>
              <w:rPr>
                <w:noProof/>
              </w:rPr>
              <w:tab/>
              <w:t>to skolotāju un pasniedzēju īpatsvars, kuri piedalās tālākapmācībā</w:t>
            </w:r>
          </w:p>
          <w:p>
            <w:pPr>
              <w:ind w:left="426" w:hanging="426"/>
              <w:jc w:val="left"/>
              <w:rPr>
                <w:rFonts w:eastAsia="Times New Roman"/>
                <w:noProof/>
                <w:szCs w:val="24"/>
                <w:lang w:bidi="en-US"/>
              </w:rPr>
            </w:pPr>
          </w:p>
          <w:p>
            <w:pPr>
              <w:ind w:left="426" w:hanging="426"/>
              <w:jc w:val="left"/>
              <w:rPr>
                <w:rFonts w:eastAsia="Times New Roman"/>
                <w:noProof/>
                <w:szCs w:val="24"/>
              </w:rPr>
            </w:pPr>
            <w:r>
              <w:rPr>
                <w:noProof/>
              </w:rPr>
              <w:t>b)</w:t>
            </w:r>
            <w:r>
              <w:rPr>
                <w:noProof/>
              </w:rPr>
              <w:tab/>
              <w:t>ieguldīto līdzekļu, tostarp digitālajām prasmēm atvēlēto līdzekļu, apjoms</w:t>
            </w:r>
          </w:p>
        </w:tc>
        <w:tc>
          <w:tcPr>
            <w:tcW w:w="2126" w:type="dxa"/>
            <w:vAlign w:val="center"/>
          </w:tcPr>
          <w:p>
            <w:pPr>
              <w:jc w:val="left"/>
              <w:rPr>
                <w:noProof/>
                <w:szCs w:val="24"/>
              </w:rPr>
            </w:pPr>
            <w:r>
              <w:rPr>
                <w:noProof/>
              </w:rPr>
              <w:t>Ievadrādītājs / procesa rādītājs</w:t>
            </w:r>
          </w:p>
        </w:tc>
        <w:tc>
          <w:tcPr>
            <w:tcW w:w="3511" w:type="dxa"/>
            <w:vAlign w:val="center"/>
          </w:tcPr>
          <w:p>
            <w:pPr>
              <w:jc w:val="left"/>
              <w:rPr>
                <w:rFonts w:eastAsia="Times New Roman"/>
                <w:noProof/>
                <w:szCs w:val="24"/>
              </w:rPr>
            </w:pPr>
            <w:r>
              <w:rPr>
                <w:noProof/>
              </w:rPr>
              <w:t>Veicināt skolotāju un pasniedzēju iesaisti PIA kvalitātes pilnveides procesā</w:t>
            </w:r>
          </w:p>
          <w:p>
            <w:pPr>
              <w:jc w:val="left"/>
              <w:rPr>
                <w:rFonts w:eastAsia="Times New Roman"/>
                <w:noProof/>
                <w:szCs w:val="24"/>
              </w:rPr>
            </w:pPr>
            <w:r>
              <w:rPr>
                <w:noProof/>
              </w:rPr>
              <w:t>Uzlabot PIA spēju reaģēt uz mainīgajām darba tirgus vajadzībām</w:t>
            </w:r>
          </w:p>
          <w:p>
            <w:pPr>
              <w:jc w:val="left"/>
              <w:rPr>
                <w:rFonts w:eastAsia="Times New Roman"/>
                <w:noProof/>
                <w:szCs w:val="24"/>
              </w:rPr>
            </w:pPr>
            <w:r>
              <w:rPr>
                <w:noProof/>
              </w:rPr>
              <w:t>Palielināt indivīdu mācību spēju veidošanu</w:t>
            </w:r>
          </w:p>
          <w:p>
            <w:pPr>
              <w:jc w:val="left"/>
              <w:rPr>
                <w:noProof/>
                <w:szCs w:val="24"/>
              </w:rPr>
            </w:pPr>
            <w:r>
              <w:rPr>
                <w:noProof/>
              </w:rPr>
              <w:t>Uzlabot izglītojamo sasniegumus</w:t>
            </w:r>
          </w:p>
        </w:tc>
      </w:tr>
      <w:tr>
        <w:trPr>
          <w:trHeight w:val="20"/>
        </w:trPr>
        <w:tc>
          <w:tcPr>
            <w:tcW w:w="9289" w:type="dxa"/>
            <w:gridSpan w:val="3"/>
            <w:vAlign w:val="center"/>
          </w:tcPr>
          <w:p>
            <w:pPr>
              <w:jc w:val="left"/>
              <w:rPr>
                <w:b/>
                <w:bCs/>
                <w:noProof/>
                <w:szCs w:val="24"/>
              </w:rPr>
            </w:pPr>
            <w:r>
              <w:rPr>
                <w:b/>
                <w:noProof/>
                <w:szCs w:val="24"/>
              </w:rPr>
              <w:t>Rādītāji, kas atbalsta kvalitātes uzdevumus attiecībā uz PIA politiku</w:t>
            </w:r>
          </w:p>
        </w:tc>
      </w:tr>
      <w:tr>
        <w:trPr>
          <w:trHeight w:val="20"/>
        </w:trPr>
        <w:tc>
          <w:tcPr>
            <w:tcW w:w="9289" w:type="dxa"/>
            <w:gridSpan w:val="3"/>
            <w:vAlign w:val="center"/>
          </w:tcPr>
          <w:p>
            <w:pPr>
              <w:jc w:val="left"/>
              <w:rPr>
                <w:rFonts w:cstheme="minorBidi"/>
                <w:b/>
                <w:i/>
                <w:noProof/>
              </w:rPr>
            </w:pPr>
            <w:r>
              <w:rPr>
                <w:b/>
                <w:i/>
                <w:noProof/>
              </w:rPr>
              <w:t>3.</w:t>
            </w:r>
          </w:p>
        </w:tc>
      </w:tr>
      <w:tr>
        <w:trPr>
          <w:trHeight w:val="20"/>
        </w:trPr>
        <w:tc>
          <w:tcPr>
            <w:tcW w:w="3652" w:type="dxa"/>
            <w:vAlign w:val="center"/>
          </w:tcPr>
          <w:p>
            <w:pPr>
              <w:jc w:val="left"/>
              <w:rPr>
                <w:rFonts w:eastAsia="Times New Roman"/>
                <w:noProof/>
                <w:szCs w:val="24"/>
              </w:rPr>
            </w:pPr>
            <w:r>
              <w:rPr>
                <w:noProof/>
              </w:rPr>
              <w:t>Dalības PIA programmās rādītājs:</w:t>
            </w:r>
          </w:p>
          <w:p>
            <w:pPr>
              <w:jc w:val="left"/>
              <w:rPr>
                <w:rFonts w:eastAsia="Times New Roman"/>
                <w:noProof/>
                <w:szCs w:val="24"/>
              </w:rPr>
            </w:pPr>
            <w:r>
              <w:rPr>
                <w:noProof/>
              </w:rPr>
              <w:t>PIA programmu dalībnieku skaits</w:t>
            </w:r>
            <w:r>
              <w:rPr>
                <w:rStyle w:val="FootnoteReference"/>
                <w:noProof/>
              </w:rPr>
              <w:footnoteReference w:id="14"/>
            </w:r>
            <w:r>
              <w:rPr>
                <w:noProof/>
              </w:rPr>
              <w:t xml:space="preserve"> atbilstīgi programmu veidam un individuālajiem kritērijiem</w:t>
            </w:r>
            <w:r>
              <w:rPr>
                <w:rStyle w:val="FootnoteReference"/>
                <w:noProof/>
              </w:rPr>
              <w:footnoteReference w:id="15"/>
            </w:r>
          </w:p>
        </w:tc>
        <w:tc>
          <w:tcPr>
            <w:tcW w:w="2126" w:type="dxa"/>
            <w:vAlign w:val="center"/>
          </w:tcPr>
          <w:p>
            <w:pPr>
              <w:jc w:val="left"/>
              <w:rPr>
                <w:rFonts w:eastAsia="Times New Roman"/>
                <w:noProof/>
                <w:szCs w:val="24"/>
              </w:rPr>
            </w:pPr>
            <w:r>
              <w:rPr>
                <w:noProof/>
              </w:rPr>
              <w:t>Ievadrādītājs / procesa rādītājs / iznākuma rādītājs</w:t>
            </w:r>
          </w:p>
        </w:tc>
        <w:tc>
          <w:tcPr>
            <w:tcW w:w="3511" w:type="dxa"/>
            <w:vAlign w:val="center"/>
          </w:tcPr>
          <w:p>
            <w:pPr>
              <w:jc w:val="left"/>
              <w:rPr>
                <w:rFonts w:eastAsia="Times New Roman"/>
                <w:noProof/>
                <w:szCs w:val="24"/>
              </w:rPr>
            </w:pPr>
            <w:r>
              <w:rPr>
                <w:noProof/>
              </w:rPr>
              <w:t>Iegūt pamatinformāciju PIA sistēmu un PIA sniedzēju līmenī par PIA pievilcīgumu</w:t>
            </w:r>
          </w:p>
          <w:p>
            <w:pPr>
              <w:jc w:val="left"/>
              <w:rPr>
                <w:rFonts w:eastAsia="Times New Roman"/>
                <w:noProof/>
                <w:szCs w:val="24"/>
              </w:rPr>
            </w:pPr>
            <w:r>
              <w:rPr>
                <w:noProof/>
              </w:rPr>
              <w:t>Orientēt atbalstu uz to, lai palielinātu piekļuvi PIA, arī nelabvēlīgākā situācijā esošām grupām</w:t>
            </w:r>
          </w:p>
        </w:tc>
      </w:tr>
      <w:tr>
        <w:trPr>
          <w:trHeight w:val="20"/>
        </w:trPr>
        <w:tc>
          <w:tcPr>
            <w:tcW w:w="9289" w:type="dxa"/>
            <w:gridSpan w:val="3"/>
            <w:vAlign w:val="center"/>
          </w:tcPr>
          <w:p>
            <w:pPr>
              <w:jc w:val="left"/>
              <w:rPr>
                <w:rFonts w:cstheme="minorBidi"/>
                <w:b/>
                <w:i/>
                <w:noProof/>
              </w:rPr>
            </w:pPr>
            <w:r>
              <w:rPr>
                <w:b/>
                <w:i/>
                <w:noProof/>
              </w:rPr>
              <w:t>4.</w:t>
            </w:r>
          </w:p>
        </w:tc>
      </w:tr>
      <w:tr>
        <w:trPr>
          <w:trHeight w:val="20"/>
        </w:trPr>
        <w:tc>
          <w:tcPr>
            <w:tcW w:w="3652" w:type="dxa"/>
            <w:vAlign w:val="center"/>
          </w:tcPr>
          <w:p>
            <w:pPr>
              <w:jc w:val="left"/>
              <w:rPr>
                <w:rFonts w:eastAsia="Times New Roman"/>
                <w:noProof/>
                <w:szCs w:val="24"/>
              </w:rPr>
            </w:pPr>
            <w:r>
              <w:rPr>
                <w:noProof/>
              </w:rPr>
              <w:t>PIA programmu izpildes rādītājs:</w:t>
            </w:r>
          </w:p>
          <w:p>
            <w:pPr>
              <w:jc w:val="left"/>
              <w:rPr>
                <w:rFonts w:eastAsia="Times New Roman"/>
                <w:noProof/>
                <w:szCs w:val="24"/>
              </w:rPr>
            </w:pPr>
            <w:r>
              <w:rPr>
                <w:noProof/>
              </w:rPr>
              <w:t>to personu skaits, kuras veiksmīgi pabeigušas PIA programmas/pārtraukušas dalību tajās, atbilstīgi programmu veidam un individuālajiem kritērijiem</w:t>
            </w:r>
          </w:p>
        </w:tc>
        <w:tc>
          <w:tcPr>
            <w:tcW w:w="2126" w:type="dxa"/>
            <w:vAlign w:val="center"/>
          </w:tcPr>
          <w:p>
            <w:pPr>
              <w:jc w:val="left"/>
              <w:rPr>
                <w:rFonts w:eastAsia="Times New Roman"/>
                <w:noProof/>
                <w:szCs w:val="24"/>
              </w:rPr>
            </w:pPr>
            <w:r>
              <w:rPr>
                <w:noProof/>
              </w:rPr>
              <w:t>Procesa rādītājs / iznākuma rādītājs / rezultatīvais rādītājs</w:t>
            </w:r>
          </w:p>
        </w:tc>
        <w:tc>
          <w:tcPr>
            <w:tcW w:w="3511" w:type="dxa"/>
            <w:vAlign w:val="center"/>
          </w:tcPr>
          <w:p>
            <w:pPr>
              <w:jc w:val="left"/>
              <w:rPr>
                <w:rFonts w:eastAsia="Times New Roman"/>
                <w:noProof/>
                <w:szCs w:val="24"/>
              </w:rPr>
            </w:pPr>
            <w:r>
              <w:rPr>
                <w:noProof/>
              </w:rPr>
              <w:t>Iegūt informāciju par sasniegumiem izglītības jomā un apmācības procesu kvalitāti</w:t>
            </w:r>
          </w:p>
          <w:p>
            <w:pPr>
              <w:jc w:val="left"/>
              <w:rPr>
                <w:rFonts w:eastAsia="Times New Roman"/>
                <w:noProof/>
                <w:szCs w:val="24"/>
              </w:rPr>
            </w:pPr>
            <w:r>
              <w:rPr>
                <w:noProof/>
              </w:rPr>
              <w:t>Aprēķināt priekšlaicīgās pārtraukšanas īpatsvaru salīdzinājumā ar dalības īpatsvaru</w:t>
            </w:r>
          </w:p>
          <w:p>
            <w:pPr>
              <w:jc w:val="left"/>
              <w:rPr>
                <w:rFonts w:eastAsia="Times New Roman"/>
                <w:noProof/>
                <w:szCs w:val="24"/>
              </w:rPr>
            </w:pPr>
            <w:r>
              <w:rPr>
                <w:noProof/>
              </w:rPr>
              <w:t>Atbalstīt sekmīgu pabeigšanu kā vienu no pamatuzdevumiem, lai nodrošinātu PIA kvalitāti</w:t>
            </w:r>
          </w:p>
          <w:p>
            <w:pPr>
              <w:jc w:val="left"/>
              <w:rPr>
                <w:rFonts w:eastAsia="Times New Roman"/>
                <w:noProof/>
                <w:szCs w:val="24"/>
              </w:rPr>
            </w:pPr>
            <w:r>
              <w:rPr>
                <w:noProof/>
              </w:rPr>
              <w:t>Atbalstīt pielāgotas apmācības nodrošināšanu, arī nelabvēlīgākā situācijā esošām grupām</w:t>
            </w:r>
          </w:p>
        </w:tc>
      </w:tr>
      <w:tr>
        <w:trPr>
          <w:trHeight w:val="20"/>
        </w:trPr>
        <w:tc>
          <w:tcPr>
            <w:tcW w:w="9289" w:type="dxa"/>
            <w:gridSpan w:val="3"/>
            <w:vAlign w:val="center"/>
          </w:tcPr>
          <w:p>
            <w:pPr>
              <w:jc w:val="left"/>
              <w:rPr>
                <w:rFonts w:cstheme="minorBidi"/>
                <w:b/>
                <w:i/>
                <w:noProof/>
              </w:rPr>
            </w:pPr>
            <w:r>
              <w:rPr>
                <w:b/>
                <w:i/>
                <w:noProof/>
              </w:rPr>
              <w:t>5.</w:t>
            </w:r>
          </w:p>
        </w:tc>
      </w:tr>
      <w:tr>
        <w:trPr>
          <w:trHeight w:val="20"/>
        </w:trPr>
        <w:tc>
          <w:tcPr>
            <w:tcW w:w="3652" w:type="dxa"/>
            <w:vAlign w:val="center"/>
          </w:tcPr>
          <w:p>
            <w:pPr>
              <w:jc w:val="left"/>
              <w:rPr>
                <w:rFonts w:eastAsia="Times New Roman"/>
                <w:noProof/>
                <w:szCs w:val="24"/>
              </w:rPr>
            </w:pPr>
            <w:r>
              <w:rPr>
                <w:noProof/>
              </w:rPr>
              <w:t>Iekārtošanas darbā rādītājs PIA programmās:</w:t>
            </w:r>
          </w:p>
          <w:p>
            <w:pPr>
              <w:ind w:left="426" w:hanging="426"/>
              <w:jc w:val="left"/>
              <w:rPr>
                <w:rFonts w:eastAsia="Times New Roman"/>
                <w:noProof/>
                <w:szCs w:val="24"/>
              </w:rPr>
            </w:pPr>
            <w:r>
              <w:rPr>
                <w:noProof/>
              </w:rPr>
              <w:t>a)</w:t>
            </w:r>
            <w:r>
              <w:rPr>
                <w:noProof/>
              </w:rPr>
              <w:tab/>
              <w:t>PIA apguvēju galamērķis noteiktā laika brīdī pēc apmācības pabeigšanas atbilstīgi programmu veidam un individuālajiem kritērijiem</w:t>
            </w:r>
            <w:r>
              <w:rPr>
                <w:rStyle w:val="FootnoteReference"/>
                <w:noProof/>
              </w:rPr>
              <w:footnoteReference w:id="16"/>
            </w:r>
          </w:p>
          <w:p>
            <w:pPr>
              <w:ind w:left="426" w:hanging="426"/>
              <w:jc w:val="left"/>
              <w:rPr>
                <w:rFonts w:eastAsia="Times New Roman"/>
                <w:noProof/>
                <w:szCs w:val="24"/>
              </w:rPr>
            </w:pPr>
            <w:r>
              <w:rPr>
                <w:noProof/>
              </w:rPr>
              <w:t>b)</w:t>
            </w:r>
            <w:r>
              <w:rPr>
                <w:noProof/>
              </w:rPr>
              <w:tab/>
              <w:t>nodarbināto izglītojamo īpatsvars noteiktā laika brīdī pēc apmācības pabeigšanas atbilstīgi programmu veidam un individuālajiem kritērijiem</w:t>
            </w:r>
          </w:p>
        </w:tc>
        <w:tc>
          <w:tcPr>
            <w:tcW w:w="2126" w:type="dxa"/>
            <w:vAlign w:val="center"/>
          </w:tcPr>
          <w:p>
            <w:pPr>
              <w:jc w:val="left"/>
              <w:rPr>
                <w:noProof/>
                <w:w w:val="105"/>
                <w:szCs w:val="24"/>
              </w:rPr>
            </w:pPr>
            <w:r>
              <w:rPr>
                <w:noProof/>
              </w:rPr>
              <w:t>Rezultatīvais rādītājs</w:t>
            </w:r>
          </w:p>
        </w:tc>
        <w:tc>
          <w:tcPr>
            <w:tcW w:w="3511" w:type="dxa"/>
            <w:vAlign w:val="center"/>
          </w:tcPr>
          <w:p>
            <w:pPr>
              <w:jc w:val="left"/>
              <w:rPr>
                <w:rFonts w:eastAsia="Times New Roman"/>
                <w:noProof/>
                <w:szCs w:val="24"/>
              </w:rPr>
            </w:pPr>
            <w:r>
              <w:rPr>
                <w:noProof/>
              </w:rPr>
              <w:t>Atbalstīt nodarbinātību</w:t>
            </w:r>
          </w:p>
          <w:p>
            <w:pPr>
              <w:jc w:val="left"/>
              <w:rPr>
                <w:rFonts w:eastAsia="Times New Roman"/>
                <w:noProof/>
                <w:szCs w:val="24"/>
              </w:rPr>
            </w:pPr>
            <w:r>
              <w:rPr>
                <w:noProof/>
              </w:rPr>
              <w:t>Uzlabot PIA spēju reaģēt uz darba tirgus mainīgajām vajadzībām</w:t>
            </w:r>
          </w:p>
          <w:p>
            <w:pPr>
              <w:jc w:val="left"/>
              <w:rPr>
                <w:noProof/>
                <w:szCs w:val="24"/>
              </w:rPr>
            </w:pPr>
            <w:r>
              <w:rPr>
                <w:noProof/>
              </w:rPr>
              <w:t>Atbalstīt pielāgotas apmācības nodrošināšanu, arī nelabvēlīgākā situācijā esošām grupām</w:t>
            </w:r>
          </w:p>
        </w:tc>
      </w:tr>
      <w:tr>
        <w:trPr>
          <w:trHeight w:val="20"/>
        </w:trPr>
        <w:tc>
          <w:tcPr>
            <w:tcW w:w="9289" w:type="dxa"/>
            <w:gridSpan w:val="3"/>
            <w:vAlign w:val="center"/>
          </w:tcPr>
          <w:p>
            <w:pPr>
              <w:jc w:val="left"/>
              <w:rPr>
                <w:rFonts w:cstheme="minorBidi"/>
                <w:b/>
                <w:i/>
                <w:noProof/>
              </w:rPr>
            </w:pPr>
            <w:r>
              <w:rPr>
                <w:b/>
                <w:i/>
                <w:noProof/>
              </w:rPr>
              <w:t>6.</w:t>
            </w:r>
          </w:p>
        </w:tc>
      </w:tr>
      <w:tr>
        <w:trPr>
          <w:trHeight w:val="20"/>
        </w:trPr>
        <w:tc>
          <w:tcPr>
            <w:tcW w:w="3652" w:type="dxa"/>
            <w:vAlign w:val="center"/>
          </w:tcPr>
          <w:p>
            <w:pPr>
              <w:ind w:left="426" w:hanging="426"/>
              <w:jc w:val="left"/>
              <w:rPr>
                <w:rFonts w:eastAsia="Times New Roman"/>
                <w:noProof/>
                <w:szCs w:val="24"/>
              </w:rPr>
            </w:pPr>
            <w:r>
              <w:rPr>
                <w:noProof/>
              </w:rPr>
              <w:t>Apgūto prasmju izmantošana darbavietā:</w:t>
            </w:r>
          </w:p>
          <w:p>
            <w:pPr>
              <w:ind w:left="426" w:hanging="426"/>
              <w:jc w:val="left"/>
              <w:rPr>
                <w:rFonts w:eastAsia="Times New Roman"/>
                <w:noProof/>
                <w:szCs w:val="24"/>
              </w:rPr>
            </w:pPr>
            <w:r>
              <w:rPr>
                <w:noProof/>
              </w:rPr>
              <w:t>a)</w:t>
            </w:r>
            <w:r>
              <w:rPr>
                <w:noProof/>
              </w:rPr>
              <w:tab/>
              <w:t>informācija par indivīdu profesionālo nodarbošanos pēc apmācības pabeigšanas, atbilstīgi apmācības veidam un individuāliem kritērijiem</w:t>
            </w:r>
          </w:p>
          <w:p>
            <w:pPr>
              <w:ind w:left="426" w:hanging="426"/>
              <w:jc w:val="left"/>
              <w:rPr>
                <w:rFonts w:eastAsia="Times New Roman"/>
                <w:noProof/>
                <w:szCs w:val="24"/>
              </w:rPr>
            </w:pPr>
            <w:r>
              <w:rPr>
                <w:noProof/>
              </w:rPr>
              <w:t>b)</w:t>
            </w:r>
            <w:r>
              <w:rPr>
                <w:noProof/>
              </w:rPr>
              <w:tab/>
              <w:t>indivīdu un darba devēju apmierinātības ar apgūtajām prasmēm/kompetencēm rādītājs</w:t>
            </w:r>
          </w:p>
        </w:tc>
        <w:tc>
          <w:tcPr>
            <w:tcW w:w="2126" w:type="dxa"/>
            <w:vAlign w:val="center"/>
          </w:tcPr>
          <w:p>
            <w:pPr>
              <w:jc w:val="left"/>
              <w:rPr>
                <w:rFonts w:eastAsia="Times New Roman"/>
                <w:noProof/>
                <w:szCs w:val="24"/>
              </w:rPr>
            </w:pPr>
            <w:r>
              <w:rPr>
                <w:noProof/>
              </w:rPr>
              <w:t>Rezultatīvais rādītājs</w:t>
            </w:r>
          </w:p>
          <w:p>
            <w:pPr>
              <w:jc w:val="left"/>
              <w:rPr>
                <w:b/>
                <w:bCs/>
                <w:noProof/>
                <w:szCs w:val="24"/>
              </w:rPr>
            </w:pPr>
            <w:r>
              <w:rPr>
                <w:noProof/>
              </w:rPr>
              <w:t>(kvalitatīvu un kvantitatīvu datu apvienojums)</w:t>
            </w:r>
          </w:p>
        </w:tc>
        <w:tc>
          <w:tcPr>
            <w:tcW w:w="3511" w:type="dxa"/>
            <w:vAlign w:val="center"/>
          </w:tcPr>
          <w:p>
            <w:pPr>
              <w:jc w:val="left"/>
              <w:rPr>
                <w:rFonts w:eastAsia="Times New Roman"/>
                <w:noProof/>
                <w:szCs w:val="24"/>
              </w:rPr>
            </w:pPr>
            <w:r>
              <w:rPr>
                <w:noProof/>
              </w:rPr>
              <w:t>Uzlabot nodarbināmību</w:t>
            </w:r>
          </w:p>
          <w:p>
            <w:pPr>
              <w:jc w:val="left"/>
              <w:rPr>
                <w:rFonts w:eastAsia="Times New Roman"/>
                <w:noProof/>
                <w:szCs w:val="24"/>
              </w:rPr>
            </w:pPr>
            <w:r>
              <w:rPr>
                <w:noProof/>
              </w:rPr>
              <w:t>Uzlabot PIA spēju reaģēt uz darba tirgus mainīgajām vajadzībām</w:t>
            </w:r>
          </w:p>
          <w:p>
            <w:pPr>
              <w:jc w:val="left"/>
              <w:rPr>
                <w:b/>
                <w:bCs/>
                <w:noProof/>
                <w:szCs w:val="24"/>
              </w:rPr>
            </w:pPr>
            <w:r>
              <w:rPr>
                <w:noProof/>
              </w:rPr>
              <w:t>Atbalstīt pielāgotas apmācības nodrošināšanu, arī nelabvēlīgākā situācijā esošām grupām</w:t>
            </w:r>
          </w:p>
        </w:tc>
      </w:tr>
      <w:tr>
        <w:trPr>
          <w:trHeight w:val="20"/>
        </w:trPr>
        <w:tc>
          <w:tcPr>
            <w:tcW w:w="9289" w:type="dxa"/>
            <w:gridSpan w:val="3"/>
            <w:vAlign w:val="center"/>
          </w:tcPr>
          <w:p>
            <w:pPr>
              <w:jc w:val="left"/>
              <w:rPr>
                <w:b/>
                <w:bCs/>
                <w:noProof/>
                <w:szCs w:val="24"/>
              </w:rPr>
            </w:pPr>
            <w:r>
              <w:rPr>
                <w:b/>
                <w:noProof/>
                <w:szCs w:val="24"/>
              </w:rPr>
              <w:t>Konteksta informācija</w:t>
            </w:r>
          </w:p>
        </w:tc>
      </w:tr>
      <w:tr>
        <w:trPr>
          <w:trHeight w:val="20"/>
        </w:trPr>
        <w:tc>
          <w:tcPr>
            <w:tcW w:w="9289" w:type="dxa"/>
            <w:gridSpan w:val="3"/>
            <w:vAlign w:val="center"/>
          </w:tcPr>
          <w:p>
            <w:pPr>
              <w:jc w:val="left"/>
              <w:rPr>
                <w:rFonts w:cstheme="minorBidi"/>
                <w:b/>
                <w:i/>
                <w:noProof/>
              </w:rPr>
            </w:pPr>
            <w:r>
              <w:rPr>
                <w:b/>
                <w:i/>
                <w:noProof/>
              </w:rPr>
              <w:t>7.</w:t>
            </w:r>
          </w:p>
        </w:tc>
      </w:tr>
      <w:tr>
        <w:trPr>
          <w:trHeight w:val="20"/>
        </w:trPr>
        <w:tc>
          <w:tcPr>
            <w:tcW w:w="3652" w:type="dxa"/>
            <w:vAlign w:val="center"/>
          </w:tcPr>
          <w:p>
            <w:pPr>
              <w:jc w:val="left"/>
              <w:rPr>
                <w:rFonts w:eastAsia="Times New Roman"/>
                <w:noProof/>
                <w:szCs w:val="24"/>
              </w:rPr>
            </w:pPr>
            <w:r>
              <w:rPr>
                <w:noProof/>
              </w:rPr>
              <w:t>Bezdarba rādītājs</w:t>
            </w:r>
            <w:r>
              <w:rPr>
                <w:rStyle w:val="FootnoteReference"/>
                <w:noProof/>
              </w:rPr>
              <w:footnoteReference w:id="17"/>
            </w:r>
            <w:r>
              <w:rPr>
                <w:noProof/>
              </w:rPr>
              <w:t xml:space="preserve"> atbilstīgi individuālajiem kritērijiem</w:t>
            </w:r>
          </w:p>
        </w:tc>
        <w:tc>
          <w:tcPr>
            <w:tcW w:w="2126" w:type="dxa"/>
            <w:vAlign w:val="center"/>
          </w:tcPr>
          <w:p>
            <w:pPr>
              <w:jc w:val="left"/>
              <w:rPr>
                <w:noProof/>
                <w:w w:val="105"/>
                <w:szCs w:val="24"/>
              </w:rPr>
            </w:pPr>
            <w:r>
              <w:rPr>
                <w:noProof/>
              </w:rPr>
              <w:t>Konteksta rādītājs</w:t>
            </w:r>
          </w:p>
        </w:tc>
        <w:tc>
          <w:tcPr>
            <w:tcW w:w="3511" w:type="dxa"/>
            <w:vAlign w:val="center"/>
          </w:tcPr>
          <w:p>
            <w:pPr>
              <w:jc w:val="left"/>
              <w:rPr>
                <w:noProof/>
                <w:szCs w:val="24"/>
              </w:rPr>
            </w:pPr>
            <w:r>
              <w:rPr>
                <w:noProof/>
              </w:rPr>
              <w:t>Pamatinformācija politikas lēmumu pieņemšanai PIA sistēmu līmenī</w:t>
            </w:r>
          </w:p>
        </w:tc>
      </w:tr>
      <w:tr>
        <w:trPr>
          <w:trHeight w:val="20"/>
        </w:trPr>
        <w:tc>
          <w:tcPr>
            <w:tcW w:w="9289" w:type="dxa"/>
            <w:gridSpan w:val="3"/>
            <w:vAlign w:val="center"/>
          </w:tcPr>
          <w:p>
            <w:pPr>
              <w:jc w:val="left"/>
              <w:rPr>
                <w:rFonts w:cstheme="minorBidi"/>
                <w:b/>
                <w:i/>
                <w:noProof/>
              </w:rPr>
            </w:pPr>
            <w:r>
              <w:rPr>
                <w:b/>
                <w:i/>
                <w:noProof/>
              </w:rPr>
              <w:t>8.</w:t>
            </w:r>
          </w:p>
        </w:tc>
      </w:tr>
      <w:tr>
        <w:trPr>
          <w:trHeight w:val="20"/>
        </w:trPr>
        <w:tc>
          <w:tcPr>
            <w:tcW w:w="3652" w:type="dxa"/>
            <w:vAlign w:val="center"/>
          </w:tcPr>
          <w:p>
            <w:pPr>
              <w:jc w:val="left"/>
              <w:rPr>
                <w:rFonts w:eastAsia="Times New Roman"/>
                <w:noProof/>
                <w:szCs w:val="24"/>
              </w:rPr>
            </w:pPr>
            <w:r>
              <w:rPr>
                <w:noProof/>
              </w:rPr>
              <w:t>Neaizsargāto grupu izplatība:</w:t>
            </w:r>
          </w:p>
          <w:p>
            <w:pPr>
              <w:ind w:left="426" w:hanging="426"/>
              <w:jc w:val="left"/>
              <w:rPr>
                <w:rFonts w:eastAsia="Times New Roman"/>
                <w:noProof/>
                <w:szCs w:val="24"/>
              </w:rPr>
            </w:pPr>
            <w:r>
              <w:rPr>
                <w:noProof/>
              </w:rPr>
              <w:t>a)</w:t>
            </w:r>
            <w:r>
              <w:rPr>
                <w:noProof/>
              </w:rPr>
              <w:tab/>
              <w:t>to PIA dalībnieku procentuālā daļa, kurus uzskata par nelabvēlīgākā situācijā esošām grupām (noteiktā reģionā vai aptvēruma reģionā), pēc vecuma un dzimuma</w:t>
            </w:r>
          </w:p>
          <w:p>
            <w:pPr>
              <w:ind w:left="426" w:hanging="426"/>
              <w:jc w:val="left"/>
              <w:rPr>
                <w:rFonts w:eastAsia="Times New Roman"/>
                <w:noProof/>
                <w:szCs w:val="24"/>
              </w:rPr>
            </w:pPr>
            <w:r>
              <w:rPr>
                <w:noProof/>
              </w:rPr>
              <w:t>b)</w:t>
            </w:r>
            <w:r>
              <w:rPr>
                <w:noProof/>
              </w:rPr>
              <w:tab/>
              <w:t>nelabvēlīgākā situācijā esošo grupu sekmju rādītājs, pēc vecuma un dzimuma</w:t>
            </w:r>
          </w:p>
        </w:tc>
        <w:tc>
          <w:tcPr>
            <w:tcW w:w="2126" w:type="dxa"/>
            <w:vAlign w:val="center"/>
          </w:tcPr>
          <w:p>
            <w:pPr>
              <w:jc w:val="left"/>
              <w:rPr>
                <w:rFonts w:eastAsia="Times New Roman"/>
                <w:noProof/>
                <w:szCs w:val="24"/>
              </w:rPr>
            </w:pPr>
            <w:r>
              <w:rPr>
                <w:noProof/>
              </w:rPr>
              <w:t>Konteksta rādītājs</w:t>
            </w:r>
          </w:p>
        </w:tc>
        <w:tc>
          <w:tcPr>
            <w:tcW w:w="3511" w:type="dxa"/>
            <w:vAlign w:val="center"/>
          </w:tcPr>
          <w:p>
            <w:pPr>
              <w:jc w:val="left"/>
              <w:rPr>
                <w:rFonts w:eastAsia="Times New Roman"/>
                <w:noProof/>
                <w:szCs w:val="24"/>
              </w:rPr>
            </w:pPr>
            <w:r>
              <w:rPr>
                <w:noProof/>
              </w:rPr>
              <w:t>Pamatinformācija politikas lēmumu pieņemšanai PIA sistēmu līmenī</w:t>
            </w:r>
          </w:p>
          <w:p>
            <w:pPr>
              <w:jc w:val="left"/>
              <w:rPr>
                <w:rFonts w:eastAsia="Times New Roman"/>
                <w:noProof/>
                <w:szCs w:val="24"/>
              </w:rPr>
            </w:pPr>
            <w:r>
              <w:rPr>
                <w:noProof/>
              </w:rPr>
              <w:t>Atbalstīt nelabvēlīgākā</w:t>
            </w:r>
            <w:r>
              <w:rPr>
                <w:noProof/>
              </w:rPr>
              <w:tab/>
              <w:t>situācijā esošo grupu piekļuvi PIA</w:t>
            </w:r>
          </w:p>
          <w:p>
            <w:pPr>
              <w:jc w:val="left"/>
              <w:rPr>
                <w:noProof/>
                <w:szCs w:val="24"/>
              </w:rPr>
            </w:pPr>
            <w:r>
              <w:rPr>
                <w:noProof/>
              </w:rPr>
              <w:t>Atbalstīt pielāgotas apmācības nodrošināšanu nelabvēlīgākā situācijā esošām grupām</w:t>
            </w:r>
          </w:p>
        </w:tc>
      </w:tr>
      <w:tr>
        <w:trPr>
          <w:trHeight w:val="20"/>
        </w:trPr>
        <w:tc>
          <w:tcPr>
            <w:tcW w:w="9289" w:type="dxa"/>
            <w:gridSpan w:val="3"/>
            <w:vAlign w:val="center"/>
          </w:tcPr>
          <w:p>
            <w:pPr>
              <w:jc w:val="left"/>
              <w:rPr>
                <w:rFonts w:cstheme="minorBidi"/>
                <w:b/>
                <w:i/>
                <w:noProof/>
              </w:rPr>
            </w:pPr>
            <w:r>
              <w:rPr>
                <w:b/>
                <w:i/>
                <w:noProof/>
              </w:rPr>
              <w:t>9.</w:t>
            </w:r>
          </w:p>
        </w:tc>
      </w:tr>
      <w:tr>
        <w:trPr>
          <w:trHeight w:val="20"/>
        </w:trPr>
        <w:tc>
          <w:tcPr>
            <w:tcW w:w="3652" w:type="dxa"/>
            <w:vAlign w:val="center"/>
          </w:tcPr>
          <w:p>
            <w:pPr>
              <w:jc w:val="left"/>
              <w:rPr>
                <w:rFonts w:eastAsia="Times New Roman"/>
                <w:noProof/>
                <w:szCs w:val="24"/>
              </w:rPr>
            </w:pPr>
            <w:r>
              <w:rPr>
                <w:noProof/>
              </w:rPr>
              <w:t>Mehānismi apmācības vajadzību apzināšanai darba tirgū:</w:t>
            </w:r>
          </w:p>
          <w:p>
            <w:pPr>
              <w:numPr>
                <w:ilvl w:val="0"/>
                <w:numId w:val="2"/>
              </w:numPr>
              <w:spacing w:before="0" w:after="0"/>
              <w:ind w:left="426" w:hanging="426"/>
              <w:contextualSpacing/>
              <w:jc w:val="left"/>
              <w:rPr>
                <w:rFonts w:eastAsia="Times New Roman"/>
                <w:noProof/>
                <w:szCs w:val="24"/>
              </w:rPr>
            </w:pPr>
            <w:r>
              <w:rPr>
                <w:noProof/>
              </w:rPr>
              <w:t>informācija par mehānismiem, kas ieviesti, lai apzinātu mainīgās vajadzības dažādos līmeņos</w:t>
            </w:r>
          </w:p>
          <w:p>
            <w:pPr>
              <w:numPr>
                <w:ilvl w:val="0"/>
                <w:numId w:val="2"/>
              </w:numPr>
              <w:spacing w:before="0" w:after="0"/>
              <w:ind w:left="426" w:hanging="426"/>
              <w:contextualSpacing/>
              <w:jc w:val="left"/>
              <w:rPr>
                <w:rFonts w:eastAsia="Times New Roman"/>
                <w:noProof/>
                <w:szCs w:val="24"/>
              </w:rPr>
            </w:pPr>
            <w:r>
              <w:rPr>
                <w:noProof/>
              </w:rPr>
              <w:t>pierādījumi par šādu mehānismu izmantošanu un to efektivitāti</w:t>
            </w:r>
          </w:p>
        </w:tc>
        <w:tc>
          <w:tcPr>
            <w:tcW w:w="2126" w:type="dxa"/>
            <w:vAlign w:val="center"/>
          </w:tcPr>
          <w:p>
            <w:pPr>
              <w:jc w:val="left"/>
              <w:rPr>
                <w:noProof/>
                <w:w w:val="105"/>
                <w:szCs w:val="24"/>
              </w:rPr>
            </w:pPr>
            <w:r>
              <w:rPr>
                <w:noProof/>
              </w:rPr>
              <w:t>Konteksta rādītājs / ievadrādītājs (kvalitatīva informācija)</w:t>
            </w:r>
          </w:p>
        </w:tc>
        <w:tc>
          <w:tcPr>
            <w:tcW w:w="3511" w:type="dxa"/>
            <w:vAlign w:val="center"/>
          </w:tcPr>
          <w:p>
            <w:pPr>
              <w:jc w:val="left"/>
              <w:rPr>
                <w:rFonts w:eastAsia="Times New Roman"/>
                <w:noProof/>
                <w:szCs w:val="24"/>
              </w:rPr>
            </w:pPr>
            <w:r>
              <w:rPr>
                <w:noProof/>
              </w:rPr>
              <w:t>Uzlabot PIA spēju reaģēt uz darba tirgus mainīgajām vajadzībām</w:t>
            </w:r>
          </w:p>
          <w:p>
            <w:pPr>
              <w:jc w:val="left"/>
              <w:rPr>
                <w:noProof/>
                <w:szCs w:val="24"/>
              </w:rPr>
            </w:pPr>
            <w:r>
              <w:rPr>
                <w:noProof/>
              </w:rPr>
              <w:t>Atbalstīt nodarbinātību</w:t>
            </w:r>
          </w:p>
        </w:tc>
      </w:tr>
      <w:tr>
        <w:trPr>
          <w:trHeight w:val="387"/>
        </w:trPr>
        <w:tc>
          <w:tcPr>
            <w:tcW w:w="9289" w:type="dxa"/>
            <w:gridSpan w:val="3"/>
            <w:vAlign w:val="center"/>
          </w:tcPr>
          <w:p>
            <w:pPr>
              <w:jc w:val="left"/>
              <w:rPr>
                <w:rFonts w:cstheme="minorBidi"/>
                <w:b/>
                <w:i/>
                <w:noProof/>
              </w:rPr>
            </w:pPr>
            <w:r>
              <w:rPr>
                <w:b/>
                <w:i/>
                <w:noProof/>
              </w:rPr>
              <w:t>10.</w:t>
            </w:r>
          </w:p>
        </w:tc>
      </w:tr>
      <w:tr>
        <w:trPr>
          <w:trHeight w:val="2138"/>
        </w:trPr>
        <w:tc>
          <w:tcPr>
            <w:tcW w:w="3652" w:type="dxa"/>
            <w:vAlign w:val="center"/>
          </w:tcPr>
          <w:p>
            <w:pPr>
              <w:jc w:val="left"/>
              <w:rPr>
                <w:rFonts w:eastAsia="Times New Roman"/>
                <w:noProof/>
                <w:szCs w:val="24"/>
              </w:rPr>
            </w:pPr>
            <w:r>
              <w:rPr>
                <w:noProof/>
              </w:rPr>
              <w:t>Shēmas, ko izmanto, lai veicinātu labāku piekļuvi PIA un sniegtu norādījumus (potenciālajiem) PIA apguvējiem:</w:t>
            </w:r>
          </w:p>
          <w:p>
            <w:pPr>
              <w:ind w:left="426" w:hanging="426"/>
              <w:jc w:val="left"/>
              <w:rPr>
                <w:rFonts w:eastAsia="Times New Roman"/>
                <w:noProof/>
                <w:szCs w:val="24"/>
              </w:rPr>
            </w:pPr>
            <w:r>
              <w:rPr>
                <w:noProof/>
              </w:rPr>
              <w:t>a)</w:t>
            </w:r>
            <w:r>
              <w:rPr>
                <w:noProof/>
              </w:rPr>
              <w:tab/>
              <w:t>informācija par esošajām shēmām dažādos līmeņos</w:t>
            </w:r>
          </w:p>
          <w:p>
            <w:pPr>
              <w:ind w:left="426" w:hanging="426"/>
              <w:jc w:val="left"/>
              <w:rPr>
                <w:rFonts w:eastAsia="Times New Roman"/>
                <w:noProof/>
                <w:szCs w:val="24"/>
              </w:rPr>
            </w:pPr>
            <w:r>
              <w:rPr>
                <w:noProof/>
              </w:rPr>
              <w:t>b)</w:t>
            </w:r>
            <w:r>
              <w:rPr>
                <w:noProof/>
              </w:rPr>
              <w:tab/>
              <w:t>pierādījumi par to efektivitāti</w:t>
            </w:r>
          </w:p>
        </w:tc>
        <w:tc>
          <w:tcPr>
            <w:tcW w:w="2126" w:type="dxa"/>
            <w:vAlign w:val="center"/>
          </w:tcPr>
          <w:p>
            <w:pPr>
              <w:jc w:val="left"/>
              <w:rPr>
                <w:noProof/>
                <w:szCs w:val="24"/>
              </w:rPr>
            </w:pPr>
            <w:r>
              <w:rPr>
                <w:noProof/>
              </w:rPr>
              <w:t>Procesa rādītājs (kvalitatīva informācija)</w:t>
            </w:r>
          </w:p>
        </w:tc>
        <w:tc>
          <w:tcPr>
            <w:tcW w:w="3511" w:type="dxa"/>
            <w:vAlign w:val="center"/>
          </w:tcPr>
          <w:p>
            <w:pPr>
              <w:jc w:val="left"/>
              <w:rPr>
                <w:rFonts w:eastAsia="Times New Roman"/>
                <w:noProof/>
                <w:szCs w:val="24"/>
              </w:rPr>
            </w:pPr>
            <w:r>
              <w:rPr>
                <w:noProof/>
              </w:rPr>
              <w:t>Veicināt piekļuvi PIA, arī nelabvēlīgākā situācijā esošām grupām</w:t>
            </w:r>
          </w:p>
          <w:p>
            <w:pPr>
              <w:jc w:val="left"/>
              <w:rPr>
                <w:rFonts w:eastAsia="Times New Roman"/>
                <w:noProof/>
                <w:szCs w:val="24"/>
              </w:rPr>
            </w:pPr>
            <w:r>
              <w:rPr>
                <w:noProof/>
              </w:rPr>
              <w:t xml:space="preserve">Sniegt norādījumus (potenciālajiem) PIA apguvējiem </w:t>
            </w:r>
          </w:p>
          <w:p>
            <w:pPr>
              <w:jc w:val="left"/>
              <w:rPr>
                <w:noProof/>
                <w:szCs w:val="24"/>
              </w:rPr>
            </w:pPr>
            <w:r>
              <w:rPr>
                <w:noProof/>
              </w:rPr>
              <w:t>Atbalstīt pielāgotas apmācības nodrošināšanu</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JOP_1963_063_R_1338_01.</w:t>
      </w:r>
    </w:p>
  </w:footnote>
  <w:footnote w:id="2">
    <w:p>
      <w:pPr>
        <w:pStyle w:val="FootnoteText"/>
      </w:pPr>
      <w:r>
        <w:rPr>
          <w:rStyle w:val="FootnoteReference"/>
        </w:rPr>
        <w:footnoteRef/>
      </w:r>
      <w:r>
        <w:tab/>
        <w:t>OV C 398, 22.12.2012.</w:t>
      </w:r>
    </w:p>
  </w:footnote>
  <w:footnote w:id="3">
    <w:p>
      <w:pPr>
        <w:pStyle w:val="FootnoteText"/>
      </w:pPr>
      <w:r>
        <w:rPr>
          <w:rStyle w:val="FootnoteReference"/>
        </w:rPr>
        <w:footnoteRef/>
      </w:r>
      <w:r>
        <w:tab/>
        <w:t>Sk. EKI par deskriptoriem, kas nosaka Eiropas kvalifikāciju ietvarstruktūras līmeņus, II pielikumu.</w:t>
      </w:r>
    </w:p>
  </w:footnote>
  <w:footnote w:id="4">
    <w:p>
      <w:pPr>
        <w:pStyle w:val="FootnoteText"/>
      </w:pPr>
      <w:r>
        <w:rPr>
          <w:rStyle w:val="FootnoteReference"/>
        </w:rPr>
        <w:footnoteRef/>
      </w:r>
      <w:r>
        <w:tab/>
        <w:t xml:space="preserve">OV C 484, 24.12.2016. </w:t>
      </w:r>
    </w:p>
  </w:footnote>
  <w:footnote w:id="5">
    <w:p>
      <w:pPr>
        <w:pStyle w:val="FootnoteText"/>
      </w:pPr>
      <w:r>
        <w:rPr>
          <w:rStyle w:val="FootnoteReference"/>
        </w:rPr>
        <w:footnoteRef/>
      </w:r>
      <w:r>
        <w:tab/>
        <w:t>OV C 189, 15.6.2017.</w:t>
      </w:r>
    </w:p>
  </w:footnote>
  <w:footnote w:id="6">
    <w:p>
      <w:pPr>
        <w:pStyle w:val="FootnoteText"/>
      </w:pPr>
      <w:r>
        <w:rPr>
          <w:rStyle w:val="FootnoteReference"/>
        </w:rPr>
        <w:footnoteRef/>
      </w:r>
      <w:r>
        <w:tab/>
        <w:t>OV C 423, 9.12.2017.</w:t>
      </w:r>
    </w:p>
  </w:footnote>
  <w:footnote w:id="7">
    <w:p>
      <w:pPr>
        <w:pStyle w:val="FootnoteText"/>
      </w:pPr>
      <w:r>
        <w:rPr>
          <w:rStyle w:val="FootnoteReference"/>
        </w:rPr>
        <w:footnoteRef/>
      </w:r>
      <w:r>
        <w:tab/>
        <w:t>OV L 112, 2.5.2018.</w:t>
      </w:r>
    </w:p>
  </w:footnote>
  <w:footnote w:id="8">
    <w:p>
      <w:pPr>
        <w:pStyle w:val="FootnoteText"/>
      </w:pPr>
      <w:r>
        <w:rPr>
          <w:rStyle w:val="FootnoteReference"/>
        </w:rPr>
        <w:footnoteRef/>
      </w:r>
      <w:r>
        <w:tab/>
        <w:t>OV C 189, 4.6.2018.</w:t>
      </w:r>
    </w:p>
  </w:footnote>
  <w:footnote w:id="9">
    <w:p>
      <w:pPr>
        <w:pStyle w:val="FootnoteText"/>
      </w:pPr>
      <w:r>
        <w:rPr>
          <w:rStyle w:val="FootnoteReference"/>
        </w:rPr>
        <w:footnoteRef/>
      </w:r>
      <w:r>
        <w:tab/>
        <w:t>OV C 444, 10.12.2018.</w:t>
      </w:r>
    </w:p>
  </w:footnote>
  <w:footnote w:id="10">
    <w:p>
      <w:pPr>
        <w:pStyle w:val="FootnoteText"/>
      </w:pPr>
      <w:r>
        <w:rPr>
          <w:rStyle w:val="FootnoteReference"/>
        </w:rPr>
        <w:footnoteRef/>
      </w:r>
      <w:r>
        <w:tab/>
        <w:t>OV C 195, 7.6.2018., 7.-10. lpp.</w:t>
      </w:r>
    </w:p>
  </w:footnote>
  <w:footnote w:id="11">
    <w:p>
      <w:pPr>
        <w:pStyle w:val="FootnoteText"/>
      </w:pPr>
      <w:r>
        <w:rPr>
          <w:rStyle w:val="FootnoteReference"/>
        </w:rPr>
        <w:footnoteRef/>
      </w:r>
      <w:r>
        <w:tab/>
        <w:t>OV C 389, 18.11.2019., 1.-6. lpp.</w:t>
      </w:r>
    </w:p>
  </w:footnote>
  <w:footnote w:id="12">
    <w:p>
      <w:pPr>
        <w:pStyle w:val="FootnoteText"/>
      </w:pPr>
      <w:r>
        <w:rPr>
          <w:rStyle w:val="FootnoteReference"/>
        </w:rPr>
        <w:footnoteRef/>
      </w:r>
      <w:r>
        <w:tab/>
        <w:t>OV C 189, 5.6.2019.</w:t>
      </w:r>
    </w:p>
  </w:footnote>
  <w:footnote w:id="13">
    <w:p>
      <w:pPr>
        <w:pStyle w:val="FootnoteText"/>
      </w:pPr>
      <w:r>
        <w:rPr>
          <w:rStyle w:val="FootnoteReference"/>
        </w:rPr>
        <w:footnoteRef/>
      </w:r>
      <w:r>
        <w:tab/>
        <w:t>COM(2019) 650 final.</w:t>
      </w:r>
    </w:p>
  </w:footnote>
  <w:footnote w:id="14">
    <w:p>
      <w:pPr>
        <w:pStyle w:val="FootnoteText"/>
      </w:pPr>
      <w:r>
        <w:rPr>
          <w:rStyle w:val="FootnoteReference"/>
        </w:rPr>
        <w:footnoteRef/>
      </w:r>
      <w:r>
        <w:tab/>
        <w:t>Attiecībā uz sākotnējo profesionālo apmācību: pirms izglītojamā ieskaitīšanas par dalībnieku viņam jāiziet apmācība sešu nedēļu garumā. Attiecībā uz mūžizglītību: to iedzīvotāju procents, kuri uzņemti formālajās PIA programmās.</w:t>
      </w:r>
    </w:p>
  </w:footnote>
  <w:footnote w:id="15">
    <w:p>
      <w:pPr>
        <w:pStyle w:val="FootnoteText"/>
      </w:pPr>
      <w:r>
        <w:rPr>
          <w:rStyle w:val="FootnoteReference"/>
        </w:rPr>
        <w:footnoteRef/>
      </w:r>
      <w:r>
        <w:tab/>
        <w:t>Līdz ar pamatinformāciju par dzimumu un vecumu var tikt piemēroti citi sociālie kritēriji, piemēram, priekšlaicīgi mācības pārtraukušie, augstākais iegūtais izglītības līmenis, piederība pie migrantiem, invaliditāte, bezdarba ilgums.</w:t>
      </w:r>
    </w:p>
  </w:footnote>
  <w:footnote w:id="16">
    <w:p>
      <w:pPr>
        <w:pStyle w:val="FootnoteText"/>
      </w:pPr>
      <w:r>
        <w:rPr>
          <w:rStyle w:val="FootnoteReference"/>
        </w:rPr>
        <w:footnoteRef/>
      </w:r>
      <w:r>
        <w:tab/>
        <w:t>Attiecībā uz sākotnējo profesionālo apmācību: ieskaitot informāciju par mācības priekšlaicīgi pārtraukušo izglītojamo galamērķi.</w:t>
      </w:r>
    </w:p>
  </w:footnote>
  <w:footnote w:id="17">
    <w:p>
      <w:pPr>
        <w:pStyle w:val="FootnoteText"/>
      </w:pPr>
      <w:r>
        <w:rPr>
          <w:rStyle w:val="FootnoteReference"/>
        </w:rPr>
        <w:footnoteRef/>
      </w:r>
      <w:r>
        <w:tab/>
        <w:t>Starptautiskās Darba organizācijas noteiktā definīcija: personas vecumā no 15 līdz 74 gadiem, kurām nav darba, bet kuras aktīvi meklē darbu un ir gatavas sākt strādāt.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F2A9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FC52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0C7F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9A74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4292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F049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EEC94A"/>
    <w:lvl w:ilvl="0">
      <w:start w:val="1"/>
      <w:numFmt w:val="decimal"/>
      <w:pStyle w:val="ListNumber"/>
      <w:lvlText w:val="%1."/>
      <w:lvlJc w:val="left"/>
      <w:pPr>
        <w:tabs>
          <w:tab w:val="num" w:pos="360"/>
        </w:tabs>
        <w:ind w:left="360" w:hanging="360"/>
      </w:pPr>
    </w:lvl>
  </w:abstractNum>
  <w:abstractNum w:abstractNumId="7">
    <w:nsid w:val="FFFFFF89"/>
    <w:multiLevelType w:val="singleLevel"/>
    <w:tmpl w:val="FA3C94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1AB7459"/>
    <w:multiLevelType w:val="hybridMultilevel"/>
    <w:tmpl w:val="E60A9DE2"/>
    <w:lvl w:ilvl="0" w:tplc="FAD43C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0F3096"/>
    <w:multiLevelType w:val="hybridMultilevel"/>
    <w:tmpl w:val="5D6A270C"/>
    <w:lvl w:ilvl="0" w:tplc="586823CE">
      <w:start w:val="1"/>
      <w:numFmt w:val="decimal"/>
      <w:pStyle w:val="NumPar0"/>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8"/>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22"/>
  </w:num>
  <w:num w:numId="15">
    <w:abstractNumId w:val="12"/>
  </w:num>
  <w:num w:numId="16">
    <w:abstractNumId w:val="14"/>
  </w:num>
  <w:num w:numId="17">
    <w:abstractNumId w:val="10"/>
  </w:num>
  <w:num w:numId="18">
    <w:abstractNumId w:val="21"/>
  </w:num>
  <w:num w:numId="19">
    <w:abstractNumId w:val="9"/>
  </w:num>
  <w:num w:numId="20">
    <w:abstractNumId w:val="15"/>
  </w:num>
  <w:num w:numId="21">
    <w:abstractNumId w:val="18"/>
  </w:num>
  <w:num w:numId="22">
    <w:abstractNumId w:val="19"/>
  </w:num>
  <w:num w:numId="23">
    <w:abstractNumId w:val="11"/>
  </w:num>
  <w:num w:numId="24">
    <w:abstractNumId w:val="17"/>
  </w:num>
  <w:num w:numId="25">
    <w:abstractNumId w:val="23"/>
  </w:num>
  <w:num w:numId="26">
    <w:abstractNumId w:val="20"/>
  </w:num>
  <w:num w:numId="27">
    <w:abstractNumId w:val="13"/>
  </w:num>
  <w:num w:numId="28">
    <w:abstractNumId w:val="22"/>
  </w:num>
  <w:num w:numId="29">
    <w:abstractNumId w:val="12"/>
  </w:num>
  <w:num w:numId="30">
    <w:abstractNumId w:val="14"/>
  </w:num>
  <w:num w:numId="31">
    <w:abstractNumId w:val="10"/>
  </w:num>
  <w:num w:numId="32">
    <w:abstractNumId w:val="21"/>
  </w:num>
  <w:num w:numId="33">
    <w:abstractNumId w:val="9"/>
  </w:num>
  <w:num w:numId="34">
    <w:abstractNumId w:val="15"/>
  </w:num>
  <w:num w:numId="35">
    <w:abstractNumId w:val="18"/>
  </w:num>
  <w:num w:numId="36">
    <w:abstractNumId w:val="19"/>
  </w:num>
  <w:num w:numId="37">
    <w:abstractNumId w:val="11"/>
  </w:num>
  <w:num w:numId="38">
    <w:abstractNumId w:val="17"/>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9 18:58: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priek\u353?likums"/>
    <w:docVar w:name="LW_ACCOMPAGNANT.CP" w:val="priek\u353?likums"/>
    <w:docVar w:name="LW_ANNEX_NBR_FIRST" w:val="1"/>
    <w:docVar w:name="LW_ANNEX_NBR_LAST" w:val="2"/>
    <w:docVar w:name="LW_ANNEX_UNIQUE" w:val="0"/>
    <w:docVar w:name="LW_CORRIGENDUM" w:val="&lt;UNUSED&gt;"/>
    <w:docVar w:name="LW_COVERPAGE_EXISTS" w:val="True"/>
    <w:docVar w:name="LW_COVERPAGE_GUID" w:val="347938EF-5A84-469C-BBD2-79512A14EF13"/>
    <w:docVar w:name="LW_COVERPAGE_TYPE" w:val="1"/>
    <w:docVar w:name="LW_CROSSREFERENCE" w:val="{SWD(2020) 123 final}"/>
    <w:docVar w:name="LW_DocType" w:val="ANNEX"/>
    <w:docVar w:name="LW_EMISSION" w:val="1.7.2020"/>
    <w:docVar w:name="LW_EMISSION_ISODATE" w:val="2020-07-01"/>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profesion\u257?lo izgl\u299?t\u299?bu un apm\u257?c\u299?bu (PIA) ilgtsp\u275?j\u299?gai konkur\u275?tsp\u275?jai, soci\u257?lajam taisn\u299?gumam un notur\u299?bai_x000d__x000d__x000d__x000d__x000d__x000d__x000d__x000d__x000b_"/>
    <w:docVar w:name="LW_OBJETACTEPRINCIPAL.CP" w:val="par profesion\u257?lo izgl\u299?t\u299?bu un apm\u257?c\u299?bu (PIA) ilgtsp\u275?j\u299?gai konkur\u275?tsp\u275?jai, soci\u257?lajam taisn\u299?gumam un notur\u299?bai_x000d__x000d__x000d__x000d__x000d__x000d__x000d__x000d__x000b_"/>
    <w:docVar w:name="LW_PART_NBR" w:val="&lt;UNUSED&gt;"/>
    <w:docVar w:name="LW_PART_NBR_TOTAL" w:val="&lt;UNUSED&gt;"/>
    <w:docVar w:name="LW_REF.INST.NEW" w:val="COM"/>
    <w:docVar w:name="LW_REF.INST.NEW_ADOPTED" w:val="final"/>
    <w:docVar w:name="LW_REF.INST.NEW_TEXT" w:val="(2020)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IELIKUMI"/>
    <w:docVar w:name="LW_TYPE.DOC.CP" w:val="PIELIKUMI"/>
    <w:docVar w:name="LW_TYPEACTEPRINCIPAL" w:val="PADOMES IETEIKUMS_x000b_"/>
    <w:docVar w:name="LW_TYPEACTEPRINCIPAL.CP" w:val="PADOMES IETEIKUMS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NumPar0">
    <w:name w:val="NumPar 0"/>
    <w:basedOn w:val="Normal"/>
    <w:pPr>
      <w:numPr>
        <w:numId w:val="1"/>
      </w:numPr>
      <w:spacing w:before="0" w:after="200" w:line="276" w:lineRule="auto"/>
      <w:ind w:left="567" w:hanging="567"/>
      <w:jc w:val="left"/>
    </w:pPr>
    <w:rPr>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NumPar0">
    <w:name w:val="NumPar 0"/>
    <w:basedOn w:val="Normal"/>
    <w:pPr>
      <w:numPr>
        <w:numId w:val="1"/>
      </w:numPr>
      <w:spacing w:before="0" w:after="200" w:line="276" w:lineRule="auto"/>
      <w:ind w:left="567" w:hanging="567"/>
      <w:jc w:val="left"/>
    </w:pPr>
    <w:rPr>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0607588f-e8fc-4f62-89a5-2b63ec5058da">EN</EC_Collab_DocumentLanguage>
    <EC_Collab_Status xmlns="0607588f-e8fc-4f62-89a5-2b63ec5058da">Not Started</EC_Collab_Status>
    <EC_Collab_Reference xmlns="0607588f-e8fc-4f62-89a5-2b63ec5058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A497FD42E47274BB8C9F216EABFADD9" ma:contentTypeVersion="8" ma:contentTypeDescription="Create a new document in this library." ma:contentTypeScope="" ma:versionID="e95cf22ec94fa30968592f30d9b476e4">
  <xsd:schema xmlns:xsd="http://www.w3.org/2001/XMLSchema" xmlns:xs="http://www.w3.org/2001/XMLSchema" xmlns:p="http://schemas.microsoft.com/office/2006/metadata/properties" xmlns:ns3="0607588f-e8fc-4f62-89a5-2b63ec5058da" targetNamespace="http://schemas.microsoft.com/office/2006/metadata/properties" ma:root="true" ma:fieldsID="30171a0791002974d7eb4f17f59606ef" ns3:_="">
    <xsd:import namespace="0607588f-e8fc-4f62-89a5-2b63ec5058d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7588f-e8fc-4f62-89a5-2b63ec5058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368535-CAB2-47E1-8BAA-A4C43545C37C}">
  <ds:schemaRefs>
    <ds:schemaRef ds:uri="http://schemas.microsoft.com/sharepoint/v3/contenttype/forms"/>
  </ds:schemaRefs>
</ds:datastoreItem>
</file>

<file path=customXml/itemProps2.xml><?xml version="1.0" encoding="utf-8"?>
<ds:datastoreItem xmlns:ds="http://schemas.openxmlformats.org/officeDocument/2006/customXml" ds:itemID="{0E09F76A-D2CF-40D4-A043-D853F6B2EF9F}">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0607588f-e8fc-4f62-89a5-2b63ec5058da"/>
    <ds:schemaRef ds:uri="http://www.w3.org/XML/1998/namespace"/>
  </ds:schemaRefs>
</ds:datastoreItem>
</file>

<file path=customXml/itemProps3.xml><?xml version="1.0" encoding="utf-8"?>
<ds:datastoreItem xmlns:ds="http://schemas.openxmlformats.org/officeDocument/2006/customXml" ds:itemID="{C1B42879-A0A1-455F-9BE8-8E119801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7588f-e8fc-4f62-89a5-2b63ec505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559AB-DD07-4448-91B2-B4E5A4F9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12</Pages>
  <Words>2216</Words>
  <Characters>16203</Characters>
  <Application>Microsoft Office Word</Application>
  <DocSecurity>0</DocSecurity>
  <Lines>540</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2020-07-07T15:09:00Z</dcterms:created>
  <dcterms:modified xsi:type="dcterms:W3CDTF">2020-07-09T16:58:00Z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First annex">
    <vt:lpwstr>1</vt:lpwstr>
  </property>
  <property fmtid="{D5CDD505-2E9C-101B-9397-08002B2CF9AE}" pid="5" name="Last annex">
    <vt:lpwstr>2</vt:lpwstr>
  </property>
  <property fmtid="{D5CDD505-2E9C-101B-9397-08002B2CF9AE}" pid="6" name="Unique annex">
    <vt:lpwstr>0</vt:lpwstr>
  </property>
  <property fmtid="{D5CDD505-2E9C-101B-9397-08002B2CF9AE}" pid="7" name="Part">
    <vt:lpwstr>&lt;UNUSED&gt;</vt:lpwstr>
  </property>
  <property fmtid="{D5CDD505-2E9C-101B-9397-08002B2CF9AE}" pid="8" name="Total parts">
    <vt:lpwstr>&lt;UNUSED&gt;</vt:lpwstr>
  </property>
  <property fmtid="{D5CDD505-2E9C-101B-9397-08002B2CF9AE}" pid="9" name="LWTemplateID">
    <vt:lpwstr>SG-017</vt:lpwstr>
  </property>
  <property fmtid="{D5CDD505-2E9C-101B-9397-08002B2CF9AE}" pid="10" name="ContentTypeId">
    <vt:lpwstr>0x010100258AA79CEB83498886A3A0868112325000FA497FD42E47274BB8C9F216EABFADD9</vt:lpwstr>
  </property>
  <property fmtid="{D5CDD505-2E9C-101B-9397-08002B2CF9AE}" pid="11" name="DQCStatus">
    <vt:lpwstr>Green (DQC version 03)</vt:lpwstr>
  </property>
  <property fmtid="{D5CDD505-2E9C-101B-9397-08002B2CF9AE}" pid="12" name="Category">
    <vt:lpwstr>COM/ANNEX</vt:lpwstr>
  </property>
</Properties>
</file>