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9D3A66DA-0A88-49EE-B9AA-A00EB8518516" style="width:450.75pt;height:320.2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spacing w:after="240" w:line="240" w:lineRule="auto"/>
        <w:jc w:val="center"/>
        <w:rPr>
          <w:rFonts w:ascii="Times New Roman" w:eastAsia="Times New Roman" w:hAnsi="Times New Roman" w:cs="Times New Roman"/>
          <w:b/>
          <w:noProof/>
          <w:sz w:val="24"/>
          <w:szCs w:val="24"/>
        </w:rPr>
      </w:pPr>
      <w:bookmarkStart w:id="1" w:name="_GoBack"/>
      <w:bookmarkEnd w:id="1"/>
      <w:r>
        <w:rPr>
          <w:rFonts w:ascii="Times New Roman" w:hAnsi="Times New Roman"/>
          <w:b/>
          <w:noProof/>
          <w:sz w:val="24"/>
          <w:szCs w:val="24"/>
        </w:rPr>
        <w:lastRenderedPageBreak/>
        <w:t>RELAZIONE DELLA COMMISSIONE AL PARLAMENTO EUROPEO E AL CONSIGLIO</w:t>
      </w:r>
    </w:p>
    <w:p>
      <w:pPr>
        <w:spacing w:after="240" w:line="240" w:lineRule="auto"/>
        <w:jc w:val="center"/>
        <w:rPr>
          <w:rFonts w:ascii="Times New Roman" w:eastAsia="Times New Roman" w:hAnsi="Times New Roman" w:cs="Times New Roman"/>
          <w:b/>
          <w:noProof/>
          <w:sz w:val="24"/>
          <w:szCs w:val="24"/>
        </w:rPr>
      </w:pPr>
      <w:r>
        <w:rPr>
          <w:rFonts w:ascii="Times New Roman" w:hAnsi="Times New Roman"/>
          <w:b/>
          <w:noProof/>
          <w:sz w:val="24"/>
          <w:szCs w:val="24"/>
        </w:rPr>
        <w:t xml:space="preserve">Attività dell'Unione europea in materia di ricerca e sviluppo tecnologico </w:t>
      </w:r>
      <w:r>
        <w:rPr>
          <w:rFonts w:ascii="Times New Roman" w:hAnsi="Times New Roman"/>
          <w:b/>
          <w:noProof/>
          <w:sz w:val="24"/>
          <w:szCs w:val="24"/>
        </w:rPr>
        <w:br/>
      </w:r>
      <w:r>
        <w:rPr>
          <w:rFonts w:ascii="Times New Roman" w:hAnsi="Times New Roman"/>
          <w:b/>
          <w:bCs/>
          <w:noProof/>
          <w:sz w:val="24"/>
          <w:szCs w:val="24"/>
        </w:rPr>
        <w:t xml:space="preserve">e monitoraggio di "Orizzonte 2020" </w:t>
      </w:r>
      <w:r>
        <w:rPr>
          <w:rFonts w:ascii="Times New Roman" w:hAnsi="Times New Roman"/>
          <w:b/>
          <w:noProof/>
          <w:sz w:val="24"/>
          <w:szCs w:val="24"/>
        </w:rPr>
        <w:t>nel 2019</w:t>
      </w:r>
    </w:p>
    <w:p>
      <w:pPr>
        <w:jc w:val="both"/>
        <w:rPr>
          <w:rFonts w:ascii="Times New Roman" w:hAnsi="Times New Roman" w:cs="Times New Roman"/>
          <w:b/>
          <w:noProof/>
        </w:rPr>
      </w:pPr>
    </w:p>
    <w:p>
      <w:pPr>
        <w:jc w:val="both"/>
        <w:rPr>
          <w:rFonts w:ascii="Times New Roman" w:hAnsi="Times New Roman" w:cs="Times New Roman"/>
          <w:b/>
          <w:noProof/>
        </w:rPr>
      </w:pPr>
    </w:p>
    <w:p>
      <w:pPr>
        <w:jc w:val="both"/>
        <w:rPr>
          <w:rFonts w:ascii="Times New Roman" w:hAnsi="Times New Roman" w:cs="Times New Roman"/>
          <w:b/>
          <w:noProof/>
        </w:rPr>
      </w:pPr>
      <w:r>
        <w:rPr>
          <w:rFonts w:ascii="Times New Roman" w:hAnsi="Times New Roman"/>
          <w:b/>
          <w:noProof/>
        </w:rPr>
        <w:t>1.</w:t>
      </w:r>
      <w:r>
        <w:rPr>
          <w:rFonts w:ascii="Times New Roman" w:hAnsi="Times New Roman"/>
          <w:b/>
          <w:noProof/>
        </w:rPr>
        <w:tab/>
        <w:t xml:space="preserve">Contesto </w:t>
      </w:r>
    </w:p>
    <w:p>
      <w:pPr>
        <w:jc w:val="both"/>
        <w:rPr>
          <w:rFonts w:ascii="Times New Roman" w:hAnsi="Times New Roman" w:cs="Times New Roman"/>
          <w:noProof/>
        </w:rPr>
      </w:pPr>
      <w:r>
        <w:rPr>
          <w:rFonts w:ascii="Times New Roman" w:hAnsi="Times New Roman"/>
          <w:noProof/>
        </w:rPr>
        <w:t xml:space="preserve">La presente relazione è stata preparata a norma dell'articolo 190 TFUE e dell'articolo 7 del trattato Euratom, dell'articolo 31 del programma quadro Orizzonte 2020 e dell'articolo 21 del programma Euratom che integra Orizzonte 2020. Essa illustra in maniera concisa e non esaustiva le principali misure adottate </w:t>
      </w:r>
      <w:r>
        <w:rPr>
          <w:rFonts w:ascii="Times New Roman" w:hAnsi="Times New Roman"/>
          <w:b/>
          <w:noProof/>
        </w:rPr>
        <w:t>nel 2019</w:t>
      </w:r>
      <w:r>
        <w:rPr>
          <w:rFonts w:ascii="Times New Roman" w:hAnsi="Times New Roman"/>
          <w:noProof/>
        </w:rPr>
        <w:t xml:space="preserve">. Dal 2017 la relazione fa riferimento al </w:t>
      </w:r>
      <w:hyperlink r:id="rId15" w:history="1">
        <w:r>
          <w:rPr>
            <w:rStyle w:val="Hyperlink"/>
            <w:rFonts w:ascii="Times New Roman" w:hAnsi="Times New Roman"/>
            <w:noProof/>
            <w:color w:val="auto"/>
          </w:rPr>
          <w:t>portale di Orizzonte 2020</w:t>
        </w:r>
      </w:hyperlink>
      <w:r>
        <w:rPr>
          <w:rFonts w:ascii="Times New Roman" w:hAnsi="Times New Roman"/>
          <w:noProof/>
        </w:rPr>
        <w:t xml:space="preserve"> per ulteriori dati di monitoraggio dettagliati</w:t>
      </w:r>
      <w:r>
        <w:rPr>
          <w:rFonts w:ascii="Times New Roman" w:hAnsi="Times New Roman"/>
          <w:b/>
          <w:noProof/>
        </w:rPr>
        <w:t>.</w:t>
      </w:r>
      <w:r>
        <w:rPr>
          <w:rFonts w:ascii="Times New Roman" w:hAnsi="Times New Roman"/>
          <w:noProof/>
        </w:rPr>
        <w:t xml:space="preserve"> </w:t>
      </w:r>
    </w:p>
    <w:p>
      <w:pPr>
        <w:jc w:val="both"/>
        <w:rPr>
          <w:rFonts w:ascii="Times New Roman" w:hAnsi="Times New Roman" w:cs="Times New Roman"/>
          <w:noProof/>
        </w:rPr>
      </w:pPr>
    </w:p>
    <w:p>
      <w:pPr>
        <w:jc w:val="both"/>
        <w:rPr>
          <w:rFonts w:ascii="Times New Roman" w:hAnsi="Times New Roman" w:cs="Times New Roman"/>
          <w:b/>
          <w:noProof/>
        </w:rPr>
      </w:pPr>
      <w:r>
        <w:rPr>
          <w:rFonts w:ascii="Times New Roman" w:hAnsi="Times New Roman"/>
          <w:b/>
          <w:noProof/>
        </w:rPr>
        <w:t>2.</w:t>
      </w:r>
      <w:r>
        <w:rPr>
          <w:rFonts w:ascii="Times New Roman" w:hAnsi="Times New Roman"/>
          <w:b/>
          <w:noProof/>
        </w:rPr>
        <w:tab/>
        <w:t xml:space="preserve">Contesto politico </w:t>
      </w:r>
    </w:p>
    <w:p>
      <w:pPr>
        <w:jc w:val="both"/>
        <w:rPr>
          <w:rFonts w:ascii="Times New Roman" w:hAnsi="Times New Roman" w:cs="Times New Roman"/>
          <w:noProof/>
        </w:rPr>
      </w:pPr>
      <w:r>
        <w:rPr>
          <w:rFonts w:ascii="Times New Roman" w:hAnsi="Times New Roman"/>
          <w:noProof/>
        </w:rPr>
        <w:t xml:space="preserve">Nel giugno del 2019 il Consiglio europeo ha adottato </w:t>
      </w:r>
      <w:hyperlink r:id="rId16" w:history="1">
        <w:r>
          <w:rPr>
            <w:rStyle w:val="Hyperlink"/>
            <w:rFonts w:ascii="Times New Roman" w:hAnsi="Times New Roman"/>
            <w:noProof/>
            <w:color w:val="auto"/>
          </w:rPr>
          <w:t>una nuova agenda strategica per l'UE per il periodo 2019-2024</w:t>
        </w:r>
      </w:hyperlink>
      <w:r>
        <w:rPr>
          <w:rFonts w:ascii="Times New Roman" w:hAnsi="Times New Roman"/>
          <w:noProof/>
        </w:rPr>
        <w:t>, nella quale ha definito i settori prioritari per orientare i propri lavori e guidare i programmi di lavoro di altre istituzioni dell'UE.</w:t>
      </w:r>
    </w:p>
    <w:p>
      <w:pPr>
        <w:jc w:val="both"/>
        <w:rPr>
          <w:rFonts w:ascii="Times New Roman" w:hAnsi="Times New Roman" w:cs="Times New Roman"/>
          <w:noProof/>
        </w:rPr>
      </w:pPr>
      <w:r>
        <w:rPr>
          <w:rFonts w:ascii="Times New Roman" w:hAnsi="Times New Roman"/>
          <w:noProof/>
        </w:rPr>
        <w:t xml:space="preserve">La ricerca e l'innovazione (R&amp;I) svolgono un ruolo chiave nei sei </w:t>
      </w:r>
      <w:hyperlink r:id="rId17" w:history="1">
        <w:r>
          <w:rPr>
            <w:rStyle w:val="Hyperlink"/>
            <w:rFonts w:ascii="Times New Roman" w:hAnsi="Times New Roman"/>
            <w:noProof/>
            <w:color w:val="auto"/>
          </w:rPr>
          <w:t>orientamenti politici</w:t>
        </w:r>
      </w:hyperlink>
      <w:r>
        <w:rPr>
          <w:rFonts w:ascii="Times New Roman" w:hAnsi="Times New Roman"/>
          <w:noProof/>
        </w:rPr>
        <w:t xml:space="preserve"> della Commissione von der Leyen, fungendo da fonte di fatti concreti sui quali basare le decisioni politiche e l'attuazione delle politiche, nonché da mezzo per conseguire gli obiettivi. In particolare, il "</w:t>
      </w:r>
      <w:hyperlink r:id="rId18" w:history="1">
        <w:r>
          <w:rPr>
            <w:rStyle w:val="Hyperlink"/>
            <w:rFonts w:ascii="Times New Roman" w:hAnsi="Times New Roman"/>
            <w:noProof/>
            <w:color w:val="auto"/>
          </w:rPr>
          <w:t>Green Deal europeo"</w:t>
        </w:r>
      </w:hyperlink>
      <w:r>
        <w:rPr>
          <w:rFonts w:ascii="Times New Roman" w:hAnsi="Times New Roman"/>
          <w:noProof/>
        </w:rPr>
        <w:t xml:space="preserve"> (comunicazione della Commissione adottata nel dicembre del 2019) mira a rendere l'Europa il primo continente a impatto climatico zero entro il 2050. Le priorità "</w:t>
      </w:r>
      <w:hyperlink r:id="rId19" w:history="1">
        <w:r>
          <w:rPr>
            <w:rStyle w:val="Hyperlink"/>
            <w:rFonts w:ascii="Times New Roman" w:hAnsi="Times New Roman"/>
            <w:noProof/>
            <w:color w:val="auto"/>
          </w:rPr>
          <w:t>Un'Europa pronta per l'era digitale</w:t>
        </w:r>
      </w:hyperlink>
      <w:r>
        <w:rPr>
          <w:rFonts w:ascii="Times New Roman" w:hAnsi="Times New Roman"/>
          <w:noProof/>
        </w:rPr>
        <w:t>"</w:t>
      </w:r>
      <w:r>
        <w:rPr>
          <w:rFonts w:ascii="Times New Roman" w:hAnsi="Times New Roman"/>
          <w:noProof/>
          <w:vertAlign w:val="superscript"/>
        </w:rPr>
        <w:t xml:space="preserve"> </w:t>
      </w:r>
      <w:r>
        <w:rPr>
          <w:rFonts w:ascii="Times New Roman" w:hAnsi="Times New Roman"/>
          <w:noProof/>
        </w:rPr>
        <w:t>e "</w:t>
      </w:r>
      <w:hyperlink r:id="rId20" w:history="1">
        <w:r>
          <w:rPr>
            <w:rStyle w:val="Hyperlink"/>
            <w:rFonts w:ascii="Times New Roman" w:hAnsi="Times New Roman"/>
            <w:noProof/>
            <w:color w:val="auto"/>
          </w:rPr>
          <w:t>Un'economia al servizio delle persone</w:t>
        </w:r>
      </w:hyperlink>
      <w:r>
        <w:rPr>
          <w:rFonts w:ascii="Times New Roman" w:hAnsi="Times New Roman"/>
          <w:noProof/>
        </w:rPr>
        <w:t>" presentano forti implicazioni per la ricerca dirompente e l'innovazione rivoluzionaria, e in particolare il Consiglio europeo per l'innovazione (CEI). la R&amp;I sarà importante anche nell'ottica della "</w:t>
      </w:r>
      <w:hyperlink r:id="rId21" w:history="1">
        <w:r>
          <w:rPr>
            <w:rStyle w:val="Hyperlink"/>
            <w:rFonts w:ascii="Times New Roman" w:hAnsi="Times New Roman"/>
            <w:noProof/>
            <w:color w:val="auto"/>
          </w:rPr>
          <w:t>Promozione del nostro stile di vita europeo"</w:t>
        </w:r>
      </w:hyperlink>
      <w:r>
        <w:rPr>
          <w:rFonts w:ascii="Times New Roman" w:hAnsi="Times New Roman"/>
          <w:noProof/>
        </w:rPr>
        <w:t>, di "</w:t>
      </w:r>
      <w:hyperlink r:id="rId22" w:history="1">
        <w:r>
          <w:rPr>
            <w:rStyle w:val="Hyperlink"/>
            <w:rFonts w:ascii="Times New Roman" w:hAnsi="Times New Roman"/>
            <w:noProof/>
            <w:color w:val="auto"/>
          </w:rPr>
          <w:t>Un'Europa più forte nel mondo</w:t>
        </w:r>
      </w:hyperlink>
      <w:r>
        <w:rPr>
          <w:rFonts w:ascii="Times New Roman" w:hAnsi="Times New Roman"/>
          <w:noProof/>
        </w:rPr>
        <w:t>" e di "</w:t>
      </w:r>
      <w:hyperlink r:id="rId23" w:history="1">
        <w:r>
          <w:rPr>
            <w:rStyle w:val="Hyperlink"/>
            <w:rFonts w:ascii="Times New Roman" w:hAnsi="Times New Roman"/>
            <w:noProof/>
            <w:color w:val="auto"/>
          </w:rPr>
          <w:t>Un nuovo slancio per la democrazia europea"</w:t>
        </w:r>
      </w:hyperlink>
      <w:r>
        <w:rPr>
          <w:rFonts w:ascii="Times New Roman" w:hAnsi="Times New Roman"/>
          <w:noProof/>
        </w:rPr>
        <w:t xml:space="preserve">. </w:t>
      </w:r>
    </w:p>
    <w:p>
      <w:pPr>
        <w:jc w:val="both"/>
        <w:rPr>
          <w:rFonts w:ascii="Times New Roman" w:hAnsi="Times New Roman" w:cs="Times New Roman"/>
          <w:i/>
          <w:noProof/>
        </w:rPr>
      </w:pPr>
    </w:p>
    <w:p>
      <w:pPr>
        <w:jc w:val="both"/>
        <w:rPr>
          <w:rFonts w:ascii="Times New Roman" w:hAnsi="Times New Roman" w:cs="Times New Roman"/>
          <w:b/>
          <w:noProof/>
        </w:rPr>
      </w:pPr>
      <w:r>
        <w:rPr>
          <w:rFonts w:ascii="Times New Roman" w:hAnsi="Times New Roman"/>
          <w:b/>
          <w:noProof/>
        </w:rPr>
        <w:t>3.</w:t>
      </w:r>
      <w:r>
        <w:rPr>
          <w:rFonts w:ascii="Times New Roman" w:hAnsi="Times New Roman"/>
          <w:b/>
          <w:noProof/>
        </w:rPr>
        <w:tab/>
        <w:t>Quadro politico in materia di R&amp;I</w:t>
      </w:r>
    </w:p>
    <w:p>
      <w:pPr>
        <w:jc w:val="both"/>
        <w:rPr>
          <w:rFonts w:ascii="Times New Roman" w:hAnsi="Times New Roman" w:cs="Times New Roman"/>
          <w:b/>
          <w:i/>
          <w:noProof/>
        </w:rPr>
      </w:pPr>
      <w:r>
        <w:rPr>
          <w:rFonts w:ascii="Times New Roman" w:hAnsi="Times New Roman"/>
          <w:b/>
          <w:i/>
          <w:noProof/>
        </w:rPr>
        <w:t>3.1 Orizzonte Europa</w:t>
      </w:r>
    </w:p>
    <w:p>
      <w:pPr>
        <w:jc w:val="both"/>
        <w:rPr>
          <w:rFonts w:ascii="Times New Roman" w:hAnsi="Times New Roman" w:cs="Times New Roman"/>
          <w:noProof/>
        </w:rPr>
      </w:pPr>
      <w:r>
        <w:rPr>
          <w:rFonts w:ascii="Times New Roman" w:hAnsi="Times New Roman"/>
          <w:noProof/>
        </w:rPr>
        <w:t xml:space="preserve">Nel marzo/aprile 2019 il Parlamento e il Consiglio hanno raggiunto un accordo politico su aspetti importanti delle proposte legislative riguardanti il programma quadro Orizzonte Europa/norme di partecipazione e diffusione e il programma specifico (entrambi previsti dal TFUE), confermando i </w:t>
      </w:r>
      <w:r>
        <w:rPr>
          <w:rFonts w:ascii="Times New Roman" w:hAnsi="Times New Roman"/>
          <w:noProof/>
        </w:rPr>
        <w:lastRenderedPageBreak/>
        <w:t>nuovi elementi introdotti nelle proposte della Commissione. Su questa base la Commissione ha avviato la pianificazione strategica per il primo piano strategico di Orizzonte Europa.</w:t>
      </w:r>
    </w:p>
    <w:p>
      <w:pPr>
        <w:jc w:val="both"/>
        <w:rPr>
          <w:rFonts w:ascii="Times New Roman" w:hAnsi="Times New Roman" w:cs="Times New Roman"/>
          <w:noProof/>
          <w:u w:val="single"/>
        </w:rPr>
      </w:pPr>
      <w:r>
        <w:rPr>
          <w:rFonts w:ascii="Times New Roman" w:hAnsi="Times New Roman"/>
          <w:noProof/>
          <w:u w:val="single"/>
        </w:rPr>
        <w:t xml:space="preserve">Pianificazione strategica </w:t>
      </w:r>
    </w:p>
    <w:p>
      <w:pPr>
        <w:jc w:val="both"/>
        <w:rPr>
          <w:rFonts w:ascii="Times New Roman" w:hAnsi="Times New Roman" w:cs="Times New Roman"/>
          <w:noProof/>
        </w:rPr>
      </w:pPr>
      <w:r>
        <w:rPr>
          <w:rFonts w:ascii="Times New Roman" w:hAnsi="Times New Roman"/>
          <w:noProof/>
        </w:rPr>
        <w:t xml:space="preserve">A integrazione di un'intensa co-creazione interna, la Commissione ha avviato un ampio e inclusivo esercizio di elaborazione congiunta con il Parlamento, gli Stati membri, i portatori di interessi e il pubblico. Ciò ha compreso eventi quali la prima edizione delle </w:t>
      </w:r>
      <w:r>
        <w:rPr>
          <w:rFonts w:ascii="Times New Roman" w:hAnsi="Times New Roman"/>
          <w:b/>
          <w:noProof/>
        </w:rPr>
        <w:t>Giornate europee della ricerca e dell'innovazione</w:t>
      </w:r>
      <w:r>
        <w:rPr>
          <w:rFonts w:ascii="Times New Roman" w:hAnsi="Times New Roman"/>
          <w:noProof/>
        </w:rPr>
        <w:t xml:space="preserve"> tenutesi nel settembre del 2019 (</w:t>
      </w:r>
      <w:hyperlink r:id="rId24" w:history="1">
        <w:r>
          <w:rPr>
            <w:rStyle w:val="Hyperlink"/>
            <w:rFonts w:ascii="Times New Roman" w:hAnsi="Times New Roman"/>
            <w:noProof/>
            <w:color w:val="auto"/>
          </w:rPr>
          <w:t>"Giornate R&amp;I 2019"</w:t>
        </w:r>
      </w:hyperlink>
      <w:r>
        <w:rPr>
          <w:rFonts w:ascii="Times New Roman" w:hAnsi="Times New Roman"/>
          <w:noProof/>
        </w:rPr>
        <w:t>) e ha portato alla redazione del documento "</w:t>
      </w:r>
      <w:hyperlink r:id="rId25" w:history="1">
        <w:r>
          <w:rPr>
            <w:rStyle w:val="Hyperlink"/>
            <w:rFonts w:ascii="Times New Roman" w:hAnsi="Times New Roman"/>
            <w:i/>
            <w:iCs/>
            <w:noProof/>
            <w:color w:val="auto"/>
          </w:rPr>
          <w:t>Orientations towards the first Strategic Plan for Horizon Europe</w:t>
        </w:r>
      </w:hyperlink>
      <w:r>
        <w:rPr>
          <w:rFonts w:ascii="Times New Roman" w:hAnsi="Times New Roman"/>
          <w:noProof/>
        </w:rPr>
        <w:t xml:space="preserve">" [Orientamenti per il primo piano strategico di Orizzonte Europa]. Il presente documento illustra i risultati della fase di elaborazione congiunta e comprende possibili impatti da prendere in considerazione nel primo piano strategico. Allo stesso tempo, un esercizio di elaborazione congiunta completo, comprensivo di un'indagine online (cfr. </w:t>
      </w:r>
      <w:hyperlink r:id="rId26" w:history="1">
        <w:r>
          <w:rPr>
            <w:rStyle w:val="Hyperlink"/>
            <w:rFonts w:ascii="Times New Roman" w:hAnsi="Times New Roman"/>
            <w:noProof/>
            <w:color w:val="auto"/>
          </w:rPr>
          <w:t>relazione finale</w:t>
        </w:r>
      </w:hyperlink>
      <w:r>
        <w:rPr>
          <w:rFonts w:ascii="Times New Roman" w:hAnsi="Times New Roman"/>
          <w:noProof/>
        </w:rPr>
        <w:t xml:space="preserve">), è servito per preparare una </w:t>
      </w:r>
      <w:r>
        <w:rPr>
          <w:rFonts w:ascii="Times New Roman" w:hAnsi="Times New Roman"/>
          <w:b/>
          <w:bCs/>
          <w:noProof/>
        </w:rPr>
        <w:t>strategia di attuazione di Orizzonte Europa</w:t>
      </w:r>
      <w:r>
        <w:rPr>
          <w:rFonts w:ascii="Times New Roman" w:hAnsi="Times New Roman"/>
          <w:noProof/>
        </w:rPr>
        <w:t>. Tale strategia fornisce un quadro coerente per tutti gli aspetti dell'attuazione. È concepita per permettere un'ulteriore semplificazione e consentirà la realizzazione degli obiettivi e delle novità del programma sin dall'inizio.</w:t>
      </w:r>
    </w:p>
    <w:p>
      <w:pPr>
        <w:jc w:val="both"/>
        <w:rPr>
          <w:rFonts w:ascii="Times New Roman" w:hAnsi="Times New Roman" w:cs="Times New Roman"/>
          <w:noProof/>
          <w:u w:val="single"/>
        </w:rPr>
      </w:pPr>
      <w:r>
        <w:rPr>
          <w:rFonts w:ascii="Times New Roman" w:hAnsi="Times New Roman"/>
          <w:noProof/>
          <w:u w:val="single"/>
        </w:rPr>
        <w:t>Missioni</w:t>
      </w:r>
    </w:p>
    <w:p>
      <w:pPr>
        <w:jc w:val="both"/>
        <w:rPr>
          <w:rFonts w:ascii="Times New Roman" w:hAnsi="Times New Roman" w:cs="Times New Roman"/>
          <w:noProof/>
        </w:rPr>
      </w:pPr>
      <w:r>
        <w:rPr>
          <w:rFonts w:ascii="Times New Roman" w:hAnsi="Times New Roman"/>
          <w:bCs/>
          <w:noProof/>
        </w:rPr>
        <w:t xml:space="preserve">Uno dei nuovi aspetti principali di Orizzonte Europa è l'introduzione di </w:t>
      </w:r>
      <w:hyperlink r:id="rId27" w:history="1">
        <w:r>
          <w:rPr>
            <w:rStyle w:val="Hyperlink"/>
            <w:rFonts w:ascii="Times New Roman" w:hAnsi="Times New Roman"/>
            <w:bCs/>
            <w:noProof/>
            <w:color w:val="auto"/>
          </w:rPr>
          <w:t>missioni</w:t>
        </w:r>
      </w:hyperlink>
      <w:r>
        <w:rPr>
          <w:rFonts w:ascii="Times New Roman" w:hAnsi="Times New Roman"/>
          <w:bCs/>
          <w:noProof/>
        </w:rPr>
        <w:t>. Il Parlamento e il Consiglio hanno concordato</w:t>
      </w:r>
      <w:r>
        <w:rPr>
          <w:rFonts w:ascii="Times New Roman" w:hAnsi="Times New Roman"/>
          <w:b/>
          <w:bCs/>
          <w:noProof/>
        </w:rPr>
        <w:t xml:space="preserve"> cinque settori per possibili missioni</w:t>
      </w:r>
      <w:r>
        <w:rPr>
          <w:rFonts w:ascii="Times New Roman" w:hAnsi="Times New Roman"/>
          <w:bCs/>
          <w:noProof/>
        </w:rPr>
        <w:t xml:space="preserve">. </w:t>
      </w:r>
      <w:r>
        <w:rPr>
          <w:rFonts w:ascii="Times New Roman" w:hAnsi="Times New Roman"/>
          <w:noProof/>
        </w:rPr>
        <w:t xml:space="preserve">Nel 2019, in seguito a un invito a manifestare interesse, sono stati istituiti </w:t>
      </w:r>
      <w:r>
        <w:rPr>
          <w:rFonts w:ascii="Times New Roman" w:hAnsi="Times New Roman"/>
          <w:bCs/>
          <w:noProof/>
        </w:rPr>
        <w:t>c</w:t>
      </w:r>
      <w:r>
        <w:rPr>
          <w:rFonts w:ascii="Times New Roman" w:hAnsi="Times New Roman"/>
          <w:noProof/>
        </w:rPr>
        <w:t>inque</w:t>
      </w:r>
      <w:r>
        <w:rPr>
          <w:rFonts w:ascii="Times New Roman" w:hAnsi="Times New Roman"/>
          <w:b/>
          <w:noProof/>
        </w:rPr>
        <w:t xml:space="preserve"> comitati di missione</w:t>
      </w:r>
      <w:r>
        <w:rPr>
          <w:rFonts w:ascii="Times New Roman" w:hAnsi="Times New Roman"/>
          <w:noProof/>
        </w:rPr>
        <w:t xml:space="preserve"> corrispondenti</w:t>
      </w:r>
      <w:r>
        <w:rPr>
          <w:rFonts w:ascii="Times New Roman" w:hAnsi="Times New Roman"/>
          <w:bCs/>
          <w:noProof/>
        </w:rPr>
        <w:t xml:space="preserve"> a tali cinque settori</w:t>
      </w:r>
      <w:r>
        <w:rPr>
          <w:rFonts w:ascii="Times New Roman" w:hAnsi="Times New Roman"/>
          <w:noProof/>
        </w:rPr>
        <w:t>. Tali comitati riuniscono esperti in materia di R&amp;I, responsabili delle politiche, rappresentanti della società civile e di organizzazioni di professionisti. I presidenti dei comitati sono stati annunciati a luglio e i comitati hanno iniziato i lavori di consulenza per missioni specifiche a settembre. In ciascun settore è stato avviato un esercizio di previsione a sostegno del lavoro dei comitati di missione. A ogni settore è associata un'</w:t>
      </w:r>
      <w:r>
        <w:rPr>
          <w:rFonts w:ascii="Times New Roman" w:hAnsi="Times New Roman"/>
          <w:b/>
          <w:noProof/>
        </w:rPr>
        <w:t>assemblea</w:t>
      </w:r>
      <w:r>
        <w:rPr>
          <w:rFonts w:ascii="Times New Roman" w:hAnsi="Times New Roman"/>
          <w:noProof/>
        </w:rPr>
        <w:t xml:space="preserve"> che riunisce un numero maggiore di esperti di alto livello e fornisce idee, conoscenze e competenze aggiuntive.</w:t>
      </w:r>
    </w:p>
    <w:p>
      <w:pPr>
        <w:jc w:val="both"/>
        <w:rPr>
          <w:rFonts w:ascii="Times New Roman" w:hAnsi="Times New Roman" w:cs="Times New Roman"/>
          <w:noProof/>
          <w:u w:val="single"/>
        </w:rPr>
      </w:pPr>
      <w:r>
        <w:rPr>
          <w:rFonts w:ascii="Times New Roman" w:hAnsi="Times New Roman"/>
          <w:noProof/>
          <w:u w:val="single"/>
        </w:rPr>
        <w:t xml:space="preserve">Partenariati europei </w:t>
      </w:r>
    </w:p>
    <w:p>
      <w:pPr>
        <w:jc w:val="both"/>
        <w:rPr>
          <w:rFonts w:ascii="Times New Roman" w:hAnsi="Times New Roman" w:cs="Times New Roman"/>
          <w:noProof/>
        </w:rPr>
      </w:pPr>
      <w:r>
        <w:rPr>
          <w:rFonts w:ascii="Times New Roman" w:hAnsi="Times New Roman"/>
          <w:noProof/>
        </w:rPr>
        <w:t xml:space="preserve">Nel contesto della pianificazione strategica di Orizzonte Europa, la Commissione ha individuato 49 candidati per partenariati europei nel corso di un esercizio di elaborazione congiunta nella prima metà del 2019 (cfr. allegato 7 degli "Orientamenti"). Di questi, 13 sono stati individuati come candidati a partenariati europei istituzionalizzati ai sensi degli articoli 185 e 187 TFUE (il Parlamento e il Consiglio hanno concordato otto settori per possibili partenariati). I candidati sono attualmente sottoposti a una valutazione ex ante dell'impatto. </w:t>
      </w:r>
    </w:p>
    <w:p>
      <w:pPr>
        <w:jc w:val="both"/>
        <w:rPr>
          <w:rFonts w:ascii="Times New Roman" w:hAnsi="Times New Roman" w:cs="Times New Roman"/>
          <w:noProof/>
        </w:rPr>
      </w:pPr>
      <w:r>
        <w:rPr>
          <w:rFonts w:ascii="Times New Roman" w:hAnsi="Times New Roman"/>
          <w:noProof/>
        </w:rPr>
        <w:t>Nella seconda metà del 2019, la Commissione ha iniziato a lavorare con potenziali partner e portatori di interessi per assicurare che i partenariati europei oggetto di programmazione congiunta e di cofinanziamento siano conformi alle nuove ambizioni e ai criteri di Orizzonte Europa.</w:t>
      </w:r>
    </w:p>
    <w:p>
      <w:pPr>
        <w:jc w:val="both"/>
        <w:rPr>
          <w:rFonts w:ascii="Times New Roman" w:hAnsi="Times New Roman" w:cs="Times New Roman"/>
          <w:noProof/>
          <w:u w:val="single"/>
        </w:rPr>
      </w:pPr>
      <w:r>
        <w:rPr>
          <w:rFonts w:ascii="Times New Roman" w:hAnsi="Times New Roman"/>
          <w:noProof/>
          <w:u w:val="single"/>
        </w:rPr>
        <w:t xml:space="preserve">Sinergie con altri programmi </w:t>
      </w:r>
    </w:p>
    <w:p>
      <w:pPr>
        <w:jc w:val="both"/>
        <w:rPr>
          <w:rFonts w:ascii="Times New Roman" w:hAnsi="Times New Roman" w:cs="Times New Roman"/>
          <w:noProof/>
        </w:rPr>
      </w:pPr>
      <w:r>
        <w:rPr>
          <w:rFonts w:ascii="Times New Roman" w:hAnsi="Times New Roman"/>
          <w:noProof/>
        </w:rPr>
        <w:t>Nel corso del 2019 il Parlamento e il Consiglio hanno formalmente espresso ampio sostegno all'approccio e al contenuto dell'allegato IV "Sinergie con altri programmi" della proposta della Commissione sul programma quadro Orizzonte Europa/norme di partecipazione e diffusione</w:t>
      </w:r>
      <w:r>
        <w:rPr>
          <w:rFonts w:ascii="Times New Roman" w:hAnsi="Times New Roman" w:cs="Times New Roman"/>
          <w:noProof/>
          <w:vertAlign w:val="superscript"/>
        </w:rPr>
        <w:footnoteReference w:id="1"/>
      </w:r>
      <w:r>
        <w:rPr>
          <w:rFonts w:ascii="Times New Roman" w:hAnsi="Times New Roman"/>
          <w:noProof/>
        </w:rPr>
        <w:t xml:space="preserve">. L'obiettivo è sfruttare le sinergie tra Orizzonte Europa e ciascuno degli altri programmi nel periodo 2021-2027, creando sinergie sequenziali e norme più semplici e più efficaci per finanziamenti complementari e combinati. </w:t>
      </w:r>
    </w:p>
    <w:p>
      <w:pPr>
        <w:jc w:val="both"/>
        <w:rPr>
          <w:rFonts w:ascii="Times New Roman" w:hAnsi="Times New Roman" w:cs="Times New Roman"/>
          <w:b/>
          <w:i/>
          <w:noProof/>
        </w:rPr>
      </w:pPr>
      <w:r>
        <w:rPr>
          <w:rFonts w:ascii="Times New Roman" w:hAnsi="Times New Roman"/>
          <w:b/>
          <w:i/>
          <w:noProof/>
        </w:rPr>
        <w:t>3.2 Sviluppi delle politiche</w:t>
      </w:r>
    </w:p>
    <w:p>
      <w:pPr>
        <w:jc w:val="both"/>
        <w:rPr>
          <w:rFonts w:ascii="Times New Roman" w:hAnsi="Times New Roman" w:cs="Times New Roman"/>
          <w:noProof/>
          <w:u w:val="single"/>
        </w:rPr>
      </w:pPr>
      <w:r>
        <w:rPr>
          <w:rFonts w:ascii="Times New Roman" w:hAnsi="Times New Roman"/>
          <w:noProof/>
          <w:u w:val="single"/>
        </w:rPr>
        <w:t xml:space="preserve">Pianeta </w:t>
      </w:r>
    </w:p>
    <w:p>
      <w:pPr>
        <w:jc w:val="both"/>
        <w:rPr>
          <w:rFonts w:ascii="Times New Roman" w:hAnsi="Times New Roman" w:cs="Times New Roman"/>
          <w:noProof/>
        </w:rPr>
      </w:pPr>
      <w:r>
        <w:rPr>
          <w:rFonts w:ascii="Times New Roman" w:hAnsi="Times New Roman"/>
          <w:noProof/>
        </w:rPr>
        <w:t>Nel 2019 il clima è rimasto un tema prioritario a livello europeo. Le relazioni speciali "</w:t>
      </w:r>
      <w:r>
        <w:rPr>
          <w:rFonts w:ascii="Times New Roman" w:hAnsi="Times New Roman"/>
          <w:i/>
          <w:iCs/>
          <w:noProof/>
        </w:rPr>
        <w:t>Climate Change &amp; Land</w:t>
      </w:r>
      <w:r>
        <w:rPr>
          <w:rFonts w:ascii="Times New Roman" w:hAnsi="Times New Roman"/>
          <w:noProof/>
        </w:rPr>
        <w:t>" [Cambiamenti climatici e territorio] e "</w:t>
      </w:r>
      <w:r>
        <w:rPr>
          <w:rFonts w:ascii="Times New Roman" w:hAnsi="Times New Roman"/>
          <w:i/>
          <w:iCs/>
          <w:noProof/>
        </w:rPr>
        <w:t>Ocean &amp; Cryosphere</w:t>
      </w:r>
      <w:r>
        <w:rPr>
          <w:rFonts w:ascii="Times New Roman" w:hAnsi="Times New Roman"/>
          <w:noProof/>
        </w:rPr>
        <w:t>" [Oceano e criosfera] del Gruppo intergovernativo di esperti sul cambiamento climatico (IPCC) hanno evidenziato l'urgenza della questione climatica. L'agenda sulla biodiversità ha acquisito slancio con l'avvio della valutazione globale sulla biodiversità guidata dalla piattaforma intergovernativa di politica scientifica per la biodiversità e i servizi ecosistemici (IPBES). La Commissione ha presentato il suo "</w:t>
      </w:r>
      <w:r>
        <w:rPr>
          <w:rFonts w:ascii="Times New Roman" w:hAnsi="Times New Roman"/>
          <w:b/>
          <w:noProof/>
        </w:rPr>
        <w:t>Green Deal europeo</w:t>
      </w:r>
      <w:r>
        <w:rPr>
          <w:rFonts w:ascii="Times New Roman" w:hAnsi="Times New Roman"/>
          <w:noProof/>
        </w:rPr>
        <w:t xml:space="preserve">", che mira ad accelerare i progressi verso gli obiettivi del 2030 e a rendere l'Europa il primo continente a impatto climatico zero entro il 2050. Le principali misure politiche che accompagnano il Green Deal spaziano dalla riduzione delle emissioni all'investimento in R&amp;I all'avanguardia, dalla preservazione dell'ambiente naturale europeo al sostegno a favore di un cambiamento comportamentale radicale. Come affermato nel Green Deal, sono attualmente in fase di sviluppo a livello globale ed europeo delle strategie in materia di biodiversità. La Commissione ha partecipato attivamente ai negoziati e all'adozione di numerose relazioni IPCC e alla valutazione globale dell'IPBES sulla biodiversità e i servizi ecosistemici. </w:t>
      </w:r>
    </w:p>
    <w:p>
      <w:pPr>
        <w:jc w:val="both"/>
        <w:rPr>
          <w:rFonts w:ascii="Times New Roman" w:hAnsi="Times New Roman" w:cs="Times New Roman"/>
          <w:noProof/>
        </w:rPr>
      </w:pPr>
      <w:r>
        <w:rPr>
          <w:rFonts w:ascii="Times New Roman" w:hAnsi="Times New Roman"/>
          <w:noProof/>
        </w:rPr>
        <w:t>Sono proseguiti i lavori per attuare le 20 misure politiche contenute nella comunicazione "</w:t>
      </w:r>
      <w:hyperlink r:id="rId28" w:history="1">
        <w:r>
          <w:rPr>
            <w:rStyle w:val="Hyperlink"/>
            <w:rFonts w:ascii="Times New Roman" w:hAnsi="Times New Roman"/>
            <w:noProof/>
            <w:color w:val="auto"/>
          </w:rPr>
          <w:t>Nuovo slancio all'innovazione nel settore dell'energia pulita</w:t>
        </w:r>
      </w:hyperlink>
      <w:r>
        <w:rPr>
          <w:rFonts w:ascii="Times New Roman" w:hAnsi="Times New Roman"/>
          <w:noProof/>
        </w:rPr>
        <w:t xml:space="preserve">". Si tratta di misure che contribuiscono al conseguimento degli obiettivi dell'Unione dell'energia attraverso la R&amp;I. </w:t>
      </w:r>
    </w:p>
    <w:p>
      <w:pPr>
        <w:jc w:val="both"/>
        <w:rPr>
          <w:rFonts w:ascii="Times New Roman" w:hAnsi="Times New Roman" w:cs="Times New Roman"/>
          <w:noProof/>
        </w:rPr>
      </w:pPr>
      <w:r>
        <w:rPr>
          <w:rFonts w:ascii="Times New Roman" w:hAnsi="Times New Roman"/>
          <w:noProof/>
        </w:rPr>
        <w:t>Il finanziamento di Orizzonte 2020 per l'Oceano Atlantico è salito a quasi 200 milioni di EUR, dato che nel 2019 sono stati avviati nuovi progetti per un valore di oltre 30 milioni di EUR.</w:t>
      </w:r>
    </w:p>
    <w:p>
      <w:pPr>
        <w:jc w:val="both"/>
        <w:rPr>
          <w:rFonts w:ascii="Times New Roman" w:hAnsi="Times New Roman" w:cs="Times New Roman"/>
          <w:noProof/>
        </w:rPr>
      </w:pPr>
      <w:r>
        <w:rPr>
          <w:rFonts w:ascii="Times New Roman" w:hAnsi="Times New Roman"/>
          <w:noProof/>
        </w:rPr>
        <w:t xml:space="preserve">La Commissione ha varato un </w:t>
      </w:r>
      <w:hyperlink r:id="rId29" w:history="1">
        <w:r>
          <w:rPr>
            <w:rStyle w:val="Hyperlink"/>
            <w:rFonts w:ascii="Times New Roman" w:hAnsi="Times New Roman"/>
            <w:noProof/>
            <w:color w:val="auto"/>
          </w:rPr>
          <w:t>progetto pilota di R&amp;I, BlueMED,</w:t>
        </w:r>
      </w:hyperlink>
      <w:r>
        <w:rPr>
          <w:rFonts w:ascii="Times New Roman" w:hAnsi="Times New Roman"/>
          <w:noProof/>
        </w:rPr>
        <w:t xml:space="preserve"> incentrato sull'obiettivo di un Mediterraneo sano e privo di plastica, un'</w:t>
      </w:r>
      <w:hyperlink r:id="rId30" w:history="1">
        <w:r>
          <w:rPr>
            <w:rStyle w:val="Hyperlink"/>
            <w:rFonts w:ascii="Times New Roman" w:hAnsi="Times New Roman"/>
            <w:noProof/>
            <w:color w:val="auto"/>
          </w:rPr>
          <w:t>Agenda strategica per la ricerca e l'innovazione nel Mar Nero</w:t>
        </w:r>
      </w:hyperlink>
      <w:r>
        <w:rPr>
          <w:rFonts w:ascii="Times New Roman" w:hAnsi="Times New Roman"/>
          <w:noProof/>
        </w:rPr>
        <w:t xml:space="preserve"> e un gruppo di governance dell'</w:t>
      </w:r>
      <w:hyperlink r:id="rId31" w:history="1">
        <w:r>
          <w:rPr>
            <w:rStyle w:val="Hyperlink"/>
            <w:rFonts w:ascii="Times New Roman" w:hAnsi="Times New Roman"/>
            <w:noProof/>
            <w:color w:val="auto"/>
          </w:rPr>
          <w:t>Agenda strategica per la ricerca e l'innovazione nei trasporti</w:t>
        </w:r>
      </w:hyperlink>
      <w:r>
        <w:rPr>
          <w:rFonts w:ascii="Times New Roman" w:hAnsi="Times New Roman"/>
          <w:noProof/>
        </w:rPr>
        <w:t xml:space="preserve">. </w:t>
      </w:r>
    </w:p>
    <w:p>
      <w:pPr>
        <w:jc w:val="both"/>
        <w:rPr>
          <w:rFonts w:ascii="Times New Roman" w:hAnsi="Times New Roman" w:cs="Times New Roman"/>
          <w:noProof/>
          <w:u w:val="single"/>
        </w:rPr>
      </w:pPr>
      <w:r>
        <w:rPr>
          <w:rFonts w:ascii="Times New Roman" w:hAnsi="Times New Roman"/>
          <w:noProof/>
          <w:u w:val="single"/>
        </w:rPr>
        <w:t xml:space="preserve">Persone </w:t>
      </w:r>
    </w:p>
    <w:p>
      <w:pPr>
        <w:jc w:val="both"/>
        <w:rPr>
          <w:rFonts w:ascii="Times New Roman" w:hAnsi="Times New Roman" w:cs="Times New Roman"/>
          <w:bCs/>
          <w:iCs/>
          <w:noProof/>
        </w:rPr>
      </w:pPr>
      <w:r>
        <w:rPr>
          <w:rFonts w:ascii="Times New Roman" w:hAnsi="Times New Roman"/>
          <w:bCs/>
          <w:iCs/>
          <w:noProof/>
        </w:rPr>
        <w:t xml:space="preserve">Nel 2019 la Commissione europea ha celebrato </w:t>
      </w:r>
      <w:r>
        <w:rPr>
          <w:rFonts w:ascii="Times New Roman" w:hAnsi="Times New Roman"/>
          <w:b/>
          <w:bCs/>
          <w:iCs/>
          <w:noProof/>
        </w:rPr>
        <w:t>i 20 anni della politica dell'UE in materia di parità di genere nella R&amp;I</w:t>
      </w:r>
      <w:r>
        <w:rPr>
          <w:rFonts w:ascii="Times New Roman" w:hAnsi="Times New Roman"/>
          <w:bCs/>
          <w:iCs/>
          <w:noProof/>
        </w:rPr>
        <w:t>. In tale contesto, nel corso del 2019, sono stati organizzati azioni ed eventi</w:t>
      </w:r>
      <w:r>
        <w:rPr>
          <w:rFonts w:ascii="Times New Roman" w:hAnsi="Times New Roman"/>
          <w:bCs/>
          <w:iCs/>
          <w:noProof/>
          <w:vertAlign w:val="superscript"/>
        </w:rPr>
        <w:t xml:space="preserve"> </w:t>
      </w:r>
      <w:r>
        <w:rPr>
          <w:rFonts w:ascii="Times New Roman" w:hAnsi="Times New Roman"/>
          <w:bCs/>
          <w:iCs/>
          <w:noProof/>
        </w:rPr>
        <w:t xml:space="preserve">intesi a formulare raccomandazioni politiche per lo Spazio europeo della ricerca (SER). Tali attività erano rivolte ai responsabili politici dell'UE e nazionali, ad organizzazioni di portatori di interessi del SER e ad operatori impegnati in attività relative alla parità di genere, alla comunità degli innovatori e ai cittadini. Tra i risultati si annovera la pubblicazione di </w:t>
      </w:r>
      <w:hyperlink r:id="rId32" w:history="1">
        <w:r>
          <w:rPr>
            <w:rStyle w:val="Hyperlink"/>
            <w:rFonts w:ascii="Times New Roman" w:hAnsi="Times New Roman"/>
            <w:bCs/>
            <w:i/>
            <w:iCs/>
            <w:noProof/>
            <w:color w:val="auto"/>
          </w:rPr>
          <w:t>She Figures 2018</w:t>
        </w:r>
      </w:hyperlink>
      <w:r>
        <w:rPr>
          <w:rFonts w:ascii="Times New Roman" w:hAnsi="Times New Roman"/>
          <w:noProof/>
          <w:vertAlign w:val="superscript"/>
        </w:rPr>
        <w:t xml:space="preserve"> </w:t>
      </w:r>
      <w:r>
        <w:rPr>
          <w:rFonts w:ascii="Times New Roman" w:hAnsi="Times New Roman"/>
          <w:bCs/>
          <w:iCs/>
          <w:noProof/>
        </w:rPr>
        <w:t xml:space="preserve">a marzo 2019, il premio UE 2019 per le donne innovatrici a maggio, oltre a nuovi progetti per attuare piani a sostegno della parità di genere e per analizzare divari di genere e distorsioni nell'assegnazione di sovvenzioni. </w:t>
      </w:r>
    </w:p>
    <w:p>
      <w:pPr>
        <w:jc w:val="both"/>
        <w:rPr>
          <w:rFonts w:ascii="Times New Roman" w:hAnsi="Times New Roman" w:cs="Times New Roman"/>
          <w:noProof/>
        </w:rPr>
      </w:pPr>
      <w:r>
        <w:rPr>
          <w:rFonts w:ascii="Times New Roman" w:hAnsi="Times New Roman"/>
          <w:noProof/>
        </w:rPr>
        <w:t xml:space="preserve">Le </w:t>
      </w:r>
      <w:r>
        <w:rPr>
          <w:rFonts w:ascii="Times New Roman" w:hAnsi="Times New Roman"/>
          <w:b/>
          <w:bCs/>
          <w:noProof/>
        </w:rPr>
        <w:t>azioni Marie Skłodowska-Curie</w:t>
      </w:r>
      <w:r>
        <w:rPr>
          <w:rFonts w:ascii="Times New Roman" w:hAnsi="Times New Roman"/>
          <w:b/>
          <w:noProof/>
        </w:rPr>
        <w:t xml:space="preserve"> (</w:t>
      </w:r>
      <w:r>
        <w:rPr>
          <w:rFonts w:ascii="Times New Roman" w:hAnsi="Times New Roman"/>
          <w:noProof/>
        </w:rPr>
        <w:t xml:space="preserve">MSCA) costituiscono un esempio di buone pratiche in termini di sostegno alle donne attive nella ricerca e di promozione della parità di genere. Le MSCA comprendono disposizioni sull'equilibrio tra attività professionale e vita familiare che attraggono in particolare le donne e contribuiscono quindi all'altissimo tasso di partecipazione delle ricercatrici alle MSCA (il 41 % di tutti i ricercatori sostenuti). </w:t>
      </w:r>
    </w:p>
    <w:p>
      <w:pPr>
        <w:jc w:val="both"/>
        <w:rPr>
          <w:rFonts w:ascii="Times New Roman" w:hAnsi="Times New Roman" w:cs="Times New Roman"/>
          <w:noProof/>
        </w:rPr>
      </w:pPr>
      <w:r>
        <w:rPr>
          <w:rFonts w:ascii="Times New Roman" w:hAnsi="Times New Roman"/>
          <w:noProof/>
        </w:rPr>
        <w:t xml:space="preserve">La Commissione ha pubblicato due documenti politici nel 2019: il </w:t>
      </w:r>
      <w:hyperlink r:id="rId33" w:history="1">
        <w:r>
          <w:rPr>
            <w:rStyle w:val="Hyperlink"/>
            <w:rFonts w:ascii="Times New Roman" w:hAnsi="Times New Roman"/>
            <w:noProof/>
            <w:color w:val="auto"/>
          </w:rPr>
          <w:t>riesame della politica in materia di democrazia</w:t>
        </w:r>
      </w:hyperlink>
      <w:r>
        <w:rPr>
          <w:rFonts w:ascii="Times New Roman" w:hAnsi="Times New Roman"/>
          <w:noProof/>
        </w:rPr>
        <w:t xml:space="preserve">, che presenta risultati di ricerca ad esempio sulle tendenze elettorali, sulle disuguaglianze politiche e sulla polarizzazione, e il </w:t>
      </w:r>
      <w:hyperlink r:id="rId34" w:history="1">
        <w:r>
          <w:rPr>
            <w:rStyle w:val="Hyperlink"/>
            <w:rFonts w:ascii="Times New Roman" w:hAnsi="Times New Roman"/>
            <w:noProof/>
            <w:color w:val="auto"/>
          </w:rPr>
          <w:t>riesame sulla cittadinanza</w:t>
        </w:r>
      </w:hyperlink>
      <w:r>
        <w:rPr>
          <w:rFonts w:ascii="Times New Roman" w:hAnsi="Times New Roman"/>
          <w:noProof/>
        </w:rPr>
        <w:t xml:space="preserve">, che presenta risultati di ricerca sugli sviluppi e sulle prospettive future della cittadinanza dell'UE. </w:t>
      </w:r>
    </w:p>
    <w:p>
      <w:pPr>
        <w:jc w:val="both"/>
        <w:rPr>
          <w:rFonts w:ascii="Times New Roman" w:hAnsi="Times New Roman" w:cs="Times New Roman"/>
          <w:noProof/>
          <w:u w:val="single"/>
        </w:rPr>
      </w:pPr>
      <w:r>
        <w:rPr>
          <w:rFonts w:ascii="Times New Roman" w:hAnsi="Times New Roman"/>
          <w:noProof/>
          <w:u w:val="single"/>
        </w:rPr>
        <w:t xml:space="preserve">Prosperità </w:t>
      </w:r>
    </w:p>
    <w:p>
      <w:pPr>
        <w:jc w:val="both"/>
        <w:rPr>
          <w:rFonts w:ascii="Times New Roman" w:hAnsi="Times New Roman" w:cs="Times New Roman"/>
          <w:noProof/>
        </w:rPr>
      </w:pPr>
      <w:r>
        <w:rPr>
          <w:rFonts w:ascii="Times New Roman" w:hAnsi="Times New Roman"/>
          <w:noProof/>
        </w:rPr>
        <w:t>Il "</w:t>
      </w:r>
      <w:r>
        <w:rPr>
          <w:rFonts w:ascii="Times New Roman" w:hAnsi="Times New Roman"/>
          <w:b/>
          <w:noProof/>
        </w:rPr>
        <w:t>quadro di valutazione degli investimenti in ricerca e sviluppo industriali dell'UE</w:t>
      </w:r>
      <w:r>
        <w:rPr>
          <w:rFonts w:ascii="Times New Roman" w:hAnsi="Times New Roman"/>
          <w:noProof/>
        </w:rPr>
        <w:t xml:space="preserve">" del 2019 evidenzia i principali cambiamenti nel settore della ricerca e dello sviluppo delle imprese oltre agli indicatori economici nell'ultimo anno e alle loro prestazioni negli ultimi 10 anni. Comprende altresì analisi basate su brevetti per mappare ulteriormente l'efficienza della ricerca e dello sviluppo del settore della sanità, nonché il quadro di valutazione delle attività delle imprese nel settore della tecnologia ambientale. </w:t>
      </w:r>
    </w:p>
    <w:p>
      <w:pPr>
        <w:jc w:val="both"/>
        <w:rPr>
          <w:rFonts w:ascii="Times New Roman" w:hAnsi="Times New Roman" w:cs="Times New Roman"/>
          <w:noProof/>
        </w:rPr>
      </w:pPr>
      <w:r>
        <w:rPr>
          <w:rFonts w:ascii="Times New Roman" w:hAnsi="Times New Roman"/>
          <w:noProof/>
        </w:rPr>
        <w:t xml:space="preserve">Nel contesto dello sviluppo del </w:t>
      </w:r>
      <w:r>
        <w:rPr>
          <w:rFonts w:ascii="Times New Roman" w:hAnsi="Times New Roman"/>
          <w:b/>
          <w:noProof/>
        </w:rPr>
        <w:t>concetto di banco di prova dell'innovazione aperta</w:t>
      </w:r>
      <w:r>
        <w:rPr>
          <w:rFonts w:ascii="Times New Roman" w:hAnsi="Times New Roman"/>
          <w:noProof/>
        </w:rPr>
        <w:t xml:space="preserve"> che rende più semplice per le PMI e gli innovatori immettere prodotti nuovi sul mercato, nel maggio del 2019 è stato pubblicato un </w:t>
      </w:r>
      <w:hyperlink r:id="rId35" w:history="1">
        <w:r>
          <w:rPr>
            <w:rStyle w:val="Hyperlink"/>
            <w:rFonts w:ascii="Times New Roman" w:hAnsi="Times New Roman"/>
            <w:noProof/>
            <w:color w:val="auto"/>
          </w:rPr>
          <w:t>documento di lavoro dei servizi della Commissione sulle infrastrutture tecnologiche</w:t>
        </w:r>
      </w:hyperlink>
      <w:r>
        <w:rPr>
          <w:rFonts w:ascii="Times New Roman" w:hAnsi="Times New Roman"/>
          <w:noProof/>
        </w:rPr>
        <w:t>. Tale concetto è stato promosso attraverso il "</w:t>
      </w:r>
      <w:r>
        <w:rPr>
          <w:rFonts w:ascii="Times New Roman" w:hAnsi="Times New Roman"/>
          <w:i/>
          <w:iCs/>
          <w:noProof/>
        </w:rPr>
        <w:t>Boosting Innovation Tour</w:t>
      </w:r>
      <w:r>
        <w:rPr>
          <w:rFonts w:ascii="Times New Roman" w:hAnsi="Times New Roman"/>
          <w:noProof/>
        </w:rPr>
        <w:t>" che ha comportato l'organizzazione di eventi di divulgazione in quattro paesi dell'ampliamento (Slovenia, Estonia, Romania e Repubblica ceca).</w:t>
      </w:r>
    </w:p>
    <w:p>
      <w:pPr>
        <w:jc w:val="both"/>
        <w:rPr>
          <w:rFonts w:ascii="Times New Roman" w:hAnsi="Times New Roman" w:cs="Times New Roman"/>
          <w:noProof/>
        </w:rPr>
      </w:pPr>
      <w:r>
        <w:rPr>
          <w:rFonts w:ascii="Times New Roman" w:hAnsi="Times New Roman"/>
          <w:noProof/>
        </w:rPr>
        <w:t>Compiendo un passo importante verso la trasformazione dell'Europa in una delle principali regioni del supercalcolo, l'</w:t>
      </w:r>
      <w:r>
        <w:rPr>
          <w:rFonts w:ascii="Times New Roman" w:hAnsi="Times New Roman"/>
          <w:b/>
          <w:noProof/>
        </w:rPr>
        <w:t>impresa comune europea sul calcolo ad alte prestazioni</w:t>
      </w:r>
      <w:r>
        <w:rPr>
          <w:rFonts w:ascii="Times New Roman" w:hAnsi="Times New Roman"/>
          <w:noProof/>
        </w:rPr>
        <w:t xml:space="preserve"> (</w:t>
      </w:r>
      <w:hyperlink r:id="rId36" w:history="1">
        <w:r>
          <w:rPr>
            <w:rStyle w:val="Hyperlink"/>
            <w:rFonts w:ascii="Times New Roman" w:hAnsi="Times New Roman"/>
            <w:noProof/>
            <w:color w:val="auto"/>
          </w:rPr>
          <w:t>EuroHPC</w:t>
        </w:r>
      </w:hyperlink>
      <w:r>
        <w:rPr>
          <w:rFonts w:ascii="Times New Roman" w:hAnsi="Times New Roman"/>
          <w:noProof/>
        </w:rPr>
        <w:t xml:space="preserve">) ha selezionato otto siti per istituire centri di supercalcolo. Tali centri sosterranno lo sviluppo di applicazioni importanti in settori quali la medicina personalizzata, la progettazione di farmaci e materiali, la bioingegneria, le previsioni meteorologiche e i cambiamenti climatici. </w:t>
      </w:r>
    </w:p>
    <w:p>
      <w:pPr>
        <w:jc w:val="both"/>
        <w:rPr>
          <w:rFonts w:ascii="Times New Roman" w:hAnsi="Times New Roman" w:cs="Times New Roman"/>
          <w:noProof/>
        </w:rPr>
      </w:pPr>
      <w:r>
        <w:rPr>
          <w:rFonts w:ascii="Times New Roman" w:hAnsi="Times New Roman"/>
          <w:noProof/>
        </w:rPr>
        <w:t xml:space="preserve">La Commissione sta agevolando e rafforzando la cooperazione in materia di </w:t>
      </w:r>
      <w:r>
        <w:rPr>
          <w:rFonts w:ascii="Times New Roman" w:hAnsi="Times New Roman"/>
          <w:b/>
          <w:noProof/>
        </w:rPr>
        <w:t>intelligenza artificiale (IA)</w:t>
      </w:r>
      <w:r>
        <w:rPr>
          <w:rFonts w:ascii="Times New Roman" w:hAnsi="Times New Roman"/>
          <w:noProof/>
        </w:rPr>
        <w:t xml:space="preserve"> in tutta l'UE per promuoverne la competitività e garantire la fiducia basata sui valori dell'UE. In linea con la propria strategia in materia di IA per l'Europa, nell'aprile del 2019 il </w:t>
      </w:r>
      <w:hyperlink r:id="rId37" w:history="1">
        <w:r>
          <w:rPr>
            <w:rStyle w:val="Hyperlink"/>
            <w:rFonts w:ascii="Times New Roman" w:hAnsi="Times New Roman"/>
            <w:noProof/>
            <w:color w:val="auto"/>
          </w:rPr>
          <w:t>gruppo di esperti ad alto livello sull'intelligenza artificiale</w:t>
        </w:r>
      </w:hyperlink>
      <w:r>
        <w:rPr>
          <w:rFonts w:ascii="Times New Roman" w:hAnsi="Times New Roman"/>
          <w:noProof/>
        </w:rPr>
        <w:t xml:space="preserve"> ha presentato gli </w:t>
      </w:r>
      <w:hyperlink r:id="rId38" w:history="1">
        <w:r>
          <w:rPr>
            <w:rStyle w:val="Hyperlink"/>
            <w:rFonts w:ascii="Times New Roman" w:hAnsi="Times New Roman"/>
            <w:noProof/>
            <w:color w:val="auto"/>
          </w:rPr>
          <w:t>Orientamenti etici per un'IA affidabile</w:t>
        </w:r>
      </w:hyperlink>
      <w:r>
        <w:rPr>
          <w:rFonts w:ascii="Times New Roman" w:hAnsi="Times New Roman"/>
          <w:noProof/>
        </w:rPr>
        <w:t>. La Commissione ha inoltre annunciato un progetto pilota inteso ad affinare l'elenco di valutazione per aiutare le organizzazioni ad attuare tali orientamenti.</w:t>
      </w:r>
    </w:p>
    <w:p>
      <w:pPr>
        <w:jc w:val="both"/>
        <w:rPr>
          <w:rFonts w:ascii="Times New Roman" w:hAnsi="Times New Roman" w:cs="Times New Roman"/>
          <w:noProof/>
        </w:rPr>
      </w:pPr>
      <w:r>
        <w:rPr>
          <w:rFonts w:ascii="Times New Roman" w:hAnsi="Times New Roman"/>
          <w:noProof/>
        </w:rPr>
        <w:t xml:space="preserve">Il gruppo strategico ad alto livello sulle tecnologie industriali ha pubblicato il suo </w:t>
      </w:r>
      <w:hyperlink r:id="rId39" w:history="1">
        <w:r>
          <w:rPr>
            <w:rStyle w:val="Hyperlink"/>
            <w:rFonts w:ascii="Times New Roman" w:hAnsi="Times New Roman"/>
            <w:noProof/>
            <w:color w:val="auto"/>
          </w:rPr>
          <w:t>approccio strategico alle tecnologie abilitanti fondamentali (KET)</w:t>
        </w:r>
      </w:hyperlink>
      <w:r>
        <w:rPr>
          <w:rFonts w:ascii="Times New Roman" w:hAnsi="Times New Roman"/>
          <w:noProof/>
        </w:rPr>
        <w:t xml:space="preserve">, confermando le sei KET individuate nel 2009 e suggerendo l'inclusione di due nuove KET: intelligenza artificiale; e sicurezza digitale e connettività. </w:t>
      </w:r>
    </w:p>
    <w:p>
      <w:pPr>
        <w:jc w:val="both"/>
        <w:rPr>
          <w:rFonts w:ascii="Times New Roman" w:hAnsi="Times New Roman" w:cs="Times New Roman"/>
          <w:b/>
          <w:noProof/>
          <w:u w:val="single"/>
        </w:rPr>
      </w:pPr>
      <w:r>
        <w:rPr>
          <w:rFonts w:ascii="Times New Roman" w:hAnsi="Times New Roman"/>
          <w:noProof/>
          <w:u w:val="single"/>
        </w:rPr>
        <w:t>Cooperazione internazionale</w:t>
      </w:r>
      <w:r>
        <w:rPr>
          <w:rFonts w:ascii="Times New Roman" w:hAnsi="Times New Roman"/>
          <w:b/>
          <w:noProof/>
          <w:u w:val="single"/>
        </w:rPr>
        <w:t xml:space="preserve"> </w:t>
      </w:r>
    </w:p>
    <w:p>
      <w:pPr>
        <w:jc w:val="both"/>
        <w:rPr>
          <w:rFonts w:ascii="Times New Roman" w:hAnsi="Times New Roman" w:cs="Times New Roman"/>
          <w:noProof/>
        </w:rPr>
      </w:pPr>
      <w:r>
        <w:rPr>
          <w:rFonts w:ascii="Times New Roman" w:hAnsi="Times New Roman"/>
          <w:noProof/>
        </w:rPr>
        <w:t>La cooperazione internazionale dell'UE in materia di R&amp;I ha continuato a essere fondamentale affinché l'UE mantenga la sua posizione di influenza come leader mondiale nel settore, e rimanga competitiva. Nel 2019 sono proseguiti i lavori per rafforzare la cooperazione con partner e regioni strategici, in linea con l'interesse dell'UE e sulla base di vantaggi reciproci. In tale contesto la Commissione ha avviato un'analisi approfondita per rinnovare la propria strategia di cooperazione internazionale in materia di R&amp;I al fine di corrispondere meglio all'ambiente geopolitico e contribuire al conseguimento di risultati nelle sue priorità politiche. Tale analisi è stata condotta in parallelo a numerose iniziative e molteplici eventi organizzati con paesi e regioni terzi.</w:t>
      </w:r>
    </w:p>
    <w:p>
      <w:pPr>
        <w:jc w:val="both"/>
        <w:rPr>
          <w:rFonts w:ascii="Times New Roman" w:hAnsi="Times New Roman" w:cs="Times New Roman"/>
          <w:noProof/>
        </w:rPr>
      </w:pPr>
      <w:r>
        <w:rPr>
          <w:rFonts w:ascii="Times New Roman" w:hAnsi="Times New Roman"/>
          <w:noProof/>
        </w:rPr>
        <w:t>Sono stati organizzati incontri importanti con i paesi associati ad Orizzonte 2020, quali la riunione dei ministri della piattaforma di orientamento dei Balcani occidentali in materia di R&amp;I, la conferenza annuale in materia di R&amp;I e la riunione del gruppo R&amp;I del partenariato orientale. Un polo dell'Istituto europeo di innovazione e tecnologia (EIT) è stato avviato a Tel Aviv come ponte tra innovatori europei ed israeliani. La preparazione del processo di associazione di paesi terzi a Orizzonte Europa è avvenuta tramite lo sviluppo di elementi fondamentali dell'accordo di associazione futuro.</w:t>
      </w:r>
    </w:p>
    <w:p>
      <w:pPr>
        <w:jc w:val="both"/>
        <w:rPr>
          <w:rFonts w:ascii="Times New Roman" w:hAnsi="Times New Roman" w:cs="Times New Roman"/>
          <w:noProof/>
        </w:rPr>
      </w:pPr>
      <w:r>
        <w:rPr>
          <w:rFonts w:ascii="Times New Roman" w:hAnsi="Times New Roman"/>
          <w:noProof/>
        </w:rPr>
        <w:t>A seguito del quarto dialogo UE-Cina sulla cooperazione ad alto livello in materia di innovazione, la Commissione ha iniziato a definire una tabella di marcia congiunta per la cooperazione in materia di R&amp;I. Tale attività dovrebbe essere finalizzata in tempo per il prossimo dialogo che si terrà nel 2020.</w:t>
      </w:r>
    </w:p>
    <w:p>
      <w:pPr>
        <w:jc w:val="both"/>
        <w:rPr>
          <w:rFonts w:ascii="Times New Roman" w:hAnsi="Times New Roman" w:cs="Times New Roman"/>
          <w:noProof/>
          <w:u w:val="single"/>
        </w:rPr>
      </w:pPr>
      <w:r>
        <w:rPr>
          <w:rFonts w:ascii="Times New Roman" w:hAnsi="Times New Roman"/>
          <w:noProof/>
        </w:rPr>
        <w:t xml:space="preserve">Per quanto concerne la cooperazione con l'Africa, è stato avviato il "partenariato per l'innovazione Africa-Europa", con l'obiettivo di far avvicinare poli di innovazione, acceleratori ed incubatori dell'UE e dell'Unione africana. L'iniziativa è fortemente apprezzata dalle comunità dell'innovazione, come dimostrano i numerosi partenariati prevalentemente formali tra incubatori e poli tecnologici dell'UE e dell'Africa concordati nel quadro del partenariato. </w:t>
      </w:r>
      <w:r>
        <w:rPr>
          <w:rFonts w:ascii="Times New Roman" w:hAnsi="Times New Roman"/>
          <w:noProof/>
          <w:u w:val="single"/>
        </w:rPr>
        <w:t xml:space="preserve">Scienza aperta </w:t>
      </w:r>
    </w:p>
    <w:p>
      <w:pPr>
        <w:jc w:val="both"/>
        <w:rPr>
          <w:rFonts w:ascii="Times New Roman" w:hAnsi="Times New Roman" w:cs="Times New Roman"/>
          <w:noProof/>
        </w:rPr>
      </w:pPr>
      <w:r>
        <w:rPr>
          <w:rFonts w:ascii="Times New Roman" w:hAnsi="Times New Roman"/>
          <w:noProof/>
        </w:rPr>
        <w:t xml:space="preserve">Nel 2019 la Commissione ha istituito una governance formale del </w:t>
      </w:r>
      <w:hyperlink r:id="rId40" w:history="1">
        <w:r>
          <w:rPr>
            <w:rStyle w:val="Hyperlink"/>
            <w:rFonts w:ascii="Times New Roman" w:hAnsi="Times New Roman"/>
            <w:noProof/>
            <w:color w:val="auto"/>
          </w:rPr>
          <w:t>cloud europeo per la scienza aperta</w:t>
        </w:r>
      </w:hyperlink>
      <w:r>
        <w:rPr>
          <w:rFonts w:ascii="Times New Roman" w:hAnsi="Times New Roman"/>
          <w:noProof/>
        </w:rPr>
        <w:t xml:space="preserve"> (</w:t>
      </w:r>
      <w:r>
        <w:rPr>
          <w:rFonts w:ascii="Times New Roman" w:hAnsi="Times New Roman"/>
          <w:i/>
          <w:iCs/>
          <w:noProof/>
        </w:rPr>
        <w:t>European Open Science Cloud</w:t>
      </w:r>
      <w:r>
        <w:rPr>
          <w:rFonts w:ascii="Times New Roman" w:hAnsi="Times New Roman"/>
          <w:noProof/>
        </w:rPr>
        <w:t>, EOSC) con l'obiettivo di orientare la fase iniziale (2019-2020) di attuazione.</w:t>
      </w:r>
    </w:p>
    <w:p>
      <w:pPr>
        <w:jc w:val="both"/>
        <w:rPr>
          <w:rFonts w:ascii="Times New Roman" w:hAnsi="Times New Roman" w:cs="Times New Roman"/>
          <w:noProof/>
        </w:rPr>
      </w:pPr>
      <w:r>
        <w:rPr>
          <w:rFonts w:ascii="Times New Roman" w:hAnsi="Times New Roman"/>
          <w:noProof/>
        </w:rPr>
        <w:t xml:space="preserve">Nel 2019 si è registrata l'adozione: i) della </w:t>
      </w:r>
      <w:hyperlink r:id="rId41" w:history="1">
        <w:r>
          <w:rPr>
            <w:rStyle w:val="Hyperlink"/>
            <w:rFonts w:ascii="Times New Roman" w:hAnsi="Times New Roman"/>
            <w:noProof/>
            <w:color w:val="auto"/>
          </w:rPr>
          <w:t>direttiva relativa all'apertura dei dati e al riutilizzo dell'informazione del settore pubblico</w:t>
        </w:r>
      </w:hyperlink>
      <w:r>
        <w:rPr>
          <w:rFonts w:ascii="Times New Roman" w:hAnsi="Times New Roman"/>
          <w:noProof/>
        </w:rPr>
        <w:t xml:space="preserve">, che è stata ampliata per comprendere dati delle attività di ricerca; e ii) della </w:t>
      </w:r>
      <w:hyperlink r:id="rId42" w:history="1">
        <w:r>
          <w:rPr>
            <w:rStyle w:val="Hyperlink"/>
            <w:rFonts w:ascii="Times New Roman" w:hAnsi="Times New Roman"/>
            <w:noProof/>
            <w:color w:val="auto"/>
          </w:rPr>
          <w:t>direttiva sul diritto d'autore e sui diritti connessi nel mercato unico digitale</w:t>
        </w:r>
      </w:hyperlink>
      <w:r>
        <w:rPr>
          <w:rFonts w:ascii="Times New Roman" w:hAnsi="Times New Roman"/>
          <w:noProof/>
        </w:rPr>
        <w:t>, che stabilisce norme favorevoli alla ricerca in materia di estrazione di testo e dati.</w:t>
      </w:r>
    </w:p>
    <w:p>
      <w:pPr>
        <w:jc w:val="both"/>
        <w:rPr>
          <w:rFonts w:ascii="Times New Roman" w:hAnsi="Times New Roman" w:cs="Times New Roman"/>
          <w:noProof/>
        </w:rPr>
      </w:pPr>
      <w:r>
        <w:rPr>
          <w:rFonts w:ascii="Times New Roman" w:hAnsi="Times New Roman"/>
          <w:noProof/>
        </w:rPr>
        <w:t xml:space="preserve">Nel 2019 la </w:t>
      </w:r>
      <w:r>
        <w:rPr>
          <w:rFonts w:ascii="Times New Roman" w:hAnsi="Times New Roman"/>
          <w:b/>
          <w:noProof/>
        </w:rPr>
        <w:t>piattaforma strategica per la scienza aperta</w:t>
      </w:r>
      <w:r>
        <w:rPr>
          <w:rFonts w:ascii="Times New Roman" w:hAnsi="Times New Roman"/>
          <w:noProof/>
        </w:rPr>
        <w:t xml:space="preserve"> si è concentrata sul regime di premi e incentivi, su indicatori per una scienza aperta e sulla scienza dei cittadini. Ha pubblicato una </w:t>
      </w:r>
      <w:hyperlink r:id="rId43" w:history="1">
        <w:r>
          <w:rPr>
            <w:rStyle w:val="Hyperlink"/>
            <w:rFonts w:ascii="Times New Roman" w:hAnsi="Times New Roman"/>
            <w:noProof/>
            <w:color w:val="auto"/>
          </w:rPr>
          <w:t>relazione</w:t>
        </w:r>
      </w:hyperlink>
      <w:r>
        <w:rPr>
          <w:rFonts w:ascii="Times New Roman" w:hAnsi="Times New Roman"/>
          <w:noProof/>
        </w:rPr>
        <w:t xml:space="preserve"> che raccomanda progetti pilota sperimentali aperti e una maggiore attenzione nel rendere la valutazione della ricerca maggiormente qualitativa.</w:t>
      </w:r>
    </w:p>
    <w:p>
      <w:pPr>
        <w:jc w:val="both"/>
        <w:rPr>
          <w:rFonts w:ascii="Times New Roman" w:hAnsi="Times New Roman" w:cs="Times New Roman"/>
          <w:noProof/>
        </w:rPr>
      </w:pPr>
      <w:r>
        <w:rPr>
          <w:rFonts w:ascii="Times New Roman" w:hAnsi="Times New Roman"/>
          <w:b/>
          <w:i/>
          <w:noProof/>
        </w:rPr>
        <w:t>3.3 Partenariato con gli Stati membri</w:t>
      </w:r>
    </w:p>
    <w:p>
      <w:pPr>
        <w:jc w:val="both"/>
        <w:rPr>
          <w:rFonts w:ascii="Times New Roman" w:hAnsi="Times New Roman" w:cs="Times New Roman"/>
          <w:noProof/>
        </w:rPr>
      </w:pPr>
      <w:r>
        <w:rPr>
          <w:rFonts w:ascii="Times New Roman" w:hAnsi="Times New Roman"/>
          <w:noProof/>
        </w:rPr>
        <w:t xml:space="preserve">Nel febbraio 2019 la Commissione ha pubblicato la </w:t>
      </w:r>
      <w:hyperlink r:id="rId44" w:history="1">
        <w:r>
          <w:rPr>
            <w:rStyle w:val="Hyperlink"/>
            <w:rFonts w:ascii="Times New Roman" w:hAnsi="Times New Roman"/>
            <w:noProof/>
            <w:color w:val="auto"/>
          </w:rPr>
          <w:t>relazione sui progressi compiuti dal SER nel 2018</w:t>
        </w:r>
      </w:hyperlink>
      <w:r>
        <w:rPr>
          <w:rFonts w:ascii="Times New Roman" w:hAnsi="Times New Roman"/>
          <w:noProof/>
        </w:rPr>
        <w:t>, che valuta lo stato attuale del SER e i progressi nella sua attuazione nel periodo 2016-2018. Nel giugno 2019 gli Stati membri e la Commissione hanno lavorato in un gruppo ad hoc avviato dal Comitato per lo Spazio europeo della ricerca e dell'innovazione per fornire consulenza sul futuro e il rilancio del SER. La relazione finale di tale gruppo è stata adottata nel dicembre 2019 come documento di lavoro del Consiglio.</w:t>
      </w:r>
    </w:p>
    <w:p>
      <w:pPr>
        <w:jc w:val="both"/>
        <w:rPr>
          <w:rFonts w:ascii="Times New Roman" w:hAnsi="Times New Roman" w:cs="Times New Roman"/>
          <w:noProof/>
        </w:rPr>
      </w:pPr>
      <w:r>
        <w:rPr>
          <w:rFonts w:ascii="Times New Roman" w:hAnsi="Times New Roman"/>
          <w:noProof/>
        </w:rPr>
        <w:t>Nell'autunno del 2019 la Commissione ha iniziato la collaborazione con università, accademici e Stati membri per sviluppare la dimensione della ricerca e dell'innovazione di una visione condivisa sul futuro delle università, integrando i lavori in corso sulla dimensione dell'istruzione. Ciò alimenterà la comunicazione della Commissione su un SER rivitalizzato e rafforzerà i collegamenti con lo Spazio europeo dell'istruzione (cfr. capitolo 7).</w:t>
      </w:r>
    </w:p>
    <w:p>
      <w:pPr>
        <w:jc w:val="both"/>
        <w:rPr>
          <w:rFonts w:ascii="Times New Roman" w:hAnsi="Times New Roman" w:cs="Times New Roman"/>
          <w:noProof/>
        </w:rPr>
      </w:pPr>
      <w:r>
        <w:rPr>
          <w:rFonts w:ascii="Times New Roman" w:hAnsi="Times New Roman"/>
          <w:noProof/>
        </w:rPr>
        <w:t xml:space="preserve">Nell'ambito del ciclo di politica economica del </w:t>
      </w:r>
      <w:r>
        <w:rPr>
          <w:rFonts w:ascii="Times New Roman" w:hAnsi="Times New Roman"/>
          <w:b/>
          <w:noProof/>
        </w:rPr>
        <w:t>semestre europeo</w:t>
      </w:r>
      <w:r>
        <w:rPr>
          <w:rFonts w:ascii="Times New Roman" w:hAnsi="Times New Roman"/>
          <w:noProof/>
        </w:rPr>
        <w:t xml:space="preserve">, la Commissione ha contribuito alle </w:t>
      </w:r>
      <w:hyperlink r:id="rId45" w:history="1">
        <w:r>
          <w:rPr>
            <w:rStyle w:val="Hyperlink"/>
            <w:rFonts w:ascii="Times New Roman" w:hAnsi="Times New Roman"/>
            <w:noProof/>
            <w:color w:val="auto"/>
          </w:rPr>
          <w:t>relazioni per paese</w:t>
        </w:r>
      </w:hyperlink>
      <w:r>
        <w:rPr>
          <w:rFonts w:ascii="Times New Roman" w:hAnsi="Times New Roman"/>
          <w:noProof/>
        </w:rPr>
        <w:t xml:space="preserve"> su ciascuno Stato membro per il 2019. Nel 2019, per la prima volta, tutti gli Stati membri dell'UE hanno ricevuto una </w:t>
      </w:r>
      <w:hyperlink r:id="rId46" w:history="1">
        <w:r>
          <w:rPr>
            <w:rStyle w:val="Hyperlink"/>
            <w:rFonts w:ascii="Times New Roman" w:hAnsi="Times New Roman"/>
            <w:noProof/>
            <w:color w:val="auto"/>
          </w:rPr>
          <w:t>raccomandazione specifica per paese</w:t>
        </w:r>
      </w:hyperlink>
      <w:r>
        <w:rPr>
          <w:rFonts w:ascii="Times New Roman" w:hAnsi="Times New Roman"/>
          <w:noProof/>
        </w:rPr>
        <w:t xml:space="preserve"> che invita a concentrare gli investimenti su R&amp;I</w:t>
      </w:r>
      <w:r>
        <w:rPr>
          <w:rFonts w:ascii="Times New Roman" w:hAnsi="Times New Roman" w:cs="Times New Roman"/>
          <w:noProof/>
          <w:vertAlign w:val="superscript"/>
        </w:rPr>
        <w:footnoteReference w:id="2"/>
      </w:r>
      <w:r>
        <w:rPr>
          <w:rFonts w:ascii="Times New Roman" w:hAnsi="Times New Roman"/>
          <w:noProof/>
        </w:rPr>
        <w:t>. Numerosi Stati membri hanno ricevuto inoltre raccomandazioni specifiche per paese che li invitano a effettuare riforme politiche specifiche per migliorare la qualità e l'efficienza dei loro sistemi nazionali di R&amp;I. Il pacchetto dell'</w:t>
      </w:r>
      <w:r>
        <w:rPr>
          <w:rFonts w:ascii="Times New Roman" w:hAnsi="Times New Roman"/>
          <w:b/>
          <w:noProof/>
        </w:rPr>
        <w:t>analisi annuale sulla crescita sostenibile</w:t>
      </w:r>
      <w:r>
        <w:rPr>
          <w:rFonts w:ascii="Times New Roman" w:hAnsi="Times New Roman"/>
          <w:noProof/>
        </w:rPr>
        <w:t>, pubblicato a dicembre del 2019, ha evidenziato il ruolo dell'R&amp;I in veste di catalizzatore e fattore trainante chiave della trasformazione dell'UE in un'economia sostenibile.</w:t>
      </w:r>
      <w:r>
        <w:rPr>
          <w:rFonts w:ascii="Times New Roman" w:hAnsi="Times New Roman"/>
          <w:i/>
          <w:noProof/>
        </w:rPr>
        <w:t xml:space="preserve"> </w:t>
      </w:r>
    </w:p>
    <w:p>
      <w:pPr>
        <w:jc w:val="both"/>
        <w:rPr>
          <w:rFonts w:ascii="Times New Roman" w:hAnsi="Times New Roman" w:cs="Times New Roman"/>
          <w:i/>
          <w:noProof/>
        </w:rPr>
      </w:pPr>
      <w:r>
        <w:rPr>
          <w:rFonts w:ascii="Times New Roman" w:hAnsi="Times New Roman"/>
          <w:bCs/>
          <w:noProof/>
        </w:rPr>
        <w:t xml:space="preserve">Il </w:t>
      </w:r>
      <w:r>
        <w:rPr>
          <w:rFonts w:ascii="Times New Roman" w:hAnsi="Times New Roman"/>
          <w:b/>
          <w:bCs/>
          <w:noProof/>
        </w:rPr>
        <w:t>meccanismo di sostegno delle politiche</w:t>
      </w:r>
      <w:r>
        <w:rPr>
          <w:rFonts w:ascii="Times New Roman" w:hAnsi="Times New Roman"/>
          <w:bCs/>
          <w:noProof/>
        </w:rPr>
        <w:t xml:space="preserve"> ha assistito diversi Stati membri, ad esempio con valutazioni </w:t>
      </w:r>
      <w:r>
        <w:rPr>
          <w:rFonts w:ascii="Times New Roman" w:hAnsi="Times New Roman"/>
          <w:bCs/>
          <w:i/>
          <w:iCs/>
          <w:noProof/>
        </w:rPr>
        <w:t>inter pares</w:t>
      </w:r>
      <w:r>
        <w:rPr>
          <w:rFonts w:ascii="Times New Roman" w:hAnsi="Times New Roman"/>
          <w:bCs/>
          <w:noProof/>
        </w:rPr>
        <w:t xml:space="preserve"> dei sistemi R&amp;I di Estonia e Danimarca, fornendo sostegno specifico a Cipro, Lettonia e Malta, nonché con esercizi di apprendimento reciproco sull'integrità della ricerca e la cooperazione internazionale</w:t>
      </w:r>
      <w:r>
        <w:rPr>
          <w:rFonts w:ascii="Times New Roman" w:hAnsi="Times New Roman" w:cs="Times New Roman"/>
          <w:bCs/>
          <w:noProof/>
          <w:vertAlign w:val="superscript"/>
        </w:rPr>
        <w:footnoteReference w:id="3"/>
      </w:r>
      <w:r>
        <w:rPr>
          <w:rFonts w:ascii="Times New Roman" w:hAnsi="Times New Roman"/>
          <w:bCs/>
          <w:noProof/>
        </w:rPr>
        <w:t xml:space="preserve">. Il </w:t>
      </w:r>
      <w:r>
        <w:rPr>
          <w:rFonts w:ascii="Times New Roman" w:hAnsi="Times New Roman"/>
          <w:b/>
          <w:bCs/>
          <w:noProof/>
        </w:rPr>
        <w:t>progetto Forward</w:t>
      </w:r>
      <w:r>
        <w:rPr>
          <w:rFonts w:ascii="Times New Roman" w:hAnsi="Times New Roman"/>
          <w:bCs/>
          <w:noProof/>
        </w:rPr>
        <w:t xml:space="preserve"> in corso è stato avviato nell'ambito della </w:t>
      </w:r>
      <w:r>
        <w:rPr>
          <w:rFonts w:ascii="Times New Roman" w:hAnsi="Times New Roman"/>
          <w:b/>
          <w:bCs/>
          <w:noProof/>
        </w:rPr>
        <w:t>nuova strategia dell'UE per le regioni ultraperiferiche</w:t>
      </w:r>
      <w:r>
        <w:rPr>
          <w:rFonts w:ascii="Times New Roman" w:hAnsi="Times New Roman"/>
          <w:bCs/>
          <w:noProof/>
        </w:rPr>
        <w:t>.</w:t>
      </w:r>
    </w:p>
    <w:p>
      <w:pPr>
        <w:jc w:val="both"/>
        <w:rPr>
          <w:rFonts w:ascii="Times New Roman" w:hAnsi="Times New Roman" w:cs="Times New Roman"/>
          <w:noProof/>
        </w:rPr>
      </w:pPr>
      <w:r>
        <w:rPr>
          <w:rFonts w:ascii="Times New Roman" w:hAnsi="Times New Roman"/>
          <w:noProof/>
        </w:rPr>
        <w:t xml:space="preserve">Il gruppo dei </w:t>
      </w:r>
      <w:r>
        <w:rPr>
          <w:rFonts w:ascii="Times New Roman" w:hAnsi="Times New Roman"/>
          <w:b/>
          <w:noProof/>
        </w:rPr>
        <w:t>principali consulenti scientifici</w:t>
      </w:r>
      <w:r>
        <w:rPr>
          <w:rFonts w:ascii="Times New Roman" w:hAnsi="Times New Roman"/>
          <w:noProof/>
        </w:rPr>
        <w:t xml:space="preserve"> ha fornito consulenza scientifica sui </w:t>
      </w:r>
      <w:hyperlink r:id="rId47" w:history="1">
        <w:r>
          <w:rPr>
            <w:rStyle w:val="Hyperlink"/>
            <w:rFonts w:ascii="Times New Roman" w:hAnsi="Times New Roman"/>
            <w:noProof/>
            <w:color w:val="auto"/>
          </w:rPr>
          <w:t>rischi dovuti all'inquinamento da microplastiche</w:t>
        </w:r>
      </w:hyperlink>
      <w:r>
        <w:rPr>
          <w:rFonts w:ascii="Times New Roman" w:hAnsi="Times New Roman"/>
          <w:noProof/>
        </w:rPr>
        <w:t xml:space="preserve"> nonché sulle migliori </w:t>
      </w:r>
      <w:hyperlink r:id="rId48" w:history="1">
        <w:r>
          <w:rPr>
            <w:rStyle w:val="Hyperlink"/>
            <w:rFonts w:ascii="Times New Roman" w:hAnsi="Times New Roman"/>
            <w:noProof/>
            <w:color w:val="auto"/>
          </w:rPr>
          <w:t>pratiche nella fornitura di consulenza scientifica</w:t>
        </w:r>
      </w:hyperlink>
      <w:r>
        <w:rPr>
          <w:rFonts w:ascii="Times New Roman" w:hAnsi="Times New Roman"/>
          <w:noProof/>
        </w:rPr>
        <w:t xml:space="preserve">. L'impatto del lavoro dei consulenti è dettagliato nella </w:t>
      </w:r>
      <w:hyperlink r:id="rId49" w:history="1">
        <w:r>
          <w:rPr>
            <w:rStyle w:val="Hyperlink"/>
            <w:rFonts w:ascii="Times New Roman" w:hAnsi="Times New Roman"/>
            <w:noProof/>
            <w:color w:val="auto"/>
          </w:rPr>
          <w:t>relazione sul lavoro del gruppo dei principali consulenti scientifici per il periodo 2015-2019</w:t>
        </w:r>
      </w:hyperlink>
      <w:r>
        <w:rPr>
          <w:rFonts w:ascii="Times New Roman" w:hAnsi="Times New Roman"/>
          <w:noProof/>
        </w:rPr>
        <w:t xml:space="preserve">. </w:t>
      </w:r>
    </w:p>
    <w:p>
      <w:pPr>
        <w:jc w:val="both"/>
        <w:rPr>
          <w:rFonts w:ascii="Times New Roman" w:hAnsi="Times New Roman" w:cs="Times New Roman"/>
          <w:noProof/>
        </w:rPr>
      </w:pPr>
    </w:p>
    <w:p>
      <w:pPr>
        <w:jc w:val="both"/>
        <w:rPr>
          <w:rFonts w:ascii="Times New Roman" w:hAnsi="Times New Roman" w:cs="Times New Roman"/>
          <w:b/>
          <w:noProof/>
        </w:rPr>
      </w:pPr>
      <w:r>
        <w:rPr>
          <w:rFonts w:ascii="Times New Roman" w:hAnsi="Times New Roman"/>
          <w:b/>
          <w:noProof/>
        </w:rPr>
        <w:t>4.</w:t>
      </w:r>
      <w:r>
        <w:rPr>
          <w:rFonts w:ascii="Times New Roman" w:hAnsi="Times New Roman"/>
          <w:b/>
          <w:noProof/>
        </w:rPr>
        <w:tab/>
        <w:t>Attuazione di Orizzonte 2020</w:t>
      </w:r>
    </w:p>
    <w:p>
      <w:pPr>
        <w:jc w:val="both"/>
        <w:rPr>
          <w:rFonts w:ascii="Times New Roman" w:hAnsi="Times New Roman" w:cs="Times New Roman"/>
          <w:noProof/>
        </w:rPr>
      </w:pPr>
      <w:r>
        <w:rPr>
          <w:rFonts w:ascii="Times New Roman" w:hAnsi="Times New Roman"/>
          <w:noProof/>
        </w:rPr>
        <w:t xml:space="preserve">L'attuazione di Orizzonte 2020 è stata in linea con il calendario previsto, con aggiornamenti del programma di lavoro 2018-2020 adottati a marzo, luglio e ottobre del 2019 e con l'adozione del programma di lavoro 2020 del Consiglio europeo della ricerca a luglio. </w:t>
      </w:r>
    </w:p>
    <w:p>
      <w:pPr>
        <w:jc w:val="both"/>
        <w:rPr>
          <w:rFonts w:ascii="Times New Roman" w:hAnsi="Times New Roman" w:cs="Times New Roman"/>
          <w:b/>
          <w:bCs/>
          <w:i/>
          <w:noProof/>
        </w:rPr>
      </w:pPr>
      <w:r>
        <w:rPr>
          <w:rFonts w:ascii="Times New Roman" w:hAnsi="Times New Roman"/>
          <w:b/>
          <w:bCs/>
          <w:i/>
          <w:noProof/>
        </w:rPr>
        <w:t xml:space="preserve">4.1     Risposta agli inviti a presentare proposte e altre azioni nel quadro dei programmi di lavoro </w:t>
      </w:r>
    </w:p>
    <w:p>
      <w:pPr>
        <w:jc w:val="both"/>
        <w:rPr>
          <w:rFonts w:ascii="Times New Roman" w:hAnsi="Times New Roman" w:cs="Times New Roman"/>
          <w:noProof/>
        </w:rPr>
      </w:pPr>
      <w:r>
        <w:rPr>
          <w:rFonts w:ascii="Times New Roman" w:hAnsi="Times New Roman"/>
          <w:noProof/>
        </w:rPr>
        <w:t>Entro la fine del 2019</w:t>
      </w:r>
      <w:r>
        <w:rPr>
          <w:rFonts w:ascii="Times New Roman" w:hAnsi="Times New Roman" w:cs="Times New Roman"/>
          <w:noProof/>
          <w:vertAlign w:val="superscript"/>
        </w:rPr>
        <w:footnoteReference w:id="4"/>
      </w:r>
      <w:r>
        <w:rPr>
          <w:rFonts w:ascii="Times New Roman" w:hAnsi="Times New Roman"/>
          <w:noProof/>
        </w:rPr>
        <w:t xml:space="preserve"> sono stati portati a termine 815</w:t>
      </w:r>
      <w:r>
        <w:rPr>
          <w:rFonts w:ascii="Times New Roman" w:hAnsi="Times New Roman" w:cs="Times New Roman"/>
          <w:noProof/>
          <w:vertAlign w:val="superscript"/>
        </w:rPr>
        <w:footnoteReference w:id="5"/>
      </w:r>
      <w:r>
        <w:rPr>
          <w:rFonts w:ascii="Times New Roman" w:hAnsi="Times New Roman"/>
          <w:noProof/>
        </w:rPr>
        <w:t> inviti a presentare proposte nell'ambito del programma Orizzonte 2020, in esito ai quali sono pervenute 226 139 proposte ammissibili, pari a una richiesta di contributi finanziari complessivi dell'UE di 358,1 miliardi di EUR. Di tali proposte, 27 251 sono state selezionate ai fini del finanziamento, portando la percentuale complessiva di successo delle proposte ammissibili nei primi sei anni al 12,05 %. Alla fine di dicembre erano state firmate 27 124 convenzioni di sovvenzione, con una dotazione di bilancio di 49,54 miliardi di EUR in finanziamenti dell'UE.</w:t>
      </w:r>
    </w:p>
    <w:p>
      <w:pPr>
        <w:jc w:val="both"/>
        <w:rPr>
          <w:rFonts w:ascii="Times New Roman" w:hAnsi="Times New Roman" w:cs="Times New Roman"/>
          <w:noProof/>
        </w:rPr>
      </w:pPr>
      <w:r>
        <w:rPr>
          <w:rFonts w:ascii="Times New Roman" w:hAnsi="Times New Roman"/>
          <w:noProof/>
        </w:rPr>
        <w:t>Nel periodo dal 2014 al 2019, i partecipanti degli Stati membri dell'UE hanno ricevuto il 90,9 % dei finanziamenti, mentre il rimanente importo è stato destinato a paesi associati (8,4 %) e altri paesi terzi (0,7 %). Se la quota di partecipazione dei paesi associati (7,6 %) è in linea con i finanziamenti ricevuti, quella dei paesi terzi non associati è significativamente più elevata (4,0 %), il che denota un interesse all'apertura internazionale, indipendentemente dai finanziamenti.</w:t>
      </w:r>
    </w:p>
    <w:p>
      <w:pPr>
        <w:jc w:val="both"/>
        <w:rPr>
          <w:rFonts w:ascii="Times New Roman" w:hAnsi="Times New Roman" w:cs="Times New Roman"/>
          <w:noProof/>
        </w:rPr>
      </w:pPr>
      <w:r>
        <w:rPr>
          <w:rFonts w:ascii="Times New Roman" w:hAnsi="Times New Roman"/>
          <w:noProof/>
        </w:rPr>
        <w:t xml:space="preserve">Le organizzazioni di istruzione superiore restano i maggiori beneficiari di finanziamenti (39,4 %), mentre il 24,9 % dei finanziamenti dell'UE nel contesto delle priorità "Leadership industriale" e "Sfide per la società" è destinato alle PMI. </w:t>
      </w:r>
    </w:p>
    <w:p>
      <w:pPr>
        <w:jc w:val="both"/>
        <w:rPr>
          <w:rFonts w:ascii="Times New Roman" w:hAnsi="Times New Roman" w:cs="Times New Roman"/>
          <w:b/>
          <w:i/>
          <w:noProof/>
        </w:rPr>
      </w:pPr>
      <w:r>
        <w:rPr>
          <w:rFonts w:ascii="Times New Roman" w:hAnsi="Times New Roman"/>
          <w:b/>
          <w:i/>
          <w:noProof/>
        </w:rPr>
        <w:t xml:space="preserve">4.2 </w:t>
      </w:r>
      <w:r>
        <w:rPr>
          <w:rFonts w:ascii="Times New Roman" w:hAnsi="Times New Roman"/>
          <w:b/>
          <w:i/>
          <w:noProof/>
        </w:rPr>
        <w:tab/>
        <w:t xml:space="preserve">Orizzonte 2020: aspetti selezionati </w:t>
      </w:r>
    </w:p>
    <w:p>
      <w:pPr>
        <w:jc w:val="both"/>
        <w:rPr>
          <w:rFonts w:ascii="Times New Roman" w:hAnsi="Times New Roman" w:cs="Times New Roman"/>
          <w:noProof/>
          <w:u w:val="single"/>
        </w:rPr>
      </w:pPr>
      <w:r>
        <w:rPr>
          <w:rFonts w:ascii="Times New Roman" w:hAnsi="Times New Roman"/>
          <w:noProof/>
          <w:u w:val="single"/>
        </w:rPr>
        <w:t>Infrastrutture di ricerca</w:t>
      </w:r>
    </w:p>
    <w:p>
      <w:pPr>
        <w:jc w:val="both"/>
        <w:rPr>
          <w:rFonts w:ascii="Times New Roman" w:hAnsi="Times New Roman" w:cs="Times New Roman"/>
          <w:noProof/>
        </w:rPr>
      </w:pPr>
      <w:r>
        <w:rPr>
          <w:rFonts w:ascii="Times New Roman" w:hAnsi="Times New Roman"/>
          <w:noProof/>
        </w:rPr>
        <w:t>Gli inviti del 2019 per le infrastrutture di ricerca hanno sostenuto 51 sovvenzioni per un valore di 299,2 milioni di EUR. Tali sovvenzioni sosterranno l'integrazione delle attività per le comunità avanzate, promuoveranno lo sviluppo di nuove infrastrutture di ricerca di livello mondiale, forniranno sostegno al Forum strategico europeo sulle infrastrutture di ricerca (</w:t>
      </w:r>
      <w:r>
        <w:rPr>
          <w:rFonts w:ascii="Times New Roman" w:hAnsi="Times New Roman"/>
          <w:b/>
          <w:noProof/>
        </w:rPr>
        <w:t>ESFRI</w:t>
      </w:r>
      <w:r>
        <w:rPr>
          <w:rFonts w:ascii="Times New Roman" w:hAnsi="Times New Roman"/>
          <w:noProof/>
        </w:rPr>
        <w:t>) e contribuiranno all'individuazione della prossima generazione di infrastrutture di ricerca necessarie in Europa. Tale sostegno ha promosso altresì il miglioramento del portale dell'EOSC, la creazione di una rete di funzionari industriali di collegamento delle infrastrutture di ricerca e lo sviluppo della cooperazione internazionale.</w:t>
      </w:r>
    </w:p>
    <w:p>
      <w:pPr>
        <w:jc w:val="both"/>
        <w:rPr>
          <w:rFonts w:ascii="Times New Roman" w:hAnsi="Times New Roman" w:cs="Times New Roman"/>
          <w:noProof/>
          <w:u w:val="single"/>
        </w:rPr>
      </w:pPr>
      <w:r>
        <w:rPr>
          <w:rFonts w:ascii="Times New Roman" w:hAnsi="Times New Roman"/>
          <w:noProof/>
          <w:u w:val="single"/>
        </w:rPr>
        <w:t>Progetto pilota del Consiglio europeo per l'innovazione</w:t>
      </w:r>
    </w:p>
    <w:p>
      <w:pPr>
        <w:jc w:val="both"/>
        <w:rPr>
          <w:rFonts w:ascii="Times New Roman" w:hAnsi="Times New Roman" w:cs="Times New Roman"/>
          <w:noProof/>
        </w:rPr>
      </w:pPr>
      <w:r>
        <w:rPr>
          <w:rFonts w:ascii="Times New Roman" w:hAnsi="Times New Roman"/>
          <w:noProof/>
        </w:rPr>
        <w:t xml:space="preserve">Il progetto pilota rafforzato del Consiglio europeo per l'innovazione (CEI) è stato varato come prosecuzione del primo progetto pilota, contribuendo a realizzare un CEI a pieno regime. Il progetto pilota del CEI è già un esempio di finanziamenti pubblici che riescono ad attrarre altri investitori. Finora ogni euro di sostegno del progetto pilota del CEI a favore di una start-up o di una PMI ha innescato investimenti successivi pari a 2,4 EUR. Il progetto pilota dello strumento Pathfinder del CEI ha integrato pienamente i sistemi delle "TEF aperte" e delle "TEF proattive" con il bando nel marzo del 2019 dei primi inviti mirati per finanziamenti a favore di una ricerca tecnologica rivoluzionaria. </w:t>
      </w:r>
      <w:r>
        <w:rPr>
          <w:rFonts w:ascii="Times New Roman" w:hAnsi="Times New Roman"/>
          <w:bCs/>
          <w:noProof/>
        </w:rPr>
        <w:t xml:space="preserve">Il progetto pilota dello strumento Accelerator del CEI ha iniziato a fornire finanziamenti misti in parallelo a opzioni che prevedono soltanto sovvenzioni, ed è già in atto un portafoglio di servizi di accelerazione d'impresa a sostegno dei beneficiari del CEI. </w:t>
      </w:r>
    </w:p>
    <w:p>
      <w:pPr>
        <w:jc w:val="both"/>
        <w:rPr>
          <w:rFonts w:ascii="Times New Roman" w:hAnsi="Times New Roman" w:cs="Times New Roman"/>
          <w:noProof/>
        </w:rPr>
      </w:pPr>
      <w:r>
        <w:rPr>
          <w:rFonts w:ascii="Times New Roman" w:hAnsi="Times New Roman"/>
          <w:bCs/>
          <w:noProof/>
        </w:rPr>
        <w:t>L'introduzione di finanziamenti misti (investimenti e partecipazioni) a sostegno dell'innovazione trasformativa è una delle novità principali nei finanziamenti dell'UE a favore della ricerca e dell'innovazione e rientra nella proposta di valore unica del CEI. Un fondo CEI, da istituire come persona giuridica di diritto privato separata, gestirà le partecipazioni (investimenti azionari) e, in tale contesto, la Banca europea per gli investimenti fornirà servizi di amministrazione fondamentali.</w:t>
      </w:r>
    </w:p>
    <w:p>
      <w:pPr>
        <w:jc w:val="both"/>
        <w:rPr>
          <w:rFonts w:ascii="Times New Roman" w:hAnsi="Times New Roman" w:cs="Times New Roman"/>
          <w:noProof/>
        </w:rPr>
      </w:pPr>
      <w:r>
        <w:rPr>
          <w:rFonts w:ascii="Times New Roman" w:hAnsi="Times New Roman"/>
          <w:noProof/>
        </w:rPr>
        <w:t xml:space="preserve">Una delle principali novità durante la fase pilota è stata l'assunzione di responsabili di programmi del CEI, che contribuiranno a individuare le tendenze dell'innovazione rivoluzionaria e a gestire un portafoglio di progetti finanziato dal progetto pilota dello strumento Pathfinder del CEI. È stato istituito un comitato consultivo del progetto pilota del CEI costituito da 22 esperti, incaricato di assistere la Commissione. </w:t>
      </w:r>
    </w:p>
    <w:p>
      <w:pPr>
        <w:jc w:val="both"/>
        <w:rPr>
          <w:rFonts w:ascii="Times New Roman" w:hAnsi="Times New Roman" w:cs="Times New Roman"/>
          <w:bCs/>
          <w:noProof/>
          <w:u w:val="single"/>
        </w:rPr>
      </w:pPr>
      <w:r>
        <w:rPr>
          <w:rFonts w:ascii="Times New Roman" w:hAnsi="Times New Roman"/>
          <w:bCs/>
          <w:noProof/>
          <w:u w:val="single"/>
        </w:rPr>
        <w:t>Rafforzamento della cooperazione internazionale</w:t>
      </w:r>
    </w:p>
    <w:p>
      <w:pPr>
        <w:jc w:val="both"/>
        <w:rPr>
          <w:rFonts w:ascii="Times New Roman" w:hAnsi="Times New Roman" w:cs="Times New Roman"/>
          <w:noProof/>
        </w:rPr>
      </w:pPr>
      <w:r>
        <w:rPr>
          <w:rFonts w:ascii="Times New Roman" w:hAnsi="Times New Roman"/>
          <w:noProof/>
        </w:rPr>
        <w:t>Al fine di invertire la tendenza al ribasso della partecipazione internazionale durante i primi anni di Orizzonte 2020, il programma di lavoro 2018-2020 ha compreso oltre 30 "attività faro di cooperazione internazionale" con un bilancio dell'UE prossimo a 2 miliardi di EUR. Tali attività hanno avuto un evidente impatto positivo sulla partecipazione internazionale, con una partecipazione internazionale media a progetti collaborativi che è salita dal 2,4 % del periodo 2014-2017 al 3,3 % nel 2018 e al 3,1 % nella prima metà del 2019. Anche i contributi di paesi terzi a progetti di Orizzonte 2020 sono aumentati in maniera significativa: i partecipanti di paesi terzi hanno aumentato il loro contributo finanziario medio, passato da 60 milioni di EUR l'anno a 83 milioni di EUR nel 2018 e a 130 milioni di EUR nel primo quadrimestre del 2019. Complessivamente, i paesi terzi hanno contribuito a progetti di Orizzonte 2020 con un bilancio prossimo a 500 milioni di EUR. Le MSCA presentano una dimensione internazionale eccezionale e continuano a rappresentare oltre la metà di tutte le partecipazioni di paesi terzi a Orizzonte 2020.</w:t>
      </w:r>
    </w:p>
    <w:p>
      <w:pPr>
        <w:jc w:val="both"/>
        <w:rPr>
          <w:rFonts w:ascii="Times New Roman" w:hAnsi="Times New Roman" w:cs="Times New Roman"/>
          <w:noProof/>
        </w:rPr>
      </w:pPr>
      <w:bookmarkStart w:id="2" w:name="_Toc467661706"/>
      <w:r>
        <w:rPr>
          <w:rFonts w:ascii="Times New Roman" w:hAnsi="Times New Roman"/>
          <w:noProof/>
        </w:rPr>
        <w:t>Nel 2019 l'</w:t>
      </w:r>
      <w:r>
        <w:rPr>
          <w:rFonts w:ascii="Times New Roman" w:hAnsi="Times New Roman"/>
          <w:i/>
          <w:iCs/>
          <w:noProof/>
        </w:rPr>
        <w:t>International Forum to Advance First Responder Innovation</w:t>
      </w:r>
      <w:r>
        <w:rPr>
          <w:rFonts w:ascii="Times New Roman" w:hAnsi="Times New Roman"/>
          <w:noProof/>
        </w:rPr>
        <w:t> (IFAFRI), attualmente presieduto dalla Commissione, attraverso il comitato "Capability Gaps" dell'IFAFRI, ha stilato un elenco di 10 lacune di capacità prioritarie. La giornata dell'industria IFAFRI di ottobre e il forum annuale di novembre sono stati i principali eventi, durante i quali sono stati presentati nuovi progetti finanziati dall'UE e sono state definite le linee guida principali per un'agenda di ricerca e sviluppo per il personale di primo intervento.</w:t>
      </w:r>
    </w:p>
    <w:p>
      <w:pPr>
        <w:jc w:val="both"/>
        <w:rPr>
          <w:rFonts w:ascii="Times New Roman" w:hAnsi="Times New Roman" w:cs="Times New Roman"/>
          <w:bCs/>
          <w:noProof/>
          <w:u w:val="single"/>
        </w:rPr>
      </w:pPr>
      <w:r>
        <w:rPr>
          <w:rFonts w:ascii="Times New Roman" w:hAnsi="Times New Roman"/>
          <w:bCs/>
          <w:noProof/>
          <w:u w:val="single"/>
        </w:rPr>
        <w:t xml:space="preserve">Consiglio europeo della ricerca (CER) </w:t>
      </w:r>
    </w:p>
    <w:bookmarkEnd w:id="2"/>
    <w:p>
      <w:pPr>
        <w:jc w:val="both"/>
        <w:rPr>
          <w:rFonts w:ascii="Times New Roman" w:hAnsi="Times New Roman" w:cs="Times New Roman"/>
          <w:bCs/>
          <w:noProof/>
        </w:rPr>
      </w:pPr>
      <w:r>
        <w:rPr>
          <w:rFonts w:ascii="Times New Roman" w:hAnsi="Times New Roman"/>
          <w:bCs/>
          <w:noProof/>
        </w:rPr>
        <w:t>Tra i risultati scientifici di rilievo conseguiti dal Consiglio europeo della ricerca (CER) nel 2019 si annovera la prima immagine in assoluto di un buco nero cosmico. I ricercatori finanziati dal CER hanno svolto un ruolo chiave nel progetto di collaborazione di ricerca internazionale "</w:t>
      </w:r>
      <w:r>
        <w:rPr>
          <w:rFonts w:ascii="Times New Roman" w:hAnsi="Times New Roman"/>
          <w:bCs/>
          <w:i/>
          <w:iCs/>
          <w:noProof/>
        </w:rPr>
        <w:t>Event Horizon Telescope</w:t>
      </w:r>
      <w:r>
        <w:rPr>
          <w:rFonts w:ascii="Times New Roman" w:hAnsi="Times New Roman"/>
          <w:bCs/>
          <w:noProof/>
        </w:rPr>
        <w:t>" su larga scala che ha portato a tale risultato. Nel 2019 il settimo premio Nobel dal 2007 è stato assegnato a un beneficiario del CER. Al fine di ampliare la partecipazione ai concorsi del CER, in Serbia e in Romania sono stati varati due nuovi programmi per ricercatori scientifici ospiti.</w:t>
      </w:r>
    </w:p>
    <w:p>
      <w:pPr>
        <w:jc w:val="both"/>
        <w:rPr>
          <w:rFonts w:ascii="Times New Roman" w:hAnsi="Times New Roman" w:cs="Times New Roman"/>
          <w:bCs/>
          <w:noProof/>
          <w:u w:val="single"/>
        </w:rPr>
      </w:pPr>
      <w:r>
        <w:rPr>
          <w:rFonts w:ascii="Times New Roman" w:hAnsi="Times New Roman"/>
          <w:bCs/>
          <w:noProof/>
          <w:u w:val="single"/>
        </w:rPr>
        <w:t>Ampliare la partecipazione</w:t>
      </w:r>
    </w:p>
    <w:p>
      <w:pPr>
        <w:jc w:val="both"/>
        <w:rPr>
          <w:rFonts w:ascii="Times New Roman" w:hAnsi="Times New Roman" w:cs="Times New Roman"/>
          <w:bCs/>
          <w:noProof/>
        </w:rPr>
      </w:pPr>
      <w:r>
        <w:rPr>
          <w:rFonts w:ascii="Times New Roman" w:hAnsi="Times New Roman"/>
          <w:bCs/>
          <w:noProof/>
        </w:rPr>
        <w:t xml:space="preserve">Il sostegno finanziario a favore dei paesi dell'ampliamento è salito al 5,6 % nel 2019. Nel complesso, la partecipazione dei paesi dell'ampliamento è in linea con i loro investimenti nazionali in R&amp;I. Sono state firmate </w:t>
      </w:r>
      <w:r>
        <w:rPr>
          <w:rFonts w:ascii="Times New Roman" w:hAnsi="Times New Roman"/>
          <w:b/>
          <w:bCs/>
          <w:noProof/>
        </w:rPr>
        <w:t>63 sovvenzioni</w:t>
      </w:r>
      <w:r>
        <w:rPr>
          <w:rFonts w:ascii="Times New Roman" w:hAnsi="Times New Roman"/>
          <w:bCs/>
          <w:noProof/>
        </w:rPr>
        <w:t xml:space="preserve"> per l'attuazione di progetti relativi all'obiettivo "diffondere l'eccellenza e ampliare la partecipazione", per un importo di 269 milioni di EUR. Di questi, 143 aiuteranno a istituire nuovi centri di eccellenza o a modernizzare quelli esistenti in Bulgaria, Cipro, Estonia, Lettonia, Polonia, Portogallo e Repubblica ceca, con l'aiuto di istituti di ricerca eccellenti di altri paesi come partner avanzati. </w:t>
      </w:r>
    </w:p>
    <w:p>
      <w:pPr>
        <w:jc w:val="both"/>
        <w:rPr>
          <w:rFonts w:ascii="Times New Roman" w:hAnsi="Times New Roman" w:cs="Times New Roman"/>
          <w:bCs/>
          <w:noProof/>
        </w:rPr>
      </w:pPr>
      <w:r>
        <w:rPr>
          <w:rFonts w:ascii="Times New Roman" w:hAnsi="Times New Roman"/>
          <w:bCs/>
          <w:noProof/>
        </w:rPr>
        <w:t xml:space="preserve">Nel contesto di un nuovo progetto pilota di Orizzonte 2020, nel 2019 è stato registrato l'introduzione delle prime borse di ricerca dell'iniziativa "Borse di ricerca dell'ampliamento", sviluppata sul modello delle borse individuali MSCA. Questo primo invito ha avuto molto successo e ha portato a un aumento del 27 % delle domande per i paesi dell'ampliamento e ad un aumento del 70 % del numero di borse di ricerca finanziate in tali paesi, con 33 borse finanziate nel contesto di tale iniziativa oltre a 55 borse individuali MSCA. </w:t>
      </w:r>
    </w:p>
    <w:p>
      <w:pPr>
        <w:jc w:val="both"/>
        <w:rPr>
          <w:rFonts w:ascii="Times New Roman" w:hAnsi="Times New Roman" w:cs="Times New Roman"/>
          <w:noProof/>
        </w:rPr>
      </w:pPr>
      <w:r>
        <w:rPr>
          <w:rFonts w:ascii="Times New Roman" w:hAnsi="Times New Roman"/>
          <w:noProof/>
        </w:rPr>
        <w:t xml:space="preserve">Al fine di rendere le borse MSCA maggiormente inclusive, nel 2019 è stato introdotto un sostegno finanziario a favore dei </w:t>
      </w:r>
      <w:r>
        <w:rPr>
          <w:rFonts w:ascii="Times New Roman" w:hAnsi="Times New Roman"/>
          <w:b/>
          <w:noProof/>
        </w:rPr>
        <w:t>borsisti MSCA con bisogni speciali</w:t>
      </w:r>
      <w:r>
        <w:rPr>
          <w:rFonts w:ascii="Times New Roman" w:hAnsi="Times New Roman"/>
          <w:noProof/>
        </w:rPr>
        <w:t>, attività questa che ha consentito a 23 ricercatori di ottenere finanziamenti per superare ostacoli alla mobilità incontrati a causa della disabilità.</w:t>
      </w:r>
    </w:p>
    <w:p>
      <w:pPr>
        <w:jc w:val="both"/>
        <w:rPr>
          <w:rFonts w:ascii="Times New Roman" w:hAnsi="Times New Roman" w:cs="Times New Roman"/>
          <w:bCs/>
          <w:noProof/>
          <w:u w:val="single"/>
        </w:rPr>
      </w:pPr>
      <w:r>
        <w:rPr>
          <w:rFonts w:ascii="Times New Roman" w:hAnsi="Times New Roman"/>
          <w:bCs/>
          <w:noProof/>
          <w:u w:val="single"/>
        </w:rPr>
        <w:t>Pianeta</w:t>
      </w:r>
    </w:p>
    <w:p>
      <w:pPr>
        <w:jc w:val="both"/>
        <w:rPr>
          <w:rFonts w:ascii="Times New Roman" w:hAnsi="Times New Roman" w:cs="Times New Roman"/>
          <w:bCs/>
          <w:iCs/>
          <w:noProof/>
        </w:rPr>
      </w:pPr>
      <w:r>
        <w:rPr>
          <w:rFonts w:ascii="Times New Roman" w:hAnsi="Times New Roman"/>
          <w:bCs/>
          <w:iCs/>
          <w:noProof/>
        </w:rPr>
        <w:t>Il programma quadro Orizzonte 2020 ha fissato rispettivamente al 35 % e al 60 % le quote di bilancio previste a favore dell'azione per il clima e lo sviluppo sostenibile per l'intera durata del programma. Alla fine del 2019 le spese avevano raggiunto almeno il 29,4 % per la prima e il 65,6 % per il secondo. Sono in corso ulteriori sforzi, in particolare nel contesto dei settori prioritari dedicati.</w:t>
      </w:r>
    </w:p>
    <w:p>
      <w:pPr>
        <w:jc w:val="both"/>
        <w:rPr>
          <w:rFonts w:ascii="Times New Roman" w:hAnsi="Times New Roman" w:cs="Times New Roman"/>
          <w:bCs/>
          <w:noProof/>
          <w:u w:val="single"/>
        </w:rPr>
      </w:pPr>
      <w:r>
        <w:rPr>
          <w:rFonts w:ascii="Times New Roman" w:hAnsi="Times New Roman"/>
          <w:bCs/>
          <w:noProof/>
          <w:u w:val="single"/>
        </w:rPr>
        <w:t xml:space="preserve">Persone </w:t>
      </w:r>
    </w:p>
    <w:p>
      <w:pPr>
        <w:jc w:val="both"/>
        <w:rPr>
          <w:rFonts w:ascii="Times New Roman" w:hAnsi="Times New Roman" w:cs="Times New Roman"/>
          <w:noProof/>
        </w:rPr>
      </w:pPr>
      <w:r>
        <w:rPr>
          <w:rFonts w:ascii="Times New Roman" w:hAnsi="Times New Roman"/>
          <w:noProof/>
        </w:rPr>
        <w:t>Nel contesto dell'attuazione della comunicazione relativa alla "</w:t>
      </w:r>
      <w:r>
        <w:rPr>
          <w:rFonts w:ascii="Times New Roman" w:hAnsi="Times New Roman"/>
          <w:b/>
          <w:noProof/>
        </w:rPr>
        <w:t>trasformazione digitale della sanità e dell'assistenza nel mercato unico digitale</w:t>
      </w:r>
      <w:r>
        <w:rPr>
          <w:rFonts w:ascii="Times New Roman" w:hAnsi="Times New Roman"/>
          <w:noProof/>
        </w:rPr>
        <w:t xml:space="preserve">", a gennaio 2019 è stato avviato il programma congiunto europeo sul cofinanziamento a sostegno delle </w:t>
      </w:r>
      <w:r>
        <w:rPr>
          <w:rFonts w:ascii="Times New Roman" w:hAnsi="Times New Roman"/>
          <w:b/>
          <w:noProof/>
        </w:rPr>
        <w:t>malattie rare</w:t>
      </w:r>
      <w:r>
        <w:rPr>
          <w:rFonts w:ascii="Times New Roman" w:hAnsi="Times New Roman"/>
          <w:noProof/>
        </w:rPr>
        <w:t>. Questo progetto pilota di punta che riunisce oltre 130 istituzioni di 35 paesi (tra cui 27 Stati membri) ottimizzerà il flusso di conoscenze sulle malattie rare, con l'obiettivo di trasferire rapidamente i risultati della ricerca in contesti clinici.</w:t>
      </w:r>
    </w:p>
    <w:p>
      <w:pPr>
        <w:jc w:val="both"/>
        <w:rPr>
          <w:rFonts w:ascii="Times New Roman" w:hAnsi="Times New Roman" w:cs="Times New Roman"/>
          <w:noProof/>
        </w:rPr>
      </w:pPr>
      <w:r>
        <w:rPr>
          <w:rFonts w:ascii="Times New Roman" w:hAnsi="Times New Roman"/>
          <w:noProof/>
        </w:rPr>
        <w:t xml:space="preserve">Nel gennaio del 2019 l'UE ha investito 50 milioni di EUR in nuovi metodi di prova e screening per gli interferenti endocrini. Gli otto nuovi progetti di Orizzonte 2020 varati in tale contesto formano il </w:t>
      </w:r>
      <w:r>
        <w:rPr>
          <w:rFonts w:ascii="Times New Roman" w:hAnsi="Times New Roman"/>
          <w:b/>
          <w:bCs/>
          <w:noProof/>
        </w:rPr>
        <w:t>cluster europeo per il miglioramento dell'individuazione di interferenti endocrini (</w:t>
      </w:r>
      <w:r>
        <w:rPr>
          <w:rFonts w:ascii="Times New Roman" w:hAnsi="Times New Roman"/>
          <w:b/>
          <w:bCs/>
          <w:i/>
          <w:iCs/>
          <w:noProof/>
        </w:rPr>
        <w:t>European Cluster to Improve Identification of Endocrine Disruptors</w:t>
      </w:r>
      <w:r>
        <w:rPr>
          <w:rFonts w:ascii="Times New Roman" w:hAnsi="Times New Roman"/>
          <w:b/>
          <w:bCs/>
          <w:noProof/>
        </w:rPr>
        <w:t>, EURION)</w:t>
      </w:r>
      <w:r>
        <w:rPr>
          <w:rFonts w:ascii="Times New Roman" w:hAnsi="Times New Roman"/>
          <w:bCs/>
          <w:noProof/>
        </w:rPr>
        <w:t>.</w:t>
      </w:r>
      <w:r>
        <w:rPr>
          <w:rFonts w:ascii="Times New Roman" w:hAnsi="Times New Roman"/>
          <w:b/>
          <w:bCs/>
          <w:noProof/>
        </w:rPr>
        <w:t xml:space="preserve"> </w:t>
      </w:r>
      <w:r>
        <w:rPr>
          <w:rFonts w:ascii="Times New Roman" w:hAnsi="Times New Roman"/>
          <w:noProof/>
        </w:rPr>
        <w:t xml:space="preserve">Tale gruppo collaborerà con il JRC per promuovere la validazione di nuovi metodi sviluppati. </w:t>
      </w:r>
    </w:p>
    <w:p>
      <w:pPr>
        <w:jc w:val="both"/>
        <w:rPr>
          <w:rFonts w:ascii="Times New Roman" w:hAnsi="Times New Roman" w:cs="Times New Roman"/>
          <w:noProof/>
        </w:rPr>
      </w:pPr>
      <w:r>
        <w:rPr>
          <w:rFonts w:ascii="Times New Roman" w:hAnsi="Times New Roman"/>
          <w:noProof/>
        </w:rPr>
        <w:t xml:space="preserve">Nell'ottobre del 2019 la Commissione ha annunciato lo stanziamento di 6 milioni di EUR per il primo </w:t>
      </w:r>
      <w:r>
        <w:rPr>
          <w:rFonts w:ascii="Times New Roman" w:hAnsi="Times New Roman"/>
          <w:b/>
          <w:noProof/>
        </w:rPr>
        <w:t>studio clinico</w:t>
      </w:r>
      <w:r>
        <w:rPr>
          <w:rFonts w:ascii="Times New Roman" w:hAnsi="Times New Roman"/>
          <w:noProof/>
        </w:rPr>
        <w:t xml:space="preserve"> </w:t>
      </w:r>
      <w:r>
        <w:rPr>
          <w:rFonts w:ascii="Times New Roman" w:hAnsi="Times New Roman"/>
          <w:b/>
          <w:noProof/>
        </w:rPr>
        <w:t xml:space="preserve">su larga scala per un nuovo vaccino contro l'Ebola </w:t>
      </w:r>
      <w:r>
        <w:rPr>
          <w:rFonts w:ascii="Times New Roman" w:hAnsi="Times New Roman"/>
          <w:noProof/>
        </w:rPr>
        <w:t xml:space="preserve">nella Repubblica democratica del Congo attraverso la Coalizione per le innovazioni in materia di preparazione contro le epidemie. </w:t>
      </w:r>
    </w:p>
    <w:p>
      <w:pPr>
        <w:jc w:val="both"/>
        <w:rPr>
          <w:rFonts w:ascii="Times New Roman" w:hAnsi="Times New Roman" w:cs="Times New Roman"/>
          <w:noProof/>
        </w:rPr>
      </w:pPr>
      <w:r>
        <w:rPr>
          <w:rFonts w:ascii="Times New Roman" w:hAnsi="Times New Roman"/>
          <w:noProof/>
        </w:rPr>
        <w:t xml:space="preserve">È stata istituita la </w:t>
      </w:r>
      <w:r>
        <w:rPr>
          <w:rFonts w:ascii="Times New Roman" w:hAnsi="Times New Roman"/>
          <w:b/>
          <w:noProof/>
        </w:rPr>
        <w:t>rete europea sull'exposoma degli esseri umani</w:t>
      </w:r>
      <w:r>
        <w:rPr>
          <w:rFonts w:ascii="Times New Roman" w:hAnsi="Times New Roman"/>
          <w:noProof/>
        </w:rPr>
        <w:t xml:space="preserve">. Tale iniziativa, quella di dimensioni maggiori nel suo genere sul tema dell'exposoma, studia come l'alimentazione, lo stile di vita e l'ambiente incidano sulla salute. Contribuisce direttamente al Green Deal europeo. </w:t>
      </w:r>
    </w:p>
    <w:p>
      <w:pPr>
        <w:jc w:val="both"/>
        <w:rPr>
          <w:rFonts w:ascii="Times New Roman" w:hAnsi="Times New Roman" w:cs="Times New Roman"/>
          <w:bCs/>
          <w:noProof/>
          <w:u w:val="single"/>
        </w:rPr>
      </w:pPr>
      <w:r>
        <w:rPr>
          <w:rFonts w:ascii="Times New Roman" w:hAnsi="Times New Roman"/>
          <w:bCs/>
          <w:noProof/>
          <w:u w:val="single"/>
        </w:rPr>
        <w:t xml:space="preserve">Prosperità </w:t>
      </w:r>
    </w:p>
    <w:p>
      <w:pPr>
        <w:jc w:val="both"/>
        <w:rPr>
          <w:rFonts w:ascii="Times New Roman" w:hAnsi="Times New Roman" w:cs="Times New Roman"/>
          <w:noProof/>
        </w:rPr>
      </w:pPr>
      <w:r>
        <w:rPr>
          <w:rFonts w:ascii="Times New Roman" w:hAnsi="Times New Roman"/>
          <w:noProof/>
        </w:rPr>
        <w:t>L'</w:t>
      </w:r>
      <w:hyperlink r:id="rId50" w:history="1">
        <w:r>
          <w:rPr>
            <w:rStyle w:val="Hyperlink"/>
            <w:rFonts w:ascii="Times New Roman" w:hAnsi="Times New Roman"/>
            <w:noProof/>
            <w:color w:val="auto"/>
          </w:rPr>
          <w:t>analisi delle tendenze tecnologiche basate su progetti di Orizzonte 2020 in relazione alla simbiosi industriale</w:t>
        </w:r>
      </w:hyperlink>
      <w:r>
        <w:rPr>
          <w:rFonts w:ascii="Times New Roman" w:hAnsi="Times New Roman"/>
          <w:noProof/>
        </w:rPr>
        <w:t xml:space="preserve"> conferma che la </w:t>
      </w:r>
      <w:r>
        <w:rPr>
          <w:rFonts w:ascii="Times New Roman" w:hAnsi="Times New Roman"/>
          <w:b/>
          <w:bCs/>
          <w:noProof/>
        </w:rPr>
        <w:t>simbiosi industriale</w:t>
      </w:r>
      <w:r>
        <w:rPr>
          <w:rFonts w:ascii="Times New Roman" w:hAnsi="Times New Roman"/>
          <w:noProof/>
        </w:rPr>
        <w:t xml:space="preserve"> potrebbe contribuire in maniera significativa agli sforzi europei verso la neutralità in termini di emissioni di CO</w:t>
      </w:r>
      <w:r>
        <w:rPr>
          <w:rFonts w:ascii="Times New Roman" w:hAnsi="Times New Roman"/>
          <w:noProof/>
          <w:vertAlign w:val="subscript"/>
        </w:rPr>
        <w:t>2</w:t>
      </w:r>
      <w:r>
        <w:rPr>
          <w:rFonts w:ascii="Times New Roman" w:hAnsi="Times New Roman"/>
          <w:noProof/>
        </w:rPr>
        <w:t xml:space="preserve"> e ad una </w:t>
      </w:r>
      <w:r>
        <w:rPr>
          <w:rFonts w:ascii="Times New Roman" w:hAnsi="Times New Roman"/>
          <w:b/>
          <w:bCs/>
          <w:noProof/>
        </w:rPr>
        <w:t>industria circolare</w:t>
      </w:r>
      <w:r>
        <w:rPr>
          <w:rFonts w:ascii="Times New Roman" w:hAnsi="Times New Roman"/>
          <w:noProof/>
        </w:rPr>
        <w:t xml:space="preserve"> in Europa. Un'</w:t>
      </w:r>
      <w:hyperlink r:id="rId51" w:history="1">
        <w:r>
          <w:rPr>
            <w:rStyle w:val="Hyperlink"/>
            <w:rFonts w:ascii="Times New Roman" w:hAnsi="Times New Roman"/>
            <w:noProof/>
            <w:color w:val="auto"/>
          </w:rPr>
          <w:t>analisi delle tendenze tecnologiche in relazione alla robotica industriale</w:t>
        </w:r>
      </w:hyperlink>
      <w:r>
        <w:rPr>
          <w:rFonts w:ascii="Times New Roman" w:hAnsi="Times New Roman"/>
          <w:noProof/>
        </w:rPr>
        <w:t xml:space="preserve"> conclude che l'Europa è leader nel settore dei robot collaborativi industriali, anche se potrebbe essere superata da altre regioni del mondo entro il 2025; da tale analisi emerge altresì che la robotica collaborativa potrebbe migliorare tanto l'economia quanto la società pur accogliendo i valori europei. </w:t>
      </w:r>
    </w:p>
    <w:p>
      <w:pPr>
        <w:numPr>
          <w:ilvl w:val="1"/>
          <w:numId w:val="21"/>
        </w:numPr>
        <w:jc w:val="both"/>
        <w:rPr>
          <w:rFonts w:ascii="Times New Roman" w:hAnsi="Times New Roman" w:cs="Times New Roman"/>
          <w:b/>
          <w:i/>
          <w:noProof/>
        </w:rPr>
      </w:pPr>
      <w:r>
        <w:rPr>
          <w:rFonts w:ascii="Times New Roman" w:hAnsi="Times New Roman"/>
          <w:b/>
          <w:i/>
          <w:noProof/>
        </w:rPr>
        <w:t xml:space="preserve">Azioni dirette non nucleari del Centro comune di ricerca </w:t>
      </w:r>
    </w:p>
    <w:p>
      <w:pPr>
        <w:jc w:val="both"/>
        <w:rPr>
          <w:rFonts w:ascii="Times New Roman" w:hAnsi="Times New Roman" w:cs="Times New Roman"/>
          <w:bCs/>
          <w:noProof/>
        </w:rPr>
      </w:pPr>
      <w:r>
        <w:rPr>
          <w:rFonts w:ascii="Times New Roman" w:hAnsi="Times New Roman"/>
          <w:noProof/>
        </w:rPr>
        <w:t xml:space="preserve">Oltre al suo sostegno allo sviluppo e al monitoraggio delle politiche, il JRC ha continuato ad espandere le proprie </w:t>
      </w:r>
      <w:r>
        <w:rPr>
          <w:rFonts w:ascii="Times New Roman" w:hAnsi="Times New Roman"/>
          <w:b/>
          <w:noProof/>
        </w:rPr>
        <w:t>attività di gestione delle conoscenze</w:t>
      </w:r>
      <w:r>
        <w:rPr>
          <w:rFonts w:ascii="Times New Roman" w:hAnsi="Times New Roman"/>
          <w:noProof/>
        </w:rPr>
        <w:t xml:space="preserve">, inaugurando un nuovo centro di competenza sugli studi comportamentali. Il centro </w:t>
      </w:r>
      <w:r>
        <w:rPr>
          <w:rFonts w:ascii="Times New Roman" w:hAnsi="Times New Roman"/>
          <w:bCs/>
          <w:noProof/>
        </w:rPr>
        <w:t xml:space="preserve">mette a disposizione strumenti per applicare prove comportamentali nel processo decisionale, individuando i comportamenti da analizzare, raccogliendo prove pertinenti, sottoponendo a prova azioni politiche alternative e, in ultima analisi, informando </w:t>
      </w:r>
      <w:r>
        <w:rPr>
          <w:rFonts w:ascii="Times New Roman" w:hAnsi="Times New Roman"/>
          <w:noProof/>
        </w:rPr>
        <w:t>le</w:t>
      </w:r>
      <w:r>
        <w:rPr>
          <w:rFonts w:ascii="Times New Roman" w:hAnsi="Times New Roman"/>
          <w:bCs/>
          <w:noProof/>
        </w:rPr>
        <w:t xml:space="preserve"> decisioni in materia di politiche. Il JRC gestisce attualmente 13 centri di conoscenza e competenza. </w:t>
      </w:r>
    </w:p>
    <w:p>
      <w:pPr>
        <w:jc w:val="both"/>
        <w:rPr>
          <w:rFonts w:ascii="Times New Roman" w:hAnsi="Times New Roman" w:cs="Times New Roman"/>
          <w:bCs/>
          <w:noProof/>
        </w:rPr>
      </w:pPr>
      <w:r>
        <w:rPr>
          <w:rFonts w:ascii="Times New Roman" w:hAnsi="Times New Roman"/>
          <w:bCs/>
          <w:noProof/>
        </w:rPr>
        <w:t>Il JRC ha organizzato inoltre la seconda settimana della conoscenza della Commissione europea, con più di 100 eventi e oltre 3 000 partecipanti.</w:t>
      </w:r>
    </w:p>
    <w:p>
      <w:pPr>
        <w:jc w:val="both"/>
        <w:rPr>
          <w:rFonts w:ascii="Times New Roman" w:hAnsi="Times New Roman" w:cs="Times New Roman"/>
          <w:noProof/>
        </w:rPr>
      </w:pPr>
      <w:r>
        <w:rPr>
          <w:rFonts w:ascii="Times New Roman" w:hAnsi="Times New Roman"/>
          <w:noProof/>
        </w:rPr>
        <w:t xml:space="preserve">Nel 2019 sono state pubblicate sette </w:t>
      </w:r>
      <w:hyperlink r:id="rId52" w:history="1">
        <w:r>
          <w:rPr>
            <w:rStyle w:val="Hyperlink"/>
            <w:rFonts w:ascii="Times New Roman" w:hAnsi="Times New Roman"/>
            <w:noProof/>
            <w:color w:val="auto"/>
          </w:rPr>
          <w:t>relazioni faro</w:t>
        </w:r>
      </w:hyperlink>
      <w:r>
        <w:rPr>
          <w:rFonts w:ascii="Times New Roman" w:hAnsi="Times New Roman" w:cs="Times New Roman"/>
          <w:noProof/>
          <w:vertAlign w:val="superscript"/>
        </w:rPr>
        <w:footnoteReference w:id="6"/>
      </w:r>
      <w:r>
        <w:rPr>
          <w:rFonts w:ascii="Times New Roman" w:hAnsi="Times New Roman"/>
          <w:noProof/>
        </w:rPr>
        <w:t>,</w:t>
      </w:r>
      <w:r>
        <w:rPr>
          <w:rFonts w:ascii="Times New Roman" w:hAnsi="Times New Roman"/>
          <w:b/>
          <w:noProof/>
        </w:rPr>
        <w:t xml:space="preserve"> </w:t>
      </w:r>
      <w:r>
        <w:rPr>
          <w:rFonts w:ascii="Times New Roman" w:hAnsi="Times New Roman"/>
          <w:noProof/>
        </w:rPr>
        <w:t xml:space="preserve">che hanno fornito analisi interdisciplinari contenenti approfondimenti anticipatori. È stato svolto un ampio lavoro in materia di </w:t>
      </w:r>
      <w:r>
        <w:rPr>
          <w:rFonts w:ascii="Times New Roman" w:hAnsi="Times New Roman"/>
          <w:bCs/>
          <w:noProof/>
        </w:rPr>
        <w:t>equità, resilienza e cibersicurezza, con relazioni che saranno pubblicate nel 2020.</w:t>
      </w:r>
    </w:p>
    <w:p>
      <w:pPr>
        <w:jc w:val="both"/>
        <w:rPr>
          <w:rFonts w:ascii="Times New Roman" w:hAnsi="Times New Roman" w:cs="Times New Roman"/>
          <w:noProof/>
        </w:rPr>
      </w:pPr>
      <w:r>
        <w:rPr>
          <w:rFonts w:ascii="Times New Roman" w:hAnsi="Times New Roman"/>
          <w:noProof/>
        </w:rPr>
        <w:t xml:space="preserve">Gli altri principali risultati conseguiti: </w:t>
      </w:r>
    </w:p>
    <w:p>
      <w:pPr>
        <w:numPr>
          <w:ilvl w:val="0"/>
          <w:numId w:val="24"/>
        </w:numPr>
        <w:jc w:val="both"/>
        <w:rPr>
          <w:rFonts w:ascii="Times New Roman" w:hAnsi="Times New Roman" w:cs="Times New Roman"/>
          <w:noProof/>
        </w:rPr>
      </w:pPr>
      <w:r>
        <w:rPr>
          <w:rFonts w:ascii="Times New Roman" w:hAnsi="Times New Roman"/>
          <w:noProof/>
        </w:rPr>
        <w:t xml:space="preserve">il JRC ha varato una nuova </w:t>
      </w:r>
      <w:r>
        <w:rPr>
          <w:rFonts w:ascii="Times New Roman" w:hAnsi="Times New Roman"/>
          <w:b/>
          <w:noProof/>
        </w:rPr>
        <w:t>piattaforma europea per la registrazione di malattie rare</w:t>
      </w:r>
      <w:r>
        <w:rPr>
          <w:rFonts w:ascii="Times New Roman" w:hAnsi="Times New Roman"/>
          <w:noProof/>
        </w:rPr>
        <w:t xml:space="preserve"> con l'obiettivo di sostenere la condivisione di conoscenze per migliorare la diagnosi e il trattamento;</w:t>
      </w:r>
    </w:p>
    <w:p>
      <w:pPr>
        <w:numPr>
          <w:ilvl w:val="0"/>
          <w:numId w:val="24"/>
        </w:numPr>
        <w:jc w:val="both"/>
        <w:rPr>
          <w:rFonts w:ascii="Times New Roman" w:hAnsi="Times New Roman" w:cs="Times New Roman"/>
          <w:noProof/>
        </w:rPr>
      </w:pPr>
      <w:r>
        <w:rPr>
          <w:rFonts w:ascii="Times New Roman" w:hAnsi="Times New Roman"/>
          <w:noProof/>
        </w:rPr>
        <w:t xml:space="preserve">a dicembre è stata varata una </w:t>
      </w:r>
      <w:r>
        <w:rPr>
          <w:rFonts w:ascii="Times New Roman" w:hAnsi="Times New Roman"/>
          <w:b/>
          <w:noProof/>
        </w:rPr>
        <w:t>piattaforma online interattiva per l'Atlante delle migrazioni</w:t>
      </w:r>
      <w:r>
        <w:rPr>
          <w:rFonts w:ascii="Times New Roman" w:hAnsi="Times New Roman"/>
          <w:noProof/>
        </w:rPr>
        <w:t xml:space="preserve"> che fornisce informazioni su 60 diversi indicatori concernenti demografia, migrazione, asilo, integrazione e sviluppo;</w:t>
      </w:r>
    </w:p>
    <w:p>
      <w:pPr>
        <w:numPr>
          <w:ilvl w:val="0"/>
          <w:numId w:val="24"/>
        </w:numPr>
        <w:jc w:val="both"/>
        <w:rPr>
          <w:rFonts w:ascii="Times New Roman" w:hAnsi="Times New Roman" w:cs="Times New Roman"/>
          <w:noProof/>
        </w:rPr>
      </w:pPr>
      <w:r>
        <w:rPr>
          <w:rFonts w:ascii="Times New Roman" w:hAnsi="Times New Roman"/>
          <w:noProof/>
        </w:rPr>
        <w:t xml:space="preserve">il JRC ha sostenuto l'istituzione di </w:t>
      </w:r>
      <w:r>
        <w:rPr>
          <w:rFonts w:ascii="Times New Roman" w:hAnsi="Times New Roman"/>
          <w:b/>
          <w:noProof/>
        </w:rPr>
        <w:t>AI Watch</w:t>
      </w:r>
      <w:r>
        <w:rPr>
          <w:rFonts w:ascii="Times New Roman" w:hAnsi="Times New Roman"/>
          <w:noProof/>
        </w:rPr>
        <w:t>, che monitora lo sviluppo, la diffusione e l'impatto dell'intelligenza artificiale per l'Europa;</w:t>
      </w:r>
    </w:p>
    <w:p>
      <w:pPr>
        <w:numPr>
          <w:ilvl w:val="0"/>
          <w:numId w:val="24"/>
        </w:numPr>
        <w:jc w:val="both"/>
        <w:rPr>
          <w:rFonts w:ascii="Times New Roman" w:hAnsi="Times New Roman" w:cs="Times New Roman"/>
          <w:noProof/>
        </w:rPr>
      </w:pPr>
      <w:r>
        <w:rPr>
          <w:rFonts w:ascii="Times New Roman" w:hAnsi="Times New Roman"/>
          <w:noProof/>
        </w:rPr>
        <w:t xml:space="preserve">il JRC ha sviluppato un modello di </w:t>
      </w:r>
      <w:r>
        <w:rPr>
          <w:rFonts w:ascii="Times New Roman" w:hAnsi="Times New Roman"/>
          <w:b/>
          <w:noProof/>
        </w:rPr>
        <w:t>equilibrio generale calcolabile denominato RHOMOLO-BEI</w:t>
      </w:r>
      <w:r>
        <w:rPr>
          <w:rFonts w:ascii="Times New Roman" w:hAnsi="Times New Roman"/>
          <w:noProof/>
        </w:rPr>
        <w:t xml:space="preserve"> che esegue simulazioni delle politiche per valutare gli effetti macroeconomici delle operazioni;</w:t>
      </w:r>
    </w:p>
    <w:p>
      <w:pPr>
        <w:numPr>
          <w:ilvl w:val="0"/>
          <w:numId w:val="24"/>
        </w:numPr>
        <w:jc w:val="both"/>
        <w:rPr>
          <w:rFonts w:ascii="Times New Roman" w:hAnsi="Times New Roman" w:cs="Times New Roman"/>
          <w:noProof/>
        </w:rPr>
      </w:pPr>
      <w:r>
        <w:rPr>
          <w:rFonts w:ascii="Times New Roman" w:hAnsi="Times New Roman"/>
          <w:noProof/>
        </w:rPr>
        <w:t xml:space="preserve">più di 1 100 pubblicazioni relative a politiche e quasi 700 pubblicazioni scientifiche soggette a valutazione </w:t>
      </w:r>
      <w:r>
        <w:rPr>
          <w:rFonts w:ascii="Times New Roman" w:hAnsi="Times New Roman"/>
          <w:i/>
          <w:iCs/>
          <w:noProof/>
        </w:rPr>
        <w:t>inter pares</w:t>
      </w:r>
      <w:r>
        <w:rPr>
          <w:rFonts w:ascii="Times New Roman" w:hAnsi="Times New Roman"/>
          <w:noProof/>
        </w:rPr>
        <w:t xml:space="preserve">; circa il 40 % degli articoli soggetti a valutazione </w:t>
      </w:r>
      <w:r>
        <w:rPr>
          <w:rFonts w:ascii="Times New Roman" w:hAnsi="Times New Roman"/>
          <w:i/>
          <w:iCs/>
          <w:noProof/>
        </w:rPr>
        <w:t>inter pares</w:t>
      </w:r>
      <w:r>
        <w:rPr>
          <w:rFonts w:ascii="Times New Roman" w:hAnsi="Times New Roman"/>
          <w:noProof/>
        </w:rPr>
        <w:t xml:space="preserve"> del JRC sono stati pubblicati nel primo 10 % delle riviste maggiormente citate.</w:t>
      </w:r>
    </w:p>
    <w:p>
      <w:pPr>
        <w:jc w:val="both"/>
        <w:rPr>
          <w:rFonts w:ascii="Times New Roman" w:hAnsi="Times New Roman" w:cs="Times New Roman"/>
          <w:b/>
          <w:noProof/>
        </w:rPr>
      </w:pPr>
    </w:p>
    <w:p>
      <w:pPr>
        <w:numPr>
          <w:ilvl w:val="1"/>
          <w:numId w:val="21"/>
        </w:numPr>
        <w:jc w:val="both"/>
        <w:rPr>
          <w:rFonts w:ascii="Times New Roman" w:hAnsi="Times New Roman" w:cs="Times New Roman"/>
          <w:b/>
          <w:i/>
          <w:noProof/>
        </w:rPr>
      </w:pPr>
      <w:r>
        <w:rPr>
          <w:rFonts w:ascii="Times New Roman" w:hAnsi="Times New Roman"/>
          <w:b/>
          <w:i/>
          <w:noProof/>
        </w:rPr>
        <w:t>Istituto europeo di innovazione e tecnologia</w:t>
      </w:r>
    </w:p>
    <w:p>
      <w:pPr>
        <w:jc w:val="both"/>
        <w:rPr>
          <w:rFonts w:ascii="Times New Roman" w:hAnsi="Times New Roman" w:cs="Times New Roman"/>
          <w:noProof/>
        </w:rPr>
      </w:pPr>
      <w:r>
        <w:rPr>
          <w:rFonts w:ascii="Times New Roman" w:hAnsi="Times New Roman"/>
          <w:bCs/>
          <w:iCs/>
          <w:noProof/>
        </w:rPr>
        <w:t xml:space="preserve">Il contributo finanziario totale dell'EIT all'attuazione dei piani aziendali per il 2019 delle comunità della conoscenza e dell'innovazione (CCI) è stato pari a 470 milioni di EUR. </w:t>
      </w:r>
    </w:p>
    <w:p>
      <w:pPr>
        <w:jc w:val="both"/>
        <w:rPr>
          <w:rFonts w:ascii="Times New Roman" w:hAnsi="Times New Roman" w:cs="Times New Roman"/>
          <w:noProof/>
        </w:rPr>
      </w:pPr>
      <w:r>
        <w:rPr>
          <w:rFonts w:ascii="Times New Roman" w:hAnsi="Times New Roman"/>
          <w:noProof/>
        </w:rPr>
        <w:t>Il modello di innovazione dell'EIT sta funzionando e sta producendo un impatto effettivo su alcune delle maggiori sfide sociali dell'Europa. Nel 2019 la comunità EIT è cresciuta fino a diventare una rete affidabile di circa 1 650 partner, con 51 poli/centri di co-ubicazione in 16 Stati membri, circostanza questa che la rende una delle più grandi comunità di innovazione collegate in rete d'Europa. Dalla sua istituzione l'EIT ha sostenuto oltre 1 250 start-up e scale-up, creato oltre 6 100 posti di lavoro altamente qualificati e portato sul mercato oltre 600 prodotti e servizi nuovi.</w:t>
      </w:r>
    </w:p>
    <w:p>
      <w:pPr>
        <w:jc w:val="both"/>
        <w:rPr>
          <w:rFonts w:ascii="Times New Roman" w:hAnsi="Times New Roman" w:cs="Times New Roman"/>
          <w:noProof/>
        </w:rPr>
      </w:pPr>
    </w:p>
    <w:p>
      <w:pPr>
        <w:jc w:val="both"/>
        <w:rPr>
          <w:rFonts w:ascii="Times New Roman" w:hAnsi="Times New Roman" w:cs="Times New Roman"/>
          <w:b/>
          <w:bCs/>
          <w:iCs/>
          <w:noProof/>
        </w:rPr>
      </w:pPr>
      <w:r>
        <w:rPr>
          <w:rFonts w:ascii="Times New Roman" w:hAnsi="Times New Roman"/>
          <w:b/>
          <w:noProof/>
        </w:rPr>
        <w:t>5.</w:t>
      </w:r>
      <w:r>
        <w:rPr>
          <w:rFonts w:ascii="Times New Roman" w:hAnsi="Times New Roman"/>
          <w:b/>
          <w:noProof/>
        </w:rPr>
        <w:tab/>
        <w:t>Attuazione del programma Euratom che integra Orizzonte 2020</w:t>
      </w:r>
    </w:p>
    <w:p>
      <w:pPr>
        <w:numPr>
          <w:ilvl w:val="1"/>
          <w:numId w:val="28"/>
        </w:numPr>
        <w:jc w:val="both"/>
        <w:rPr>
          <w:rFonts w:ascii="Times New Roman" w:hAnsi="Times New Roman" w:cs="Times New Roman"/>
          <w:b/>
          <w:i/>
          <w:noProof/>
        </w:rPr>
      </w:pPr>
      <w:r>
        <w:rPr>
          <w:rFonts w:ascii="Times New Roman" w:hAnsi="Times New Roman"/>
          <w:b/>
          <w:i/>
          <w:noProof/>
        </w:rPr>
        <w:t>Azioni indirette</w:t>
      </w:r>
    </w:p>
    <w:p>
      <w:pPr>
        <w:jc w:val="both"/>
        <w:rPr>
          <w:rFonts w:ascii="Times New Roman" w:hAnsi="Times New Roman" w:cs="Times New Roman"/>
          <w:noProof/>
        </w:rPr>
      </w:pPr>
      <w:r>
        <w:rPr>
          <w:rFonts w:ascii="Times New Roman" w:hAnsi="Times New Roman"/>
          <w:noProof/>
        </w:rPr>
        <w:t>Entro la fine del 2019 sono stati portati a termine quattro inviti a presentare proposte, in esito ai quali sono pervenute 192 proposte ammissibili, pari a una richiesta di contributo finanziario complessivo dell'Euratom di 725,7 milioni di EUR. Di queste, 62 sono state selezionate ai fini del finanziamento, per un contributo Euratom pari a 271,29 milioni di EUR, portando la percentuale complessiva di successo delle proposte ammissibili a partire dal 2014 al 32,12 %.</w:t>
      </w:r>
    </w:p>
    <w:p>
      <w:pPr>
        <w:jc w:val="both"/>
        <w:rPr>
          <w:rFonts w:ascii="Times New Roman" w:hAnsi="Times New Roman" w:cs="Times New Roman"/>
          <w:noProof/>
        </w:rPr>
      </w:pPr>
      <w:r>
        <w:rPr>
          <w:rFonts w:ascii="Times New Roman" w:hAnsi="Times New Roman"/>
          <w:noProof/>
        </w:rPr>
        <w:t xml:space="preserve">Un quinto invito si è concluso alla fine del 2019 (data di chiusura: 25 settembre). 62 proposte nel contesto di tale invito sono risultate ammissibili, pari a una richiesta di contributo finanziario complessivo dell'Euratom di 265,33 milioni di EUR. In seguito alla valutazione, sono state raccomandate per il finanziamento 31 proposte con un contributo di 133,19 milioni di EUR. Le sovvenzioni dovrebbero essere aggiudicate e firmate nel 2020 qualora tutte le verifiche necessarie vengano superate con successo. </w:t>
      </w:r>
    </w:p>
    <w:p>
      <w:pPr>
        <w:jc w:val="both"/>
        <w:rPr>
          <w:rFonts w:ascii="Times New Roman" w:hAnsi="Times New Roman" w:cs="Times New Roman"/>
          <w:b/>
          <w:i/>
          <w:noProof/>
        </w:rPr>
      </w:pPr>
      <w:r>
        <w:rPr>
          <w:rFonts w:ascii="Times New Roman" w:hAnsi="Times New Roman"/>
          <w:b/>
          <w:bCs/>
          <w:i/>
          <w:iCs/>
          <w:noProof/>
        </w:rPr>
        <w:t xml:space="preserve">5.2 Azioni dirette nucleari attuate dal JRC </w:t>
      </w:r>
    </w:p>
    <w:p>
      <w:pPr>
        <w:jc w:val="both"/>
        <w:rPr>
          <w:rFonts w:ascii="Times New Roman" w:hAnsi="Times New Roman" w:cs="Times New Roman"/>
          <w:noProof/>
        </w:rPr>
      </w:pPr>
      <w:r>
        <w:rPr>
          <w:rFonts w:ascii="Times New Roman" w:hAnsi="Times New Roman"/>
          <w:noProof/>
        </w:rPr>
        <w:t xml:space="preserve">Le azioni dirette attuate dal JRC nel 2019 hanno riguardato la ricerca e la formazione nei settori selezionati dagli obiettivi specifici del programma: </w:t>
      </w:r>
    </w:p>
    <w:p>
      <w:pPr>
        <w:numPr>
          <w:ilvl w:val="0"/>
          <w:numId w:val="24"/>
        </w:numPr>
        <w:jc w:val="both"/>
        <w:rPr>
          <w:rFonts w:ascii="Times New Roman" w:hAnsi="Times New Roman" w:cs="Times New Roman"/>
          <w:noProof/>
        </w:rPr>
      </w:pPr>
      <w:r>
        <w:rPr>
          <w:rFonts w:ascii="Times New Roman" w:hAnsi="Times New Roman"/>
          <w:noProof/>
        </w:rPr>
        <w:t xml:space="preserve">migliorare la sicurezza nucleare; </w:t>
      </w:r>
    </w:p>
    <w:p>
      <w:pPr>
        <w:numPr>
          <w:ilvl w:val="0"/>
          <w:numId w:val="24"/>
        </w:numPr>
        <w:jc w:val="both"/>
        <w:rPr>
          <w:rFonts w:ascii="Times New Roman" w:hAnsi="Times New Roman" w:cs="Times New Roman"/>
          <w:noProof/>
        </w:rPr>
      </w:pPr>
      <w:r>
        <w:rPr>
          <w:rFonts w:ascii="Times New Roman" w:hAnsi="Times New Roman"/>
          <w:noProof/>
        </w:rPr>
        <w:t xml:space="preserve">migliorare le salvaguardie nucleari, la non proliferazione e la sicurezza; </w:t>
      </w:r>
    </w:p>
    <w:p>
      <w:pPr>
        <w:numPr>
          <w:ilvl w:val="0"/>
          <w:numId w:val="24"/>
        </w:numPr>
        <w:jc w:val="both"/>
        <w:rPr>
          <w:rFonts w:ascii="Times New Roman" w:hAnsi="Times New Roman" w:cs="Times New Roman"/>
          <w:noProof/>
        </w:rPr>
      </w:pPr>
      <w:r>
        <w:rPr>
          <w:rFonts w:ascii="Times New Roman" w:hAnsi="Times New Roman"/>
          <w:noProof/>
        </w:rPr>
        <w:t>aumentare l'eccellenza delle conoscenze scientifiche di base, nonché delle norme e dei materiali di riferimento;</w:t>
      </w:r>
    </w:p>
    <w:p>
      <w:pPr>
        <w:numPr>
          <w:ilvl w:val="0"/>
          <w:numId w:val="24"/>
        </w:numPr>
        <w:jc w:val="both"/>
        <w:rPr>
          <w:rFonts w:ascii="Times New Roman" w:hAnsi="Times New Roman" w:cs="Times New Roman"/>
          <w:noProof/>
        </w:rPr>
      </w:pPr>
      <w:r>
        <w:rPr>
          <w:rFonts w:ascii="Times New Roman" w:hAnsi="Times New Roman"/>
          <w:noProof/>
        </w:rPr>
        <w:t xml:space="preserve">promuovere la gestione delle conoscenze, l'istruzione e la formazione avanzata; </w:t>
      </w:r>
    </w:p>
    <w:p>
      <w:pPr>
        <w:numPr>
          <w:ilvl w:val="0"/>
          <w:numId w:val="24"/>
        </w:numPr>
        <w:jc w:val="both"/>
        <w:rPr>
          <w:rFonts w:ascii="Times New Roman" w:hAnsi="Times New Roman" w:cs="Times New Roman"/>
          <w:noProof/>
        </w:rPr>
      </w:pPr>
      <w:r>
        <w:rPr>
          <w:rFonts w:ascii="Times New Roman" w:hAnsi="Times New Roman"/>
          <w:noProof/>
        </w:rPr>
        <w:t>fornire sostegno scientifico e tecnico alle politiche relative all'UE.</w:t>
      </w:r>
    </w:p>
    <w:p>
      <w:pPr>
        <w:jc w:val="both"/>
        <w:rPr>
          <w:rFonts w:ascii="Times New Roman" w:hAnsi="Times New Roman" w:cs="Times New Roman"/>
          <w:noProof/>
        </w:rPr>
      </w:pPr>
      <w:r>
        <w:rPr>
          <w:rFonts w:ascii="Times New Roman" w:hAnsi="Times New Roman"/>
          <w:noProof/>
        </w:rPr>
        <w:t xml:space="preserve">Nel 2019 gli scienziati del JRC hanno pubblicato 99 articoli su periodici soggetti a valutazione </w:t>
      </w:r>
      <w:r>
        <w:rPr>
          <w:rFonts w:ascii="Times New Roman" w:hAnsi="Times New Roman"/>
          <w:i/>
          <w:iCs/>
          <w:noProof/>
        </w:rPr>
        <w:t>inter pares</w:t>
      </w:r>
      <w:r>
        <w:rPr>
          <w:rFonts w:ascii="Times New Roman" w:hAnsi="Times New Roman"/>
          <w:noProof/>
        </w:rPr>
        <w:t xml:space="preserve"> e 37 articoli in monografie o altri periodici; il JRC ha inoltre pubblicato 15 documenti scientifici di contributo alle politiche e 102 relazioni tecniche, unitamente a metodi e misure di riferimento, sistemi tecnici e banche dati scientifiche. Infine, il JRC ha organizzato 25 corsi di formazione rivolti a professionisti e studenti degli Stati membri e della Commissione e ha aperto l'accesso alla propria infrastruttura di ricerca nucleare. </w:t>
      </w:r>
    </w:p>
    <w:p>
      <w:pPr>
        <w:jc w:val="both"/>
        <w:rPr>
          <w:rFonts w:ascii="Times New Roman" w:hAnsi="Times New Roman" w:cs="Times New Roman"/>
          <w:b/>
          <w:noProof/>
        </w:rPr>
      </w:pPr>
      <w:r>
        <w:rPr>
          <w:rFonts w:ascii="Times New Roman" w:hAnsi="Times New Roman"/>
          <w:b/>
          <w:noProof/>
        </w:rPr>
        <w:t xml:space="preserve">6. </w:t>
      </w:r>
      <w:r>
        <w:rPr>
          <w:rFonts w:ascii="Times New Roman" w:hAnsi="Times New Roman"/>
          <w:b/>
          <w:noProof/>
        </w:rPr>
        <w:tab/>
        <w:t>Diffusione, valorizzazione e comunicazione</w:t>
      </w:r>
    </w:p>
    <w:p>
      <w:pPr>
        <w:jc w:val="both"/>
        <w:rPr>
          <w:rFonts w:ascii="Times New Roman" w:hAnsi="Times New Roman" w:cs="Times New Roman"/>
          <w:noProof/>
        </w:rPr>
      </w:pPr>
      <w:r>
        <w:rPr>
          <w:rFonts w:ascii="Times New Roman" w:hAnsi="Times New Roman"/>
          <w:noProof/>
        </w:rPr>
        <w:t xml:space="preserve">Le disposizioni sull'accesso aperto contenute nel modello di convenzione di sovvenzione per Orizzonte 2020 garantiscono la totale disponibilità di quasi 75 000 pubblicazioni generate attraverso i progetti di Orizzonte 2020. Nel 2019 l'88 % degli articoli pubblicati su riviste sottoposte a valutazione </w:t>
      </w:r>
      <w:r>
        <w:rPr>
          <w:rFonts w:ascii="Times New Roman" w:hAnsi="Times New Roman"/>
          <w:i/>
          <w:iCs/>
          <w:noProof/>
        </w:rPr>
        <w:t>inter pares</w:t>
      </w:r>
      <w:r>
        <w:rPr>
          <w:rFonts w:ascii="Times New Roman" w:hAnsi="Times New Roman"/>
          <w:noProof/>
        </w:rPr>
        <w:t xml:space="preserve"> prevedeva l'accesso aperto, circostanza questa che ha reso la politica di accesso aperto di Orizzonte 2020 una delle più riuscite a livello globale. </w:t>
      </w:r>
    </w:p>
    <w:p>
      <w:pPr>
        <w:jc w:val="both"/>
        <w:rPr>
          <w:rFonts w:ascii="Times New Roman" w:hAnsi="Times New Roman" w:cs="Times New Roman"/>
          <w:noProof/>
        </w:rPr>
      </w:pPr>
      <w:r>
        <w:rPr>
          <w:rFonts w:ascii="Times New Roman" w:hAnsi="Times New Roman"/>
          <w:noProof/>
        </w:rPr>
        <w:t xml:space="preserve">La creazione progressiva di un ecosistema di sostegno allo sfruttamento integrato sta prendendo forma: durante le Giornate R&amp;I del 2019 è stata varata una </w:t>
      </w:r>
      <w:r>
        <w:rPr>
          <w:rFonts w:ascii="Times New Roman" w:hAnsi="Times New Roman"/>
          <w:b/>
          <w:bCs/>
          <w:noProof/>
        </w:rPr>
        <w:t xml:space="preserve">piattaforma di risultati di Orizzonte </w:t>
      </w:r>
      <w:r>
        <w:rPr>
          <w:rFonts w:ascii="Times New Roman" w:hAnsi="Times New Roman"/>
          <w:noProof/>
        </w:rPr>
        <w:t xml:space="preserve">che consente ai beneficiari di pubblicizzare i loro risultati di ricerca e di individuare le esigenze di ulteriore sfruttamento dei risultati. È stata finalizzata una gara d'appalto per i nuovi servizi di </w:t>
      </w:r>
      <w:r>
        <w:rPr>
          <w:rFonts w:ascii="Times New Roman" w:hAnsi="Times New Roman"/>
          <w:b/>
          <w:bCs/>
          <w:noProof/>
        </w:rPr>
        <w:t>"</w:t>
      </w:r>
      <w:r>
        <w:rPr>
          <w:rFonts w:ascii="Times New Roman" w:hAnsi="Times New Roman"/>
          <w:b/>
          <w:bCs/>
          <w:i/>
          <w:iCs/>
          <w:noProof/>
        </w:rPr>
        <w:t>dissemination booster</w:t>
      </w:r>
      <w:r>
        <w:rPr>
          <w:rFonts w:ascii="Times New Roman" w:hAnsi="Times New Roman"/>
          <w:b/>
          <w:bCs/>
          <w:noProof/>
        </w:rPr>
        <w:t>" ed "</w:t>
      </w:r>
      <w:r>
        <w:rPr>
          <w:rFonts w:ascii="Times New Roman" w:hAnsi="Times New Roman"/>
          <w:b/>
          <w:bCs/>
          <w:i/>
          <w:iCs/>
          <w:noProof/>
        </w:rPr>
        <w:t>exploitation booster</w:t>
      </w:r>
      <w:r>
        <w:rPr>
          <w:rFonts w:ascii="Times New Roman" w:hAnsi="Times New Roman"/>
          <w:b/>
          <w:bCs/>
          <w:noProof/>
        </w:rPr>
        <w:t xml:space="preserve">" </w:t>
      </w:r>
      <w:r>
        <w:rPr>
          <w:rFonts w:ascii="Times New Roman" w:hAnsi="Times New Roman"/>
          <w:noProof/>
        </w:rPr>
        <w:t xml:space="preserve">destinati a fornire servizi mirati ai beneficiari in base alle loro esigenze. Durante le giornate di R&amp;I 2019 si è svolta la prima edizione dei </w:t>
      </w:r>
      <w:r>
        <w:rPr>
          <w:rFonts w:ascii="Times New Roman" w:hAnsi="Times New Roman"/>
          <w:b/>
          <w:bCs/>
          <w:noProof/>
        </w:rPr>
        <w:t>premi di impatto di Orizzonte</w:t>
      </w:r>
      <w:r>
        <w:rPr>
          <w:rFonts w:ascii="Times New Roman" w:hAnsi="Times New Roman"/>
          <w:noProof/>
        </w:rPr>
        <w:t xml:space="preserve"> che riconoscono e celebrano progetti eccezionali di Orizzonte 2020 o del PQ7 che presentano un comprovato valore sociale. Inoltre, sono proseguite le attività di attuazione della </w:t>
      </w:r>
      <w:r>
        <w:rPr>
          <w:rFonts w:ascii="Times New Roman" w:hAnsi="Times New Roman"/>
          <w:b/>
          <w:bCs/>
          <w:noProof/>
        </w:rPr>
        <w:t>strategia in materia di dati</w:t>
      </w:r>
      <w:r>
        <w:rPr>
          <w:rFonts w:ascii="Times New Roman" w:hAnsi="Times New Roman"/>
          <w:noProof/>
        </w:rPr>
        <w:t xml:space="preserve"> con l'obiettivo di collegare e aumentare l'interoperabilità dei dati del programma quadro con serie di dati esterne quali pubblicazioni o brevetti, nonché con i dati R&amp;I nazionali e regionali nel quadro di un'iniziativa nuova, il </w:t>
      </w:r>
      <w:r>
        <w:rPr>
          <w:rFonts w:ascii="Times New Roman" w:hAnsi="Times New Roman"/>
          <w:b/>
          <w:noProof/>
        </w:rPr>
        <w:t>Polo europeo dei dati R&amp;I</w:t>
      </w:r>
      <w:r>
        <w:rPr>
          <w:rFonts w:ascii="Times New Roman" w:hAnsi="Times New Roman"/>
          <w:noProof/>
        </w:rPr>
        <w:t xml:space="preserve">. Sono stati inoltre compiuti progressi in merito ad </w:t>
      </w:r>
      <w:r>
        <w:rPr>
          <w:rFonts w:ascii="Times New Roman" w:hAnsi="Times New Roman"/>
          <w:b/>
          <w:noProof/>
        </w:rPr>
        <w:t>IRIS</w:t>
      </w:r>
      <w:r>
        <w:rPr>
          <w:rFonts w:ascii="Times New Roman" w:hAnsi="Times New Roman"/>
          <w:noProof/>
        </w:rPr>
        <w:t xml:space="preserve">, uno strumento di estrazione di dati, nonché nel </w:t>
      </w:r>
      <w:r>
        <w:rPr>
          <w:rFonts w:ascii="Times New Roman" w:hAnsi="Times New Roman"/>
          <w:b/>
          <w:noProof/>
        </w:rPr>
        <w:t xml:space="preserve">tracciamento dei risultati delle ricerche </w:t>
      </w:r>
      <w:r>
        <w:rPr>
          <w:rFonts w:ascii="Times New Roman" w:hAnsi="Times New Roman"/>
          <w:noProof/>
        </w:rPr>
        <w:t xml:space="preserve">con l'obiettivo di tracciare e rintracciare meglio i risultati PQ e l'impatto nel tempo. </w:t>
      </w:r>
    </w:p>
    <w:p>
      <w:pPr>
        <w:jc w:val="both"/>
        <w:rPr>
          <w:rFonts w:ascii="Times New Roman" w:hAnsi="Times New Roman" w:cs="Times New Roman"/>
          <w:noProof/>
        </w:rPr>
      </w:pPr>
      <w:r>
        <w:rPr>
          <w:rFonts w:ascii="Times New Roman" w:hAnsi="Times New Roman"/>
          <w:noProof/>
        </w:rPr>
        <w:t xml:space="preserve">Al fine di migliorare la diffusione dei risultati, il </w:t>
      </w:r>
      <w:r>
        <w:rPr>
          <w:rFonts w:ascii="Times New Roman" w:hAnsi="Times New Roman"/>
          <w:b/>
          <w:bCs/>
          <w:noProof/>
        </w:rPr>
        <w:t>portale di Orizzonte</w:t>
      </w:r>
      <w:r>
        <w:rPr>
          <w:rFonts w:ascii="Times New Roman" w:hAnsi="Times New Roman"/>
          <w:noProof/>
        </w:rPr>
        <w:t>, che fornisce informazioni e indicatori chiave sui progetti finanziati, ha continuato a migliorare e a coprire nuovi settori prioritari dal punto di vista delle politiche quali il CEI e il marchio di eccellenza. Per la prima volta, fornisce dati consolidati sui risultati, in particolare sui diritti di proprietà intellettuale e sulle pubblicazioni scientifiche del PQ7 e di Orizzonte 2020.</w:t>
      </w:r>
      <w:r>
        <w:rPr>
          <w:rFonts w:ascii="Times New Roman" w:hAnsi="Times New Roman"/>
          <w:i/>
          <w:iCs/>
          <w:noProof/>
        </w:rPr>
        <w:t xml:space="preserve"> </w:t>
      </w:r>
      <w:r>
        <w:rPr>
          <w:rFonts w:ascii="Times New Roman" w:hAnsi="Times New Roman"/>
          <w:iCs/>
          <w:noProof/>
        </w:rPr>
        <w:t>CORDIS ha continuato a produrre la rivista periodica Research*eu e i pacchetti tematici di risultati, integrati dalla sensibilizzazione attraverso eventi e media sociali</w:t>
      </w:r>
      <w:r>
        <w:rPr>
          <w:rFonts w:ascii="Times New Roman" w:hAnsi="Times New Roman"/>
          <w:noProof/>
        </w:rPr>
        <w:t xml:space="preserve">. Inoltre, è stata adottata </w:t>
      </w:r>
      <w:r>
        <w:rPr>
          <w:rFonts w:ascii="Times New Roman" w:hAnsi="Times New Roman"/>
          <w:iCs/>
          <w:noProof/>
        </w:rPr>
        <w:t>EuroSciVoc, una nuova tassonomia multilingue dei settori scientifici che consentirà la classificazione semiautomatica dei progetti e fungerà da vocabolario di riferimento per la scienza aperta.</w:t>
      </w:r>
    </w:p>
    <w:p>
      <w:pPr>
        <w:jc w:val="both"/>
        <w:rPr>
          <w:rFonts w:ascii="Times New Roman" w:hAnsi="Times New Roman" w:cs="Times New Roman"/>
          <w:noProof/>
        </w:rPr>
      </w:pPr>
      <w:r>
        <w:rPr>
          <w:rFonts w:ascii="Times New Roman" w:hAnsi="Times New Roman"/>
          <w:noProof/>
        </w:rPr>
        <w:t>La Notte europea dei Ricercatori MSCA (NIGHT) è diventata il più grande evento di comunicazione e promozione della ricerca in Europa. Nel 2019 l'evento NIGHT si è tenuto il 27 settembre 2019 in oltre 400 città e ha attratto 1,65 milioni di visitatori, attraverso 55 progetti finanziati da MSCA che hanno coinvolto 35 000 ricercatori.</w:t>
      </w:r>
    </w:p>
    <w:p>
      <w:pPr>
        <w:jc w:val="both"/>
        <w:rPr>
          <w:rFonts w:ascii="Times New Roman" w:hAnsi="Times New Roman" w:cs="Times New Roman"/>
          <w:noProof/>
        </w:rPr>
      </w:pPr>
    </w:p>
    <w:p>
      <w:pPr>
        <w:jc w:val="both"/>
        <w:rPr>
          <w:rFonts w:ascii="Times New Roman" w:hAnsi="Times New Roman" w:cs="Times New Roman"/>
          <w:b/>
          <w:noProof/>
        </w:rPr>
      </w:pPr>
      <w:r>
        <w:rPr>
          <w:rFonts w:ascii="Times New Roman" w:hAnsi="Times New Roman"/>
          <w:b/>
          <w:noProof/>
        </w:rPr>
        <w:t xml:space="preserve">7. </w:t>
      </w:r>
      <w:r>
        <w:rPr>
          <w:rFonts w:ascii="Times New Roman" w:hAnsi="Times New Roman"/>
          <w:b/>
          <w:noProof/>
        </w:rPr>
        <w:tab/>
        <w:t xml:space="preserve">Prospettive </w:t>
      </w:r>
    </w:p>
    <w:p>
      <w:pPr>
        <w:jc w:val="both"/>
        <w:rPr>
          <w:rFonts w:ascii="Times New Roman" w:hAnsi="Times New Roman" w:cs="Times New Roman"/>
          <w:noProof/>
        </w:rPr>
      </w:pPr>
      <w:r>
        <w:rPr>
          <w:rFonts w:ascii="Times New Roman" w:hAnsi="Times New Roman"/>
          <w:noProof/>
        </w:rPr>
        <w:t>I negoziati interistituzionali su Orizzonte Europa (TFUE ed Euratom) termineranno nel 2020, fatta salva la conclusione dei negoziati globali sul bilancio dell'UE per il periodo 2021-2027. Il primo piano strategico di Orizzonte Europa sarà quindi finalizzato, aprendo la strada ai primi programmi di lavoro. Ciò garantirà la coerenza con le nuove priorità politiche, in particolare la gestione dei cambiamenti climatici e la trasformazione digitale.</w:t>
      </w:r>
      <w:r>
        <w:rPr>
          <w:rFonts w:ascii="Times New Roman" w:hAnsi="Times New Roman"/>
          <w:i/>
          <w:iCs/>
          <w:noProof/>
        </w:rPr>
        <w:t xml:space="preserve"> </w:t>
      </w:r>
      <w:r>
        <w:rPr>
          <w:rFonts w:ascii="Times New Roman" w:hAnsi="Times New Roman"/>
          <w:iCs/>
          <w:noProof/>
        </w:rPr>
        <w:t>Saranno inoltre adottate misure speciali nel contesto della pandemia di coronavirus (Covid-19).</w:t>
      </w:r>
    </w:p>
    <w:p>
      <w:pPr>
        <w:jc w:val="both"/>
        <w:rPr>
          <w:rFonts w:ascii="Times New Roman" w:hAnsi="Times New Roman" w:cs="Times New Roman"/>
          <w:noProof/>
        </w:rPr>
      </w:pPr>
      <w:r>
        <w:rPr>
          <w:rFonts w:ascii="Times New Roman" w:hAnsi="Times New Roman"/>
          <w:noProof/>
        </w:rPr>
        <w:t xml:space="preserve">Uno sforzo notevole sarà rivolto all'ideazione di </w:t>
      </w:r>
      <w:r>
        <w:rPr>
          <w:rFonts w:ascii="Times New Roman" w:hAnsi="Times New Roman"/>
          <w:b/>
          <w:noProof/>
        </w:rPr>
        <w:t>una politica destinata a promuovere meglio la R&amp;I in Europa</w:t>
      </w:r>
      <w:r>
        <w:rPr>
          <w:rFonts w:ascii="Times New Roman" w:hAnsi="Times New Roman"/>
          <w:noProof/>
        </w:rPr>
        <w:t xml:space="preserve"> per sostenere gli </w:t>
      </w:r>
      <w:r>
        <w:rPr>
          <w:rFonts w:ascii="Times New Roman" w:hAnsi="Times New Roman"/>
          <w:b/>
          <w:noProof/>
        </w:rPr>
        <w:t>obiettivi di sviluppo sostenibile delle Nazioni Unite</w:t>
      </w:r>
      <w:r>
        <w:rPr>
          <w:rFonts w:ascii="Times New Roman" w:hAnsi="Times New Roman"/>
          <w:noProof/>
        </w:rPr>
        <w:t xml:space="preserve"> e conseguire risultati in merito agli obiettivi strategici dell'UE. Ciò comporta in particolare la progettazione di un quadro generale per l'investimento delle risorse dell'UE, la promozione di riforme e il miglioramento delle condizioni quadro normative. </w:t>
      </w:r>
    </w:p>
    <w:p>
      <w:pPr>
        <w:jc w:val="both"/>
        <w:rPr>
          <w:rFonts w:ascii="Times New Roman" w:hAnsi="Times New Roman" w:cs="Times New Roman"/>
          <w:noProof/>
        </w:rPr>
      </w:pPr>
      <w:r>
        <w:rPr>
          <w:rFonts w:ascii="Times New Roman" w:hAnsi="Times New Roman"/>
          <w:noProof/>
        </w:rPr>
        <w:t>Entro la metà del 2020 la Commissione presenterà una</w:t>
      </w:r>
      <w:r>
        <w:rPr>
          <w:rFonts w:ascii="Times New Roman" w:hAnsi="Times New Roman"/>
          <w:b/>
          <w:noProof/>
        </w:rPr>
        <w:t xml:space="preserve"> comunicazione sulle missioni di Orizzonte Europa e</w:t>
      </w:r>
      <w:r>
        <w:rPr>
          <w:rFonts w:ascii="Times New Roman" w:hAnsi="Times New Roman"/>
          <w:noProof/>
        </w:rPr>
        <w:t xml:space="preserve"> una </w:t>
      </w:r>
      <w:r>
        <w:rPr>
          <w:rFonts w:ascii="Times New Roman" w:hAnsi="Times New Roman"/>
          <w:b/>
          <w:noProof/>
        </w:rPr>
        <w:t>comunicazione sul futuro della politica di ricerca e innovazione dell'UE e il SER</w:t>
      </w:r>
      <w:r>
        <w:rPr>
          <w:rFonts w:ascii="Times New Roman" w:hAnsi="Times New Roman"/>
          <w:noProof/>
        </w:rPr>
        <w:t xml:space="preserve">. Nel 2020 il SER costituirà inoltre una priorità fondamentale durante le presidenze del Consiglio di Croazia e Germania. </w:t>
      </w:r>
    </w:p>
    <w:p>
      <w:pPr>
        <w:jc w:val="both"/>
        <w:rPr>
          <w:rFonts w:ascii="Times New Roman" w:hAnsi="Times New Roman" w:cs="Times New Roman"/>
          <w:noProof/>
        </w:rPr>
      </w:pPr>
      <w:r>
        <w:rPr>
          <w:rFonts w:ascii="Times New Roman" w:hAnsi="Times New Roman"/>
          <w:noProof/>
        </w:rPr>
        <w:t xml:space="preserve">Con l'obiettivo di contribuire alla conferenza sul </w:t>
      </w:r>
      <w:hyperlink r:id="rId53" w:history="1">
        <w:r>
          <w:rPr>
            <w:rStyle w:val="Hyperlink"/>
            <w:rFonts w:ascii="Times New Roman" w:hAnsi="Times New Roman"/>
            <w:noProof/>
            <w:color w:val="auto"/>
          </w:rPr>
          <w:t>futuro dell'Europa</w:t>
        </w:r>
      </w:hyperlink>
      <w:r>
        <w:rPr>
          <w:rFonts w:ascii="Times New Roman" w:hAnsi="Times New Roman"/>
          <w:noProof/>
        </w:rPr>
        <w:t xml:space="preserve">, la </w:t>
      </w:r>
      <w:r>
        <w:rPr>
          <w:rFonts w:ascii="Times New Roman" w:hAnsi="Times New Roman"/>
          <w:b/>
          <w:noProof/>
        </w:rPr>
        <w:t>seconda edizione delle Giornate R&amp;I</w:t>
      </w:r>
      <w:r>
        <w:rPr>
          <w:rFonts w:ascii="Times New Roman" w:hAnsi="Times New Roman"/>
          <w:noProof/>
        </w:rPr>
        <w:t xml:space="preserve"> si terrà a settembre 2020, nell'ambito delle quali l'impegno dei portatori di interessi continuerà a costituire una parte importante del processo di pianificazione strategica di Orizzonte Europa e della preparazione dei programmi di lavoro di Orizzonte Europa. </w:t>
      </w:r>
    </w:p>
    <w:p>
      <w:pPr>
        <w:rPr>
          <w:noProof/>
        </w:rPr>
      </w:pPr>
    </w:p>
    <w:sectPr>
      <w:headerReference w:type="even" r:id="rId54"/>
      <w:headerReference w:type="default" r:id="rId55"/>
      <w:footerReference w:type="even" r:id="rId56"/>
      <w:footerReference w:type="default" r:id="rId57"/>
      <w:headerReference w:type="first" r:id="rId58"/>
      <w:footerReference w:type="first" r:id="rId59"/>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EC Square Sans Pro">
    <w:altName w:val="Segoe UI Light"/>
    <w:panose1 w:val="020B0506040000020004"/>
    <w:charset w:val="00"/>
    <w:family w:val="swiss"/>
    <w:pitch w:val="variable"/>
    <w:sig w:usb0="A00002BF" w:usb1="5000E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58143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426" w:hanging="426"/>
        <w:rPr>
          <w:rFonts w:ascii="Times New Roman" w:hAnsi="Times New Roman" w:cs="Times New Roman"/>
        </w:rPr>
      </w:pPr>
      <w:r>
        <w:rPr>
          <w:rStyle w:val="FootnoteReference"/>
          <w:rFonts w:eastAsiaTheme="minorHAnsi"/>
        </w:rPr>
        <w:footnoteRef/>
      </w:r>
      <w:r>
        <w:rPr>
          <w:rFonts w:ascii="Times New Roman" w:hAnsi="Times New Roman" w:cs="Times New Roman"/>
        </w:rPr>
        <w:t xml:space="preserve"> I negoziati interistituzionali su questo punto si terranno nel 2020.</w:t>
      </w:r>
    </w:p>
  </w:footnote>
  <w:footnote w:id="2">
    <w:p>
      <w:pPr>
        <w:pStyle w:val="FootnoteText"/>
        <w:ind w:left="426" w:hanging="426"/>
        <w:rPr>
          <w:rFonts w:ascii="Times New Roman" w:hAnsi="Times New Roman" w:cs="Times New Roman"/>
        </w:rPr>
      </w:pPr>
      <w:r>
        <w:rPr>
          <w:rStyle w:val="FootnoteReference"/>
          <w:rFonts w:eastAsiaTheme="minorHAnsi"/>
        </w:rPr>
        <w:footnoteRef/>
      </w:r>
      <w:r>
        <w:rPr>
          <w:rFonts w:ascii="Times New Roman" w:hAnsi="Times New Roman" w:cs="Times New Roman"/>
        </w:rPr>
        <w:t xml:space="preserve"> Nel 2019 le relazioni per paese e le raccomandazioni specifiche per paese si sono concentrate sugli investimenti in quanto miravano a fornire orientamenti specifici per la programmazione dei fondi UE per il prossimo quadro finanziario pluriennale.</w:t>
      </w:r>
    </w:p>
  </w:footnote>
  <w:footnote w:id="3">
    <w:p>
      <w:pPr>
        <w:pStyle w:val="FootnoteText"/>
        <w:ind w:left="426" w:hanging="426"/>
        <w:rPr>
          <w:rFonts w:ascii="Times New Roman" w:hAnsi="Times New Roman" w:cs="Times New Roman"/>
        </w:rPr>
      </w:pPr>
      <w:r>
        <w:rPr>
          <w:rStyle w:val="FootnoteReference"/>
          <w:rFonts w:eastAsiaTheme="minorHAnsi"/>
        </w:rPr>
        <w:footnoteRef/>
      </w:r>
      <w:r>
        <w:rPr>
          <w:rStyle w:val="FootnoteReference"/>
          <w:rFonts w:eastAsiaTheme="minorHAnsi"/>
        </w:rPr>
        <w:t xml:space="preserve"> </w:t>
      </w:r>
      <w:r>
        <w:rPr>
          <w:rFonts w:ascii="Times New Roman" w:hAnsi="Times New Roman" w:cs="Times New Roman"/>
        </w:rPr>
        <w:t xml:space="preserve">Per una panoramica completa cfr. </w:t>
      </w:r>
      <w:hyperlink r:id="rId1" w:history="1">
        <w:r>
          <w:rPr>
            <w:rStyle w:val="Hyperlink"/>
            <w:rFonts w:ascii="Times New Roman" w:hAnsi="Times New Roman" w:cs="Times New Roman"/>
          </w:rPr>
          <w:t>https://rio.jrc.ec.europa.eu/en/policy-support-facility</w:t>
        </w:r>
      </w:hyperlink>
      <w:r>
        <w:rPr>
          <w:rFonts w:ascii="Times New Roman" w:hAnsi="Times New Roman" w:cs="Times New Roman"/>
        </w:rPr>
        <w:t xml:space="preserve">. </w:t>
      </w:r>
    </w:p>
  </w:footnote>
  <w:footnote w:id="4">
    <w:p>
      <w:pPr>
        <w:pStyle w:val="FootnoteText"/>
        <w:ind w:left="426" w:hanging="426"/>
        <w:rPr>
          <w:rFonts w:ascii="Times New Roman" w:hAnsi="Times New Roman" w:cs="Times New Roman"/>
        </w:rPr>
      </w:pPr>
      <w:r>
        <w:rPr>
          <w:rStyle w:val="FootnoteReference"/>
          <w:rFonts w:eastAsiaTheme="minorHAnsi"/>
        </w:rPr>
        <w:footnoteRef/>
      </w:r>
      <w:r>
        <w:rPr>
          <w:rFonts w:ascii="Times New Roman" w:hAnsi="Times New Roman" w:cs="Times New Roman"/>
        </w:rPr>
        <w:t xml:space="preserve"> Situazione al 5 marzo 2020 (desunta dal portale di Orizzonte 2020).</w:t>
      </w:r>
    </w:p>
  </w:footnote>
  <w:footnote w:id="5">
    <w:p>
      <w:pPr>
        <w:pStyle w:val="FootnoteText"/>
        <w:ind w:left="426" w:hanging="426"/>
        <w:rPr>
          <w:rFonts w:ascii="Times New Roman" w:eastAsia="Calibri" w:hAnsi="Times New Roman" w:cs="Times New Roman"/>
        </w:rPr>
      </w:pPr>
      <w:r>
        <w:rPr>
          <w:rStyle w:val="FootnoteReference"/>
          <w:rFonts w:eastAsia="Calibri"/>
          <w:lang w:val="fr-BE"/>
        </w:rPr>
        <w:footnoteRef/>
      </w:r>
      <w:r>
        <w:rPr>
          <w:rFonts w:ascii="Times New Roman" w:hAnsi="Times New Roman" w:cs="Times New Roman"/>
        </w:rPr>
        <w:t xml:space="preserve"> Gli inviti H2020-Adhoc-2014-20 e EURATOM-Adhoc-2014-20 sono stati conteggiati una volta sola.</w:t>
      </w:r>
    </w:p>
  </w:footnote>
  <w:footnote w:id="6">
    <w:p>
      <w:pPr>
        <w:pStyle w:val="FootnoteText"/>
        <w:ind w:left="426" w:hanging="426"/>
        <w:rPr>
          <w:rFonts w:ascii="Times New Roman" w:hAnsi="Times New Roman" w:cs="Times New Roman"/>
        </w:rPr>
      </w:pPr>
      <w:r>
        <w:rPr>
          <w:rStyle w:val="FootnoteReference"/>
          <w:rFonts w:eastAsiaTheme="minorHAnsi"/>
        </w:rPr>
        <w:footnoteRef/>
      </w:r>
      <w:r>
        <w:rPr>
          <w:rFonts w:ascii="Times New Roman" w:hAnsi="Times New Roman" w:cs="Times New Roman"/>
        </w:rPr>
        <w:t xml:space="preserve"> Le relazioni sono state incentrate su scenari demografici per l'UE; il futuro delle città e del trasporto su strada; la natura mutevole del lavoro e delle competenze nell'era digitale; i pro e i contro della tecnologia blockchain; la natura politica umana; e il panorama dell'innovazione e della ricerca in Cina.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67ED"/>
    <w:multiLevelType w:val="hybridMultilevel"/>
    <w:tmpl w:val="6700DD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82E7F8E"/>
    <w:multiLevelType w:val="hybridMultilevel"/>
    <w:tmpl w:val="5F082108"/>
    <w:lvl w:ilvl="0" w:tplc="02A4C7A6">
      <w:numFmt w:val="bullet"/>
      <w:lvlText w:val="-"/>
      <w:lvlJc w:val="left"/>
      <w:pPr>
        <w:ind w:left="360" w:hanging="360"/>
      </w:pPr>
      <w:rPr>
        <w:rFonts w:ascii="&amp;quot" w:eastAsia="Times New Roman" w:hAnsi="&amp;quot"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121574A5"/>
    <w:multiLevelType w:val="hybridMultilevel"/>
    <w:tmpl w:val="C54EE2C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26B4984"/>
    <w:multiLevelType w:val="hybridMultilevel"/>
    <w:tmpl w:val="2D7690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3E26C79"/>
    <w:multiLevelType w:val="multilevel"/>
    <w:tmpl w:val="7EB44E6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981A36"/>
    <w:multiLevelType w:val="hybridMultilevel"/>
    <w:tmpl w:val="6F381E30"/>
    <w:lvl w:ilvl="0" w:tplc="02A4C7A6">
      <w:numFmt w:val="bullet"/>
      <w:lvlText w:val="-"/>
      <w:lvlJc w:val="left"/>
      <w:pPr>
        <w:ind w:left="360" w:hanging="360"/>
      </w:pPr>
      <w:rPr>
        <w:rFonts w:ascii="&amp;quot" w:eastAsia="Times New Roman" w:hAnsi="&amp;quot" w:cs="Times New Roman"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2CE20406"/>
    <w:multiLevelType w:val="multilevel"/>
    <w:tmpl w:val="07966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352915"/>
    <w:multiLevelType w:val="hybridMultilevel"/>
    <w:tmpl w:val="E61C70B2"/>
    <w:lvl w:ilvl="0" w:tplc="02A4C7A6">
      <w:numFmt w:val="bullet"/>
      <w:lvlText w:val="-"/>
      <w:lvlJc w:val="left"/>
      <w:pPr>
        <w:ind w:left="360" w:hanging="360"/>
      </w:pPr>
      <w:rPr>
        <w:rFonts w:ascii="&amp;quot" w:eastAsia="Times New Roman" w:hAnsi="&amp;quot" w:cs="Times New Roman"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30EA36BF"/>
    <w:multiLevelType w:val="hybridMultilevel"/>
    <w:tmpl w:val="A7DAE49A"/>
    <w:lvl w:ilvl="0" w:tplc="887C799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EB5F0B"/>
    <w:multiLevelType w:val="hybridMultilevel"/>
    <w:tmpl w:val="F370DB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377F4FFD"/>
    <w:multiLevelType w:val="hybridMultilevel"/>
    <w:tmpl w:val="A9AC9928"/>
    <w:lvl w:ilvl="0" w:tplc="4634911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38AD0A21"/>
    <w:multiLevelType w:val="hybridMultilevel"/>
    <w:tmpl w:val="987C7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E35CBA"/>
    <w:multiLevelType w:val="hybridMultilevel"/>
    <w:tmpl w:val="8D7A25B0"/>
    <w:lvl w:ilvl="0" w:tplc="A064A7D2">
      <w:start w:val="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8F271B"/>
    <w:multiLevelType w:val="hybridMultilevel"/>
    <w:tmpl w:val="EB2A6E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424109CA"/>
    <w:multiLevelType w:val="hybridMultilevel"/>
    <w:tmpl w:val="837CBF9A"/>
    <w:lvl w:ilvl="0" w:tplc="02A4C7A6">
      <w:numFmt w:val="bullet"/>
      <w:lvlText w:val="-"/>
      <w:lvlJc w:val="left"/>
      <w:pPr>
        <w:ind w:left="360" w:hanging="360"/>
      </w:pPr>
      <w:rPr>
        <w:rFonts w:ascii="&amp;quot" w:eastAsia="Times New Roman" w:hAnsi="&amp;quot"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nsid w:val="434B6811"/>
    <w:multiLevelType w:val="hybridMultilevel"/>
    <w:tmpl w:val="22509C3A"/>
    <w:lvl w:ilvl="0" w:tplc="463491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61569E"/>
    <w:multiLevelType w:val="hybridMultilevel"/>
    <w:tmpl w:val="44DAED46"/>
    <w:lvl w:ilvl="0" w:tplc="080C0001">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7">
    <w:nsid w:val="57507337"/>
    <w:multiLevelType w:val="hybridMultilevel"/>
    <w:tmpl w:val="9C9A2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F725E2"/>
    <w:multiLevelType w:val="hybridMultilevel"/>
    <w:tmpl w:val="01902E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605D2CEC"/>
    <w:multiLevelType w:val="hybridMultilevel"/>
    <w:tmpl w:val="2B328984"/>
    <w:lvl w:ilvl="0" w:tplc="F29AB8E4">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890752"/>
    <w:multiLevelType w:val="multilevel"/>
    <w:tmpl w:val="E598B1E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40016E9"/>
    <w:multiLevelType w:val="multilevel"/>
    <w:tmpl w:val="53B6D074"/>
    <w:lvl w:ilvl="0">
      <w:start w:val="2019"/>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nsid w:val="66E95110"/>
    <w:multiLevelType w:val="hybridMultilevel"/>
    <w:tmpl w:val="2EF00FBA"/>
    <w:lvl w:ilvl="0" w:tplc="080C0001">
      <w:start w:val="1"/>
      <w:numFmt w:val="bullet"/>
      <w:lvlText w:val=""/>
      <w:lvlJc w:val="left"/>
      <w:pPr>
        <w:ind w:left="1776" w:hanging="360"/>
      </w:pPr>
      <w:rPr>
        <w:rFonts w:ascii="Symbol" w:hAnsi="Symbol"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23">
    <w:nsid w:val="69746349"/>
    <w:multiLevelType w:val="hybridMultilevel"/>
    <w:tmpl w:val="14100226"/>
    <w:lvl w:ilvl="0" w:tplc="68A29AF0">
      <w:start w:val="1"/>
      <w:numFmt w:val="bullet"/>
      <w:lvlText w:val="­"/>
      <w:lvlJc w:val="left"/>
      <w:pPr>
        <w:ind w:left="578" w:hanging="360"/>
      </w:pPr>
      <w:rPr>
        <w:rFonts w:ascii="Courier New" w:hAnsi="Courier New" w:hint="default"/>
      </w:rPr>
    </w:lvl>
    <w:lvl w:ilvl="1" w:tplc="08090003">
      <w:start w:val="1"/>
      <w:numFmt w:val="bullet"/>
      <w:lvlText w:val="o"/>
      <w:lvlJc w:val="left"/>
      <w:pPr>
        <w:ind w:left="1298" w:hanging="360"/>
      </w:pPr>
      <w:rPr>
        <w:rFonts w:ascii="Courier New" w:hAnsi="Courier New" w:cs="Courier New" w:hint="default"/>
      </w:rPr>
    </w:lvl>
    <w:lvl w:ilvl="2" w:tplc="08090005">
      <w:start w:val="1"/>
      <w:numFmt w:val="bullet"/>
      <w:lvlText w:val=""/>
      <w:lvlJc w:val="left"/>
      <w:pPr>
        <w:ind w:left="2018" w:hanging="360"/>
      </w:pPr>
      <w:rPr>
        <w:rFonts w:ascii="Wingdings" w:hAnsi="Wingdings" w:hint="default"/>
      </w:rPr>
    </w:lvl>
    <w:lvl w:ilvl="3" w:tplc="08090001">
      <w:start w:val="1"/>
      <w:numFmt w:val="bullet"/>
      <w:lvlText w:val=""/>
      <w:lvlJc w:val="left"/>
      <w:pPr>
        <w:ind w:left="2738" w:hanging="360"/>
      </w:pPr>
      <w:rPr>
        <w:rFonts w:ascii="Symbol" w:hAnsi="Symbol" w:hint="default"/>
      </w:rPr>
    </w:lvl>
    <w:lvl w:ilvl="4" w:tplc="08090003">
      <w:start w:val="1"/>
      <w:numFmt w:val="bullet"/>
      <w:lvlText w:val="o"/>
      <w:lvlJc w:val="left"/>
      <w:pPr>
        <w:ind w:left="3458" w:hanging="360"/>
      </w:pPr>
      <w:rPr>
        <w:rFonts w:ascii="Courier New" w:hAnsi="Courier New" w:cs="Courier New" w:hint="default"/>
      </w:rPr>
    </w:lvl>
    <w:lvl w:ilvl="5" w:tplc="08090005">
      <w:start w:val="1"/>
      <w:numFmt w:val="bullet"/>
      <w:lvlText w:val=""/>
      <w:lvlJc w:val="left"/>
      <w:pPr>
        <w:ind w:left="4178" w:hanging="360"/>
      </w:pPr>
      <w:rPr>
        <w:rFonts w:ascii="Wingdings" w:hAnsi="Wingdings" w:hint="default"/>
      </w:rPr>
    </w:lvl>
    <w:lvl w:ilvl="6" w:tplc="08090001">
      <w:start w:val="1"/>
      <w:numFmt w:val="bullet"/>
      <w:lvlText w:val=""/>
      <w:lvlJc w:val="left"/>
      <w:pPr>
        <w:ind w:left="4898" w:hanging="360"/>
      </w:pPr>
      <w:rPr>
        <w:rFonts w:ascii="Symbol" w:hAnsi="Symbol" w:hint="default"/>
      </w:rPr>
    </w:lvl>
    <w:lvl w:ilvl="7" w:tplc="08090003">
      <w:start w:val="1"/>
      <w:numFmt w:val="bullet"/>
      <w:lvlText w:val="o"/>
      <w:lvlJc w:val="left"/>
      <w:pPr>
        <w:ind w:left="5618" w:hanging="360"/>
      </w:pPr>
      <w:rPr>
        <w:rFonts w:ascii="Courier New" w:hAnsi="Courier New" w:cs="Courier New" w:hint="default"/>
      </w:rPr>
    </w:lvl>
    <w:lvl w:ilvl="8" w:tplc="08090005">
      <w:start w:val="1"/>
      <w:numFmt w:val="bullet"/>
      <w:lvlText w:val=""/>
      <w:lvlJc w:val="left"/>
      <w:pPr>
        <w:ind w:left="6338" w:hanging="360"/>
      </w:pPr>
      <w:rPr>
        <w:rFonts w:ascii="Wingdings" w:hAnsi="Wingdings" w:hint="default"/>
      </w:rPr>
    </w:lvl>
  </w:abstractNum>
  <w:abstractNum w:abstractNumId="24">
    <w:nsid w:val="6CB1187C"/>
    <w:multiLevelType w:val="hybridMultilevel"/>
    <w:tmpl w:val="5B64896E"/>
    <w:lvl w:ilvl="0" w:tplc="10722276">
      <w:start w:val="3"/>
      <w:numFmt w:val="bullet"/>
      <w:lvlText w:val="-"/>
      <w:lvlJc w:val="left"/>
      <w:pPr>
        <w:ind w:left="720" w:hanging="360"/>
      </w:pPr>
      <w:rPr>
        <w:rFonts w:ascii="Times New Roman" w:eastAsiaTheme="minorHAnsi" w:hAnsi="Times New Roman" w:cs="Times New Roman"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78F81555"/>
    <w:multiLevelType w:val="hybridMultilevel"/>
    <w:tmpl w:val="1A0A3A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BD86DD8"/>
    <w:multiLevelType w:val="hybridMultilevel"/>
    <w:tmpl w:val="69043E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7C8E2FDC"/>
    <w:multiLevelType w:val="hybridMultilevel"/>
    <w:tmpl w:val="9A8EA1A0"/>
    <w:lvl w:ilvl="0" w:tplc="02A4C7A6">
      <w:numFmt w:val="bullet"/>
      <w:lvlText w:val="-"/>
      <w:lvlJc w:val="left"/>
      <w:pPr>
        <w:ind w:left="360" w:hanging="360"/>
      </w:pPr>
      <w:rPr>
        <w:rFonts w:ascii="&amp;quot" w:eastAsia="Times New Roman" w:hAnsi="&amp;quot"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26"/>
  </w:num>
  <w:num w:numId="3">
    <w:abstractNumId w:val="17"/>
  </w:num>
  <w:num w:numId="4">
    <w:abstractNumId w:val="15"/>
  </w:num>
  <w:num w:numId="5">
    <w:abstractNumId w:val="10"/>
  </w:num>
  <w:num w:numId="6">
    <w:abstractNumId w:val="6"/>
  </w:num>
  <w:num w:numId="7">
    <w:abstractNumId w:val="19"/>
  </w:num>
  <w:num w:numId="8">
    <w:abstractNumId w:val="8"/>
  </w:num>
  <w:num w:numId="9">
    <w:abstractNumId w:val="22"/>
  </w:num>
  <w:num w:numId="10">
    <w:abstractNumId w:val="16"/>
  </w:num>
  <w:num w:numId="11">
    <w:abstractNumId w:val="24"/>
  </w:num>
  <w:num w:numId="12">
    <w:abstractNumId w:val="13"/>
  </w:num>
  <w:num w:numId="13">
    <w:abstractNumId w:val="11"/>
  </w:num>
  <w:num w:numId="14">
    <w:abstractNumId w:val="5"/>
  </w:num>
  <w:num w:numId="15">
    <w:abstractNumId w:val="7"/>
  </w:num>
  <w:num w:numId="16">
    <w:abstractNumId w:val="3"/>
  </w:num>
  <w:num w:numId="17">
    <w:abstractNumId w:val="18"/>
  </w:num>
  <w:num w:numId="18">
    <w:abstractNumId w:val="1"/>
  </w:num>
  <w:num w:numId="19">
    <w:abstractNumId w:val="14"/>
  </w:num>
  <w:num w:numId="20">
    <w:abstractNumId w:val="21"/>
  </w:num>
  <w:num w:numId="21">
    <w:abstractNumId w:val="4"/>
  </w:num>
  <w:num w:numId="22">
    <w:abstractNumId w:val="27"/>
  </w:num>
  <w:num w:numId="23">
    <w:abstractNumId w:val="12"/>
  </w:num>
  <w:num w:numId="24">
    <w:abstractNumId w:val="23"/>
  </w:num>
  <w:num w:numId="25">
    <w:abstractNumId w:val="25"/>
  </w:num>
  <w:num w:numId="26">
    <w:abstractNumId w:val="2"/>
  </w:num>
  <w:num w:numId="27">
    <w:abstractNumId w:val="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9D3A66DA-0A88-49EE-B9AA-A00EB8518516"/>
    <w:docVar w:name="LW_COVERPAGE_TYPE" w:val="1"/>
    <w:docVar w:name="LW_CROSSREFERENCE" w:val="&lt;UNUSED&gt;"/>
    <w:docVar w:name="LW_DocType" w:val="NORMAL"/>
    <w:docVar w:name="LW_EMISSION" w:val="15.7.2020"/>
    <w:docVar w:name="LW_EMISSION_ISODATE" w:val="2020-07-15"/>
    <w:docVar w:name="LW_EMISSION_LOCATION" w:val="BRX"/>
    <w:docVar w:name="LW_EMISSION_PREFIX" w:val="Bruxelles, "/>
    <w:docVar w:name="LW_EMISSION_SUFFIX" w:val=" "/>
    <w:docVar w:name="LW_ID_DOCTYPE_NONLW" w:val="CP-006"/>
    <w:docVar w:name="LW_LANGUE" w:val="IT"/>
    <w:docVar w:name="LW_LEVEL_OF_SENSITIVITY" w:val="Standard treatment"/>
    <w:docVar w:name="LW_NOM.INST" w:val="COMMISSIONE EUROPEA"/>
    <w:docVar w:name="LW_NOM.INST_JOINTDOC" w:val="&lt;EMPTY&gt;"/>
    <w:docVar w:name="LW_PART_NBR" w:val="1"/>
    <w:docVar w:name="LW_PART_NBR_TOTAL" w:val="1"/>
    <w:docVar w:name="LW_REF.INST.NEW" w:val="COM"/>
    <w:docVar w:name="LW_REF.INST.NEW_ADOPTED" w:val="final"/>
    <w:docVar w:name="LW_REF.INST.NEW_TEXT" w:val="(2020) 31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Attività dell'Unione europea in materia di ricerca e sviluppo tecnologico &lt;/FMT&gt;_x000b_&lt;FMT:Bold&gt;e monitoraggio di &quot;Orizzonte 2020&quot; nel 2019&lt;/FMT&gt;"/>
    <w:docVar w:name="LW_TYPE.DOC.CP" w:val="RELAZIONE DELLA COMMISSIONE AL PARLAMENTO EUROPEO E AL CONSIGLI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240" w:line="240" w:lineRule="auto"/>
      <w:outlineLvl w:val="0"/>
    </w:pPr>
    <w:rPr>
      <w:rFonts w:ascii="EC Square Sans Pro" w:eastAsiaTheme="majorEastAsia" w:hAnsi="EC Square Sans Pro" w:cstheme="majorBidi"/>
      <w:caps/>
      <w:sz w:val="44"/>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
    <w:rPr>
      <w:rFonts w:ascii="EC Square Sans Pro" w:eastAsiaTheme="majorEastAsia" w:hAnsi="EC Square Sans Pro" w:cstheme="majorBidi"/>
      <w:caps/>
      <w:sz w:val="44"/>
      <w:szCs w:val="3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Hyperlink">
    <w:name w:val="Hyperlink"/>
    <w:rPr>
      <w:color w:val="0000FF"/>
      <w:u w:val="single"/>
      <w:shd w:val="clear" w:color="auto" w:fill="auto"/>
    </w:rPr>
  </w:style>
  <w:style w:type="character" w:styleId="FootnoteReference">
    <w:name w:val="footnote reference"/>
    <w:link w:val="Nota"/>
    <w:uiPriority w:val="99"/>
    <w:unhideWhenUsed/>
    <w:rPr>
      <w:rFonts w:ascii="Times New Roman" w:eastAsia="Times New Roman" w:hAnsi="Times New Roman" w:cs="Times New Roman"/>
      <w:sz w:val="20"/>
      <w:szCs w:val="20"/>
      <w:vertAlign w:val="superscript"/>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paragraph" w:styleId="ListParagraph">
    <w:name w:val="List Paragraph"/>
    <w:basedOn w:val="Normal"/>
    <w:uiPriority w:val="34"/>
    <w:qFormat/>
    <w:pPr>
      <w:ind w:left="720"/>
      <w:contextualSpacing/>
    </w:pPr>
  </w:style>
  <w:style w:type="paragraph" w:customStyle="1" w:styleId="Nota">
    <w:name w:val="Nota"/>
    <w:aliases w:val=" Char1,Char1,(NECG) Footnote Reference,fr,Appel note de bas de p,o,Style 6,Signature Ch"/>
    <w:basedOn w:val="Normal"/>
    <w:link w:val="FootnoteReference"/>
    <w:uiPriority w:val="99"/>
    <w:pPr>
      <w:spacing w:line="240" w:lineRule="exact"/>
    </w:pPr>
    <w:rPr>
      <w:rFonts w:ascii="Times New Roman" w:eastAsia="Times New Roman" w:hAnsi="Times New Roman" w:cs="Times New Roman"/>
      <w:sz w:val="20"/>
      <w:szCs w:val="20"/>
      <w:vertAlign w:val="superscript"/>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Strong">
    <w:name w:val="Strong"/>
    <w:basedOn w:val="DefaultParagraphFont"/>
    <w:uiPriority w:val="22"/>
    <w:qFormat/>
    <w:rPr>
      <w:b/>
      <w:bCs/>
    </w:rPr>
  </w:style>
  <w:style w:type="paragraph" w:customStyle="1" w:styleId="Bullets">
    <w:name w:val="Bullets"/>
    <w:basedOn w:val="Normal"/>
    <w:qFormat/>
    <w:pPr>
      <w:numPr>
        <w:numId w:val="7"/>
      </w:numPr>
      <w:spacing w:after="0" w:line="300" w:lineRule="exact"/>
      <w:ind w:left="454" w:hanging="454"/>
      <w:jc w:val="both"/>
    </w:pPr>
    <w:rPr>
      <w:rFonts w:ascii="EC Square Sans Pro" w:hAnsi="EC Square Sans Pro"/>
    </w:rPr>
  </w:style>
  <w:style w:type="paragraph" w:customStyle="1" w:styleId="Body">
    <w:name w:val="Body"/>
    <w:basedOn w:val="Normal"/>
    <w:qFormat/>
    <w:pPr>
      <w:spacing w:after="240" w:line="300" w:lineRule="exact"/>
    </w:pPr>
    <w:rPr>
      <w:rFonts w:ascii="EC Square Sans Pro" w:hAnsi="EC Square Sans Pro"/>
    </w:rPr>
  </w:style>
  <w:style w:type="character" w:customStyle="1" w:styleId="ilfuvd">
    <w:name w:val="ilfuvd"/>
    <w:basedOn w:val="DefaultParagraphFon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ucun">
    <w:name w:val="Aucun"/>
    <w:basedOn w:val="DefaultParagraphFont"/>
  </w:style>
  <w:style w:type="paragraph" w:customStyle="1" w:styleId="paragraph">
    <w:name w:val="paragraph"/>
    <w:basedOn w:val="Normal"/>
    <w:uiPriority w:val="99"/>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pellingerror">
    <w:name w:val="spellingerror"/>
    <w:basedOn w:val="DefaultParagraphFont"/>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240" w:line="240" w:lineRule="auto"/>
      <w:outlineLvl w:val="0"/>
    </w:pPr>
    <w:rPr>
      <w:rFonts w:ascii="EC Square Sans Pro" w:eastAsiaTheme="majorEastAsia" w:hAnsi="EC Square Sans Pro" w:cstheme="majorBidi"/>
      <w:caps/>
      <w:sz w:val="44"/>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
    <w:rPr>
      <w:rFonts w:ascii="EC Square Sans Pro" w:eastAsiaTheme="majorEastAsia" w:hAnsi="EC Square Sans Pro" w:cstheme="majorBidi"/>
      <w:caps/>
      <w:sz w:val="44"/>
      <w:szCs w:val="3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Hyperlink">
    <w:name w:val="Hyperlink"/>
    <w:rPr>
      <w:color w:val="0000FF"/>
      <w:u w:val="single"/>
      <w:shd w:val="clear" w:color="auto" w:fill="auto"/>
    </w:rPr>
  </w:style>
  <w:style w:type="character" w:styleId="FootnoteReference">
    <w:name w:val="footnote reference"/>
    <w:link w:val="Nota"/>
    <w:uiPriority w:val="99"/>
    <w:unhideWhenUsed/>
    <w:rPr>
      <w:rFonts w:ascii="Times New Roman" w:eastAsia="Times New Roman" w:hAnsi="Times New Roman" w:cs="Times New Roman"/>
      <w:sz w:val="20"/>
      <w:szCs w:val="20"/>
      <w:vertAlign w:val="superscript"/>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paragraph" w:styleId="ListParagraph">
    <w:name w:val="List Paragraph"/>
    <w:basedOn w:val="Normal"/>
    <w:uiPriority w:val="34"/>
    <w:qFormat/>
    <w:pPr>
      <w:ind w:left="720"/>
      <w:contextualSpacing/>
    </w:pPr>
  </w:style>
  <w:style w:type="paragraph" w:customStyle="1" w:styleId="Nota">
    <w:name w:val="Nota"/>
    <w:aliases w:val=" Char1,Char1,(NECG) Footnote Reference,fr,Appel note de bas de p,o,Style 6,Signature Ch"/>
    <w:basedOn w:val="Normal"/>
    <w:link w:val="FootnoteReference"/>
    <w:uiPriority w:val="99"/>
    <w:pPr>
      <w:spacing w:line="240" w:lineRule="exact"/>
    </w:pPr>
    <w:rPr>
      <w:rFonts w:ascii="Times New Roman" w:eastAsia="Times New Roman" w:hAnsi="Times New Roman" w:cs="Times New Roman"/>
      <w:sz w:val="20"/>
      <w:szCs w:val="20"/>
      <w:vertAlign w:val="superscript"/>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Strong">
    <w:name w:val="Strong"/>
    <w:basedOn w:val="DefaultParagraphFont"/>
    <w:uiPriority w:val="22"/>
    <w:qFormat/>
    <w:rPr>
      <w:b/>
      <w:bCs/>
    </w:rPr>
  </w:style>
  <w:style w:type="paragraph" w:customStyle="1" w:styleId="Bullets">
    <w:name w:val="Bullets"/>
    <w:basedOn w:val="Normal"/>
    <w:qFormat/>
    <w:pPr>
      <w:numPr>
        <w:numId w:val="7"/>
      </w:numPr>
      <w:spacing w:after="0" w:line="300" w:lineRule="exact"/>
      <w:ind w:left="454" w:hanging="454"/>
      <w:jc w:val="both"/>
    </w:pPr>
    <w:rPr>
      <w:rFonts w:ascii="EC Square Sans Pro" w:hAnsi="EC Square Sans Pro"/>
    </w:rPr>
  </w:style>
  <w:style w:type="paragraph" w:customStyle="1" w:styleId="Body">
    <w:name w:val="Body"/>
    <w:basedOn w:val="Normal"/>
    <w:qFormat/>
    <w:pPr>
      <w:spacing w:after="240" w:line="300" w:lineRule="exact"/>
    </w:pPr>
    <w:rPr>
      <w:rFonts w:ascii="EC Square Sans Pro" w:hAnsi="EC Square Sans Pro"/>
    </w:rPr>
  </w:style>
  <w:style w:type="character" w:customStyle="1" w:styleId="ilfuvd">
    <w:name w:val="ilfuvd"/>
    <w:basedOn w:val="DefaultParagraphFon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ucun">
    <w:name w:val="Aucun"/>
    <w:basedOn w:val="DefaultParagraphFont"/>
  </w:style>
  <w:style w:type="paragraph" w:customStyle="1" w:styleId="paragraph">
    <w:name w:val="paragraph"/>
    <w:basedOn w:val="Normal"/>
    <w:uiPriority w:val="99"/>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pellingerror">
    <w:name w:val="spellingerror"/>
    <w:basedOn w:val="DefaultParagraphFont"/>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1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eur-lex.europa.eu/legal-content/IT/TXT/?uri=CELEX:52019DC0640" TargetMode="External"/><Relationship Id="rId26" Type="http://schemas.openxmlformats.org/officeDocument/2006/relationships/hyperlink" Target="https://ec.europa.eu/info/sites/info/files/research_and_innovation/contact/documents/ec_rtd_he-codesign-implementation_112019.pdf" TargetMode="External"/><Relationship Id="rId39" Type="http://schemas.openxmlformats.org/officeDocument/2006/relationships/hyperlink" Target="https://publications.europa.eu/it/publication-detail/-/publication/28e1c485-476a-11e8-be1d-01aa75ed71a1" TargetMode="External"/><Relationship Id="rId21" Type="http://schemas.openxmlformats.org/officeDocument/2006/relationships/hyperlink" Target="https://ec.europa.eu/info/strategy/priorities-2019-2024/promoting-our-european-way-life_it" TargetMode="External"/><Relationship Id="rId34" Type="http://schemas.openxmlformats.org/officeDocument/2006/relationships/hyperlink" Target="https://op.europa.eu/s/nYMl" TargetMode="External"/><Relationship Id="rId42" Type="http://schemas.openxmlformats.org/officeDocument/2006/relationships/hyperlink" Target="https://eur-lex.europa.eu/legal-content/IT/TXT/PDF/?uri=CELEX:32019L0790&amp;from=IT" TargetMode="External"/><Relationship Id="rId47" Type="http://schemas.openxmlformats.org/officeDocument/2006/relationships/hyperlink" Target="https://op.europa.eu/it/publication-detail/-/publication/f235d1e3-7c4d-11e9-9f05-01aa75ed71a1/language-en/format-PDF/source-108645429" TargetMode="External"/><Relationship Id="rId50" Type="http://schemas.openxmlformats.org/officeDocument/2006/relationships/hyperlink" Target="https://op.europa.eu/it/publication-detail/-/publication/f26dfd11-6288-11ea-b735-01aa75ed71a1/language-en/format-PDF/source-120515772" TargetMode="External"/><Relationship Id="rId55" Type="http://schemas.openxmlformats.org/officeDocument/2006/relationships/header" Target="header5.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consilium.europa.eu/en/eu-strategic-agenda-2019-2024/" TargetMode="External"/><Relationship Id="rId20" Type="http://schemas.openxmlformats.org/officeDocument/2006/relationships/hyperlink" Target="https://ec.europa.eu/info/strategy/priorities-2019-2024/economy-works-people_it" TargetMode="External"/><Relationship Id="rId29" Type="http://schemas.openxmlformats.org/officeDocument/2006/relationships/hyperlink" Target="http://www.bluemed-initiative.eu/" TargetMode="External"/><Relationship Id="rId41" Type="http://schemas.openxmlformats.org/officeDocument/2006/relationships/hyperlink" Target="https://eur-lex.europa.eu/legal-content/IT/TXT/PDF/?uri=CELEX:32019L1024&amp;from=IT" TargetMode="External"/><Relationship Id="rId54"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ec.europa.eu/info/research-and-innovation/events/upcoming-events/european-research-and-innovation-days_en" TargetMode="External"/><Relationship Id="rId32" Type="http://schemas.openxmlformats.org/officeDocument/2006/relationships/hyperlink" Target="https://ec.europa.eu/info/publications/she-figures-2018_it" TargetMode="External"/><Relationship Id="rId37" Type="http://schemas.openxmlformats.org/officeDocument/2006/relationships/hyperlink" Target="https://ec.europa.eu/digital-single-market/en/high-level-expert-group-artificial-intelligence" TargetMode="External"/><Relationship Id="rId40" Type="http://schemas.openxmlformats.org/officeDocument/2006/relationships/hyperlink" Target="https://ec.europa.eu/research/openscience/index.cfm?pg=open-science-cloud" TargetMode="External"/><Relationship Id="rId45" Type="http://schemas.openxmlformats.org/officeDocument/2006/relationships/hyperlink" Target="https://ec.europa.eu/info/publications/2019-european-semester-country-reports_it" TargetMode="External"/><Relationship Id="rId53" Type="http://schemas.openxmlformats.org/officeDocument/2006/relationships/hyperlink" Target="https://ec.europa.eu/commission/presscorner/detail/it/ip_20_89" TargetMode="External"/><Relationship Id="rId58"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ec.europa.eu/info/funding-tenders/opportunities/portal/screen/opportunities/horizon-dashboard" TargetMode="External"/><Relationship Id="rId23" Type="http://schemas.openxmlformats.org/officeDocument/2006/relationships/hyperlink" Target="https://ec.europa.eu/info/strategy/priorities-2019-2024/new-push-european-democracy_it" TargetMode="External"/><Relationship Id="rId28" Type="http://schemas.openxmlformats.org/officeDocument/2006/relationships/hyperlink" Target="https://eur-lex.europa.eu/resource.html?uri=cellar:3473410d-b7de-11e6-9e3c-01aa75ed71a1.0019.02/DOC_1&amp;format=PDF" TargetMode="External"/><Relationship Id="rId36" Type="http://schemas.openxmlformats.org/officeDocument/2006/relationships/hyperlink" Target="https://eurohpc-ju.europa.eu/;%20https://ec.europa.eu/digital-single-market/en/eurohpc-joint-undertaking" TargetMode="External"/><Relationship Id="rId49" Type="http://schemas.openxmlformats.org/officeDocument/2006/relationships/hyperlink" Target="https://ec.europa.eu/research/sam/pdf/sam_4years_b5_2020_web.pdf" TargetMode="External"/><Relationship Id="rId57" Type="http://schemas.openxmlformats.org/officeDocument/2006/relationships/footer" Target="footer5.xml"/><Relationship Id="rId61"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ec.europa.eu/info/strategy/priorities-2019-2024/europe-fit-digital-age_it" TargetMode="External"/><Relationship Id="rId31" Type="http://schemas.openxmlformats.org/officeDocument/2006/relationships/hyperlink" Target="https://ec.europa.eu/info/research-and-innovation/research-area/transport/stria_it" TargetMode="External"/><Relationship Id="rId44" Type="http://schemas.openxmlformats.org/officeDocument/2006/relationships/hyperlink" Target="https://ec.europa.eu/info/publications/era-progress-report-2018_it" TargetMode="External"/><Relationship Id="rId52" Type="http://schemas.openxmlformats.org/officeDocument/2006/relationships/hyperlink" Target="https://ec.europa.eu/jrc/en/facts4eufuture"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ec.europa.eu/info/strategy/priorities-2019-2024/stronger-europe-world_it" TargetMode="External"/><Relationship Id="rId27" Type="http://schemas.openxmlformats.org/officeDocument/2006/relationships/hyperlink" Target="https://ec.europa.eu/info/horizon-europe-next-research-and-innovation-framework-programme/mission-oriented-policy-horizon-europe_en" TargetMode="External"/><Relationship Id="rId30" Type="http://schemas.openxmlformats.org/officeDocument/2006/relationships/hyperlink" Target="file:///C:\Users\vogleis\AppData\Local\Temp\1\black-sea-strategic-research_enpdf.pdf" TargetMode="External"/><Relationship Id="rId35" Type="http://schemas.openxmlformats.org/officeDocument/2006/relationships/hyperlink" Target="https://op.europa.eu/en/publication-detail/-/publication/0df85f8b-7b72-11e9-9f05-01aa75ed71a1" TargetMode="External"/><Relationship Id="rId43" Type="http://schemas.openxmlformats.org/officeDocument/2006/relationships/hyperlink" Target="https://ec.europa.eu/research/openscience/index.cfm?pg=altmetrics_eg" TargetMode="External"/><Relationship Id="rId48" Type="http://schemas.openxmlformats.org/officeDocument/2006/relationships/hyperlink" Target="https://op.europa.eu/it/web/eu-law-and-publications/publication-detail/-/publication/5cb9ca21-0500-11ea-8c1f-01aa75ed71a1" TargetMode="External"/><Relationship Id="rId56" Type="http://schemas.openxmlformats.org/officeDocument/2006/relationships/footer" Target="footer4.xml"/><Relationship Id="rId8" Type="http://schemas.openxmlformats.org/officeDocument/2006/relationships/image" Target="media/image1.emf"/><Relationship Id="rId51" Type="http://schemas.openxmlformats.org/officeDocument/2006/relationships/hyperlink" Target="https://ec.europa.eu/info/publications/unlocking-potential-industrial-human-robot-collaboration_it" TargetMode="Externa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hyperlink" Target="https://ec.europa.eu/commission/sites/beta-political/files/political-guidelines-next-commission_it.pdf" TargetMode="External"/><Relationship Id="rId25" Type="http://schemas.openxmlformats.org/officeDocument/2006/relationships/hyperlink" Target="https://ec.europa.eu/info/files/orientations-towards-first-strategic-plan-horizon-europe_en" TargetMode="External"/><Relationship Id="rId33" Type="http://schemas.openxmlformats.org/officeDocument/2006/relationships/hyperlink" Target="https://op.europa.eu/en/publication-detail/-/publication/4bebf83d-60ba-11e9-b6eb-01aa75ed71a1" TargetMode="External"/><Relationship Id="rId38" Type="http://schemas.openxmlformats.org/officeDocument/2006/relationships/hyperlink" Target="https://ec.europa.eu/digital-single-market/en/news/ethics-guidelines-trustworthy-ai" TargetMode="External"/><Relationship Id="rId46" Type="http://schemas.openxmlformats.org/officeDocument/2006/relationships/hyperlink" Target="https://ec.europa.eu/info/publications/2019-european-semester-country-specific-recommendations-commission-recommendations_it" TargetMode="External"/><Relationship Id="rId59"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s://rio.jrc.ec.europa.eu/en/policy-support-fac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13</Pages>
  <Words>6251</Words>
  <Characters>36384</Characters>
  <Application>Microsoft Office Word</Application>
  <DocSecurity>0</DocSecurity>
  <Lines>505</Lines>
  <Paragraphs>149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21</cp:revision>
  <dcterms:created xsi:type="dcterms:W3CDTF">2020-06-12T12:13:00Z</dcterms:created>
  <dcterms:modified xsi:type="dcterms:W3CDTF">2020-07-13T16:06:00Z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7.0.1, Build 20190916</vt:lpwstr>
  </property>
  <property fmtid="{D5CDD505-2E9C-101B-9397-08002B2CF9AE}" pid="8" name="Created using">
    <vt:lpwstr>LW 7.0.1, Build 20190916</vt:lpwstr>
  </property>
</Properties>
</file>