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2B40259-8D38-47B0-9A59-A4F9A2C93A96" style="width:450.4pt;height:307.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240" w:line="240" w:lineRule="auto"/>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KOMISSION KERTOMUS EUROOPAN PARLAMENTILLE JA NEUVOSTOLLE</w:t>
      </w:r>
    </w:p>
    <w:p>
      <w:pPr>
        <w:spacing w:after="240" w:line="24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EU:n toiminnasta tutkimuksen ja teknologian kehittämisen alalla sekä Horisontti 2020 -puiteohjelman seurannasta vuonna 2019</w:t>
      </w:r>
    </w:p>
    <w:p>
      <w:pPr>
        <w:jc w:val="both"/>
        <w:rPr>
          <w:rFonts w:ascii="Times New Roman" w:hAnsi="Times New Roman" w:cs="Times New Roman"/>
          <w:b/>
          <w:noProof/>
        </w:rPr>
      </w:pPr>
    </w:p>
    <w:p>
      <w:pPr>
        <w:jc w:val="both"/>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1.</w:t>
      </w:r>
      <w:r>
        <w:rPr>
          <w:noProof/>
        </w:rPr>
        <w:tab/>
      </w:r>
      <w:r>
        <w:rPr>
          <w:rFonts w:ascii="Times New Roman" w:hAnsi="Times New Roman"/>
          <w:b/>
          <w:noProof/>
        </w:rPr>
        <w:t xml:space="preserve">Tausta </w:t>
      </w:r>
    </w:p>
    <w:p>
      <w:pPr>
        <w:jc w:val="both"/>
        <w:rPr>
          <w:rFonts w:ascii="Times New Roman" w:hAnsi="Times New Roman" w:cs="Times New Roman"/>
          <w:noProof/>
        </w:rPr>
      </w:pPr>
      <w:r>
        <w:rPr>
          <w:rFonts w:ascii="Times New Roman" w:hAnsi="Times New Roman"/>
          <w:noProof/>
        </w:rPr>
        <w:t xml:space="preserve">Tämä kertomus on laadittu Euroopan unionin toiminnasta tehdyn sopimuksen, jäljempänä ’SEUT-sopimus’, 190 artiklan, Euratomin perustamissopimuksen 7 artiklan, Horisontti 2020 -puiteohjelmaa koskevan asetuksen 31 artiklan ja Horisontti 2020 -puiteohjelmaa täydentävää Euratom-ohjelmaa koskevan asetuksen 21 artiklan nojalla. Kertomuksessa esitetään tiivistetysti </w:t>
      </w:r>
      <w:r>
        <w:rPr>
          <w:rFonts w:ascii="Times New Roman" w:hAnsi="Times New Roman"/>
          <w:b/>
          <w:bCs/>
          <w:noProof/>
        </w:rPr>
        <w:t>vuonna 2019</w:t>
      </w:r>
      <w:r>
        <w:rPr>
          <w:rFonts w:ascii="Times New Roman" w:hAnsi="Times New Roman"/>
          <w:noProof/>
        </w:rPr>
        <w:t xml:space="preserve"> toteutetut keskeiset toimenpiteet. Se ei kata kaikkia toimenpiteitä. Vuodesta 2017 lähtien tarkempaa seurantatietoa on saatavilla </w:t>
      </w:r>
      <w:hyperlink r:id="rId15" w:history="1">
        <w:r>
          <w:rPr>
            <w:rStyle w:val="Hyperlink"/>
            <w:rFonts w:ascii="Times New Roman" w:hAnsi="Times New Roman"/>
            <w:noProof/>
            <w:color w:val="auto"/>
          </w:rPr>
          <w:t>Horizon 2020 Dashboard</w:t>
        </w:r>
      </w:hyperlink>
      <w:r>
        <w:rPr>
          <w:rFonts w:ascii="Times New Roman" w:hAnsi="Times New Roman"/>
          <w:noProof/>
        </w:rPr>
        <w:t xml:space="preserve"> -sivustolla</w:t>
      </w:r>
      <w:r>
        <w:rPr>
          <w:rFonts w:ascii="Times New Roman" w:hAnsi="Times New Roman"/>
          <w:b/>
          <w:noProof/>
        </w:rPr>
        <w:t>.</w:t>
      </w:r>
      <w:r>
        <w:rPr>
          <w:rFonts w:ascii="Times New Roman" w:hAnsi="Times New Roman"/>
          <w:noProof/>
        </w:rPr>
        <w:t xml:space="preserve"> </w:t>
      </w:r>
    </w:p>
    <w:p>
      <w:pPr>
        <w:jc w:val="both"/>
        <w:rPr>
          <w:rFonts w:ascii="Times New Roman" w:hAnsi="Times New Roman" w:cs="Times New Roman"/>
          <w:noProof/>
        </w:rPr>
      </w:pPr>
    </w:p>
    <w:p>
      <w:pPr>
        <w:jc w:val="both"/>
        <w:rPr>
          <w:rFonts w:ascii="Times New Roman" w:hAnsi="Times New Roman" w:cs="Times New Roman"/>
          <w:b/>
          <w:noProof/>
        </w:rPr>
      </w:pPr>
      <w:r>
        <w:rPr>
          <w:rFonts w:ascii="Times New Roman" w:hAnsi="Times New Roman"/>
          <w:b/>
          <w:noProof/>
        </w:rPr>
        <w:t>2.</w:t>
      </w:r>
      <w:r>
        <w:rPr>
          <w:noProof/>
        </w:rPr>
        <w:tab/>
      </w:r>
      <w:r>
        <w:rPr>
          <w:rFonts w:ascii="Times New Roman" w:hAnsi="Times New Roman"/>
          <w:b/>
          <w:noProof/>
        </w:rPr>
        <w:t xml:space="preserve">Poliittinen tausta </w:t>
      </w:r>
    </w:p>
    <w:p>
      <w:pPr>
        <w:jc w:val="both"/>
        <w:rPr>
          <w:rFonts w:ascii="Times New Roman" w:hAnsi="Times New Roman" w:cs="Times New Roman"/>
          <w:noProof/>
        </w:rPr>
      </w:pPr>
      <w:r>
        <w:rPr>
          <w:rFonts w:ascii="Times New Roman" w:hAnsi="Times New Roman"/>
          <w:noProof/>
        </w:rPr>
        <w:t xml:space="preserve">Eurooppa-neuvosto hyväksyi kesäkuussa 2019 </w:t>
      </w:r>
      <w:hyperlink r:id="rId16" w:history="1">
        <w:r>
          <w:rPr>
            <w:rStyle w:val="Hyperlink"/>
            <w:rFonts w:ascii="Times New Roman" w:hAnsi="Times New Roman"/>
            <w:noProof/>
            <w:color w:val="auto"/>
          </w:rPr>
          <w:t>EU:n uuden strategisen ohjelman 2019–2024</w:t>
        </w:r>
      </w:hyperlink>
      <w:r>
        <w:rPr>
          <w:noProof/>
        </w:rPr>
        <w:t>.</w:t>
      </w:r>
      <w:r>
        <w:rPr>
          <w:rFonts w:ascii="Times New Roman" w:hAnsi="Times New Roman"/>
          <w:noProof/>
        </w:rPr>
        <w:t>Ohjelmassa vahvistetut painopistealat ohjaavat Eurooppa-neuvoston työtä ja EU:n muiden toimielinten työohjelmia.</w:t>
      </w:r>
    </w:p>
    <w:p>
      <w:pPr>
        <w:jc w:val="both"/>
        <w:rPr>
          <w:rFonts w:ascii="Times New Roman" w:hAnsi="Times New Roman" w:cs="Times New Roman"/>
          <w:noProof/>
        </w:rPr>
      </w:pPr>
      <w:r>
        <w:rPr>
          <w:rFonts w:ascii="Times New Roman" w:hAnsi="Times New Roman"/>
          <w:noProof/>
        </w:rPr>
        <w:t xml:space="preserve">Tutkimus ja innovointi (T&amp;I) ovat keskeisellä sijalla Ursula von der Leyenin komission kuusi tavoitetta sisältävissä </w:t>
      </w:r>
      <w:hyperlink r:id="rId17" w:history="1">
        <w:r>
          <w:rPr>
            <w:rStyle w:val="Hyperlink"/>
            <w:rFonts w:ascii="Times New Roman" w:hAnsi="Times New Roman"/>
            <w:noProof/>
            <w:color w:val="auto"/>
          </w:rPr>
          <w:t>poliittisissa suuntaviivoissa</w:t>
        </w:r>
      </w:hyperlink>
      <w:r>
        <w:rPr>
          <w:rFonts w:ascii="Times New Roman" w:hAnsi="Times New Roman"/>
          <w:noProof/>
        </w:rPr>
        <w:t xml:space="preserve">, sillä ne tarjoavat tietopohjaa poliittiselle päätöksenteolle ja päätösten täytäntöönpanolle ja auttavat tavoitteiden saavuttamisessa. </w:t>
      </w:r>
      <w:hyperlink r:id="rId18" w:history="1">
        <w:r>
          <w:rPr>
            <w:rStyle w:val="Hyperlink"/>
            <w:rFonts w:ascii="Times New Roman" w:hAnsi="Times New Roman"/>
            <w:noProof/>
            <w:color w:val="auto"/>
          </w:rPr>
          <w:t>Euroopan vihreän kehityksen ohjelman</w:t>
        </w:r>
      </w:hyperlink>
      <w:r>
        <w:rPr>
          <w:rFonts w:ascii="Times New Roman" w:hAnsi="Times New Roman"/>
          <w:noProof/>
        </w:rPr>
        <w:t xml:space="preserve"> (joulukuussa 2019 annettu komission tiedonanto) tavoitteena on etenkin tehdä Euroopasta maailman ensimmäinen ilmastoneutraali maanosa vuoteen 2050 mennessä. Painopisteillä </w:t>
      </w:r>
      <w:hyperlink r:id="rId19" w:history="1">
        <w:r>
          <w:rPr>
            <w:rStyle w:val="Hyperlink"/>
            <w:rFonts w:ascii="Times New Roman" w:hAnsi="Times New Roman"/>
            <w:noProof/>
            <w:color w:val="auto"/>
          </w:rPr>
          <w:t>Euroopan digitaalinen valmius</w:t>
        </w:r>
      </w:hyperlink>
      <w:r>
        <w:rPr>
          <w:rFonts w:ascii="Times New Roman" w:hAnsi="Times New Roman"/>
          <w:noProof/>
          <w:vertAlign w:val="superscript"/>
        </w:rPr>
        <w:t xml:space="preserve"> </w:t>
      </w:r>
      <w:r>
        <w:rPr>
          <w:rFonts w:ascii="Times New Roman" w:hAnsi="Times New Roman"/>
          <w:noProof/>
        </w:rPr>
        <w:t xml:space="preserve">ja </w:t>
      </w:r>
      <w:hyperlink r:id="rId20" w:history="1">
        <w:r>
          <w:rPr>
            <w:rStyle w:val="Hyperlink"/>
            <w:rFonts w:ascii="Times New Roman" w:hAnsi="Times New Roman"/>
            <w:noProof/>
            <w:color w:val="auto"/>
          </w:rPr>
          <w:t>ihmisten hyväksi toimiva talous</w:t>
        </w:r>
      </w:hyperlink>
      <w:r>
        <w:rPr>
          <w:rFonts w:ascii="Times New Roman" w:hAnsi="Times New Roman"/>
          <w:noProof/>
        </w:rPr>
        <w:t xml:space="preserve"> on suuri vaikutus erityisesti disruptiiviseen tutkimukseen, läpimurtoinnovaatioihin ja Euroopan innovaationeuvostoon (EIC). Tutkimus ja innovointi on tärkeää myös painopisteiden </w:t>
      </w:r>
      <w:hyperlink r:id="rId21" w:history="1">
        <w:r>
          <w:rPr>
            <w:rStyle w:val="Hyperlink"/>
            <w:rFonts w:ascii="Times New Roman" w:hAnsi="Times New Roman"/>
            <w:noProof/>
            <w:color w:val="auto"/>
          </w:rPr>
          <w:t>eurooppalaisen elämäntavan edistäminen</w:t>
        </w:r>
      </w:hyperlink>
      <w:r>
        <w:rPr>
          <w:rFonts w:ascii="Times New Roman" w:hAnsi="Times New Roman"/>
          <w:noProof/>
        </w:rPr>
        <w:t xml:space="preserve">, </w:t>
      </w:r>
      <w:hyperlink r:id="rId22" w:history="1">
        <w:r>
          <w:rPr>
            <w:rStyle w:val="Hyperlink"/>
            <w:rFonts w:ascii="Times New Roman" w:hAnsi="Times New Roman"/>
            <w:noProof/>
            <w:color w:val="auto"/>
          </w:rPr>
          <w:t>vahvempi EU maailmannäyttämöllä</w:t>
        </w:r>
      </w:hyperlink>
      <w:r>
        <w:rPr>
          <w:rFonts w:ascii="Times New Roman" w:hAnsi="Times New Roman"/>
          <w:noProof/>
        </w:rPr>
        <w:t xml:space="preserve"> ja </w:t>
      </w:r>
      <w:hyperlink r:id="rId23" w:history="1">
        <w:r>
          <w:rPr>
            <w:rStyle w:val="Hyperlink"/>
            <w:rFonts w:ascii="Times New Roman" w:hAnsi="Times New Roman"/>
            <w:noProof/>
            <w:color w:val="auto"/>
          </w:rPr>
          <w:t>uutta vauhtia eurooppalaiselle demokratialle</w:t>
        </w:r>
      </w:hyperlink>
      <w:r>
        <w:rPr>
          <w:noProof/>
        </w:rPr>
        <w:t xml:space="preserve"> </w:t>
      </w:r>
      <w:r>
        <w:rPr>
          <w:rFonts w:ascii="Times New Roman" w:hAnsi="Times New Roman"/>
          <w:noProof/>
        </w:rPr>
        <w:t xml:space="preserve">kannalta. </w:t>
      </w:r>
    </w:p>
    <w:p>
      <w:pPr>
        <w:jc w:val="both"/>
        <w:rPr>
          <w:rFonts w:ascii="Times New Roman" w:hAnsi="Times New Roman" w:cs="Times New Roman"/>
          <w:i/>
          <w:noProof/>
        </w:rPr>
      </w:pPr>
    </w:p>
    <w:p>
      <w:pPr>
        <w:jc w:val="both"/>
        <w:rPr>
          <w:rFonts w:ascii="Times New Roman" w:hAnsi="Times New Roman" w:cs="Times New Roman"/>
          <w:b/>
          <w:noProof/>
        </w:rPr>
      </w:pPr>
      <w:r>
        <w:rPr>
          <w:rFonts w:ascii="Times New Roman" w:hAnsi="Times New Roman"/>
          <w:b/>
          <w:noProof/>
        </w:rPr>
        <w:t>3.</w:t>
      </w:r>
      <w:r>
        <w:rPr>
          <w:noProof/>
        </w:rPr>
        <w:tab/>
      </w:r>
      <w:r>
        <w:rPr>
          <w:rFonts w:ascii="Times New Roman" w:hAnsi="Times New Roman"/>
          <w:b/>
          <w:noProof/>
        </w:rPr>
        <w:t>T&amp;I-toimintakehys</w:t>
      </w:r>
    </w:p>
    <w:p>
      <w:pPr>
        <w:jc w:val="both"/>
        <w:rPr>
          <w:rFonts w:ascii="Times New Roman" w:hAnsi="Times New Roman" w:cs="Times New Roman"/>
          <w:b/>
          <w:i/>
          <w:noProof/>
        </w:rPr>
      </w:pPr>
      <w:r>
        <w:rPr>
          <w:rFonts w:ascii="Times New Roman" w:hAnsi="Times New Roman"/>
          <w:b/>
          <w:i/>
          <w:noProof/>
        </w:rPr>
        <w:t>3.1 Horisontti Eurooppa -puiteohjelma</w:t>
      </w:r>
    </w:p>
    <w:p>
      <w:pPr>
        <w:jc w:val="both"/>
        <w:rPr>
          <w:rFonts w:ascii="Times New Roman" w:hAnsi="Times New Roman" w:cs="Times New Roman"/>
          <w:noProof/>
        </w:rPr>
      </w:pPr>
      <w:r>
        <w:rPr>
          <w:rFonts w:ascii="Times New Roman" w:hAnsi="Times New Roman"/>
          <w:noProof/>
        </w:rPr>
        <w:t>Euroopan parlamentti ja neuvosto pääsivät maalis-huhtikuussa 2019 poliittiseen yhteisymmärrykseen Horisontti Eurooppa -puiteohjelmaa ja sen osallistumista ja tulosten levittämistä koskevia sääntöjä sekä erityisohjelmaa (molemmat perustuvat SEUT-sopimukseen) koskevan lainsäädäntöluonnoksen keskeisistä näkökohdista ja vahvistivat komission ehdotuksissa esitellyt ohjelman uudet elementit. Komissio aloitti tältä pohjalta strategisen suunnittelun Horisontti Eurooppa -puiteohjelman ensimmäistä strategista suunnitelmaa varten.</w:t>
      </w:r>
    </w:p>
    <w:p>
      <w:pPr>
        <w:jc w:val="both"/>
        <w:rPr>
          <w:rFonts w:ascii="Times New Roman" w:hAnsi="Times New Roman" w:cs="Times New Roman"/>
          <w:noProof/>
          <w:u w:val="single"/>
        </w:rPr>
      </w:pPr>
      <w:r>
        <w:rPr>
          <w:rFonts w:ascii="Times New Roman" w:hAnsi="Times New Roman"/>
          <w:noProof/>
          <w:u w:val="single"/>
        </w:rPr>
        <w:t xml:space="preserve">Strateginen suunnittelu </w:t>
      </w:r>
    </w:p>
    <w:p>
      <w:pPr>
        <w:jc w:val="both"/>
        <w:rPr>
          <w:rFonts w:ascii="Times New Roman" w:hAnsi="Times New Roman" w:cs="Times New Roman"/>
          <w:noProof/>
        </w:rPr>
      </w:pPr>
      <w:r>
        <w:rPr>
          <w:rFonts w:ascii="Times New Roman" w:hAnsi="Times New Roman"/>
          <w:noProof/>
        </w:rPr>
        <w:t xml:space="preserve">Tiiviin sisäisen yhteiskehittämisen lisäksi komissio aloitti laajan ja osallistavan yhteisen suunnittelun Euroopan parlamentin, jäsenvaltioiden, sidosryhmien ja yleisön kanssa. Tässä yhteydessä järjestettiin muun muassa ensimmäiset </w:t>
      </w:r>
      <w:r>
        <w:rPr>
          <w:rFonts w:ascii="Times New Roman" w:hAnsi="Times New Roman"/>
          <w:b/>
          <w:noProof/>
        </w:rPr>
        <w:t xml:space="preserve">Euroopan tutkimus- ja innovaatiopäivät, </w:t>
      </w:r>
      <w:r>
        <w:rPr>
          <w:rFonts w:ascii="Times New Roman" w:hAnsi="Times New Roman"/>
          <w:noProof/>
        </w:rPr>
        <w:t>jäljempänä ’</w:t>
      </w:r>
      <w:hyperlink r:id="rId24" w:history="1">
        <w:r>
          <w:rPr>
            <w:rStyle w:val="Hyperlink"/>
            <w:rFonts w:ascii="Times New Roman" w:hAnsi="Times New Roman"/>
            <w:noProof/>
            <w:color w:val="auto"/>
          </w:rPr>
          <w:t>vuoden 2019 T&amp;I-päivät</w:t>
        </w:r>
      </w:hyperlink>
      <w:r>
        <w:rPr>
          <w:rFonts w:ascii="Times New Roman" w:hAnsi="Times New Roman"/>
          <w:noProof/>
        </w:rPr>
        <w:t xml:space="preserve">’, syyskuussa 2019 sekä laadittiin </w:t>
      </w:r>
      <w:hyperlink r:id="rId25" w:history="1">
        <w:r>
          <w:rPr>
            <w:rStyle w:val="Hyperlink"/>
            <w:rFonts w:ascii="Times New Roman" w:hAnsi="Times New Roman"/>
            <w:noProof/>
            <w:color w:val="auto"/>
          </w:rPr>
          <w:t>Horisontti Eurooppa -puiteohjelman ensimmäistä strategista suunnitelmaa koskevat suuntaviivat</w:t>
        </w:r>
      </w:hyperlink>
      <w:r>
        <w:rPr>
          <w:rFonts w:ascii="Times New Roman" w:hAnsi="Times New Roman"/>
          <w:noProof/>
        </w:rPr>
        <w:t xml:space="preserve">. Asiakirjassa esitellään yhteisen suunnitteluvaiheen tuloksia ja tarkastellaan ensimmäisessä strategisessa suunnitelmassa tavoiteltavia mahdollisia vaikutuksia. Samaan aikaan käynnistettiin laaja yhteinen suunnitteluprosessi, mukaan lukien verkkokysely (ks. </w:t>
      </w:r>
      <w:hyperlink r:id="rId26" w:history="1">
        <w:r>
          <w:rPr>
            <w:rStyle w:val="Hyperlink"/>
            <w:rFonts w:ascii="Times New Roman" w:hAnsi="Times New Roman"/>
            <w:noProof/>
            <w:color w:val="auto"/>
          </w:rPr>
          <w:t>loppuraportti</w:t>
        </w:r>
      </w:hyperlink>
      <w:r>
        <w:rPr>
          <w:rFonts w:ascii="Times New Roman" w:hAnsi="Times New Roman"/>
          <w:noProof/>
        </w:rPr>
        <w:t xml:space="preserve">), </w:t>
      </w:r>
      <w:r>
        <w:rPr>
          <w:rFonts w:ascii="Times New Roman" w:hAnsi="Times New Roman"/>
          <w:b/>
          <w:bCs/>
          <w:noProof/>
        </w:rPr>
        <w:t>Horisontti Eurooppa -puiteohjelman toteutusstrategian</w:t>
      </w:r>
      <w:r>
        <w:rPr>
          <w:rFonts w:ascii="Times New Roman" w:hAnsi="Times New Roman"/>
          <w:noProof/>
        </w:rPr>
        <w:t xml:space="preserve"> valmistelemiseksi. Strategia tarjoaa yhtenäiset puitteet kaikkia toteutukseen liittyviä näkökohtia varten. Sen tarkoituksena on jatkaa yksinkertaistamista sekä mahdollistaa ohjelman tavoitteiden ja uutuuksien toteutuminen alusta alkaen.</w:t>
      </w:r>
    </w:p>
    <w:p>
      <w:pPr>
        <w:jc w:val="both"/>
        <w:rPr>
          <w:rFonts w:ascii="Times New Roman" w:hAnsi="Times New Roman" w:cs="Times New Roman"/>
          <w:noProof/>
          <w:u w:val="single"/>
        </w:rPr>
      </w:pPr>
      <w:r>
        <w:rPr>
          <w:rFonts w:ascii="Times New Roman" w:hAnsi="Times New Roman"/>
          <w:noProof/>
          <w:u w:val="single"/>
        </w:rPr>
        <w:t>Missiot</w:t>
      </w:r>
    </w:p>
    <w:p>
      <w:pPr>
        <w:jc w:val="both"/>
        <w:rPr>
          <w:rFonts w:ascii="Times New Roman" w:hAnsi="Times New Roman" w:cs="Times New Roman"/>
          <w:noProof/>
        </w:rPr>
      </w:pPr>
      <w:r>
        <w:rPr>
          <w:rFonts w:ascii="Times New Roman" w:hAnsi="Times New Roman"/>
          <w:bCs/>
          <w:noProof/>
        </w:rPr>
        <w:t xml:space="preserve">Yksi Horisontti Eurooppa -puiteohjelman tärkeimmistä uusista ominaisuuksista on </w:t>
      </w:r>
      <w:hyperlink r:id="rId27" w:history="1">
        <w:r>
          <w:rPr>
            <w:rStyle w:val="Hyperlink"/>
            <w:rFonts w:ascii="Times New Roman" w:hAnsi="Times New Roman"/>
            <w:bCs/>
            <w:noProof/>
            <w:color w:val="auto"/>
          </w:rPr>
          <w:t>missioiden</w:t>
        </w:r>
      </w:hyperlink>
      <w:r>
        <w:rPr>
          <w:rFonts w:ascii="Times New Roman" w:hAnsi="Times New Roman"/>
          <w:bCs/>
          <w:noProof/>
        </w:rPr>
        <w:t xml:space="preserve"> käyttöönotto. Euroopan parlamentti ja neuvosto sopivat </w:t>
      </w:r>
      <w:r>
        <w:rPr>
          <w:rFonts w:ascii="Times New Roman" w:hAnsi="Times New Roman"/>
          <w:b/>
          <w:bCs/>
          <w:noProof/>
        </w:rPr>
        <w:t>viidestä mahdollisten missioiden alasta</w:t>
      </w:r>
      <w:r>
        <w:rPr>
          <w:rFonts w:ascii="Times New Roman" w:hAnsi="Times New Roman"/>
          <w:bCs/>
          <w:noProof/>
        </w:rPr>
        <w:t xml:space="preserve">. </w:t>
      </w:r>
      <w:r>
        <w:rPr>
          <w:rFonts w:ascii="Times New Roman" w:hAnsi="Times New Roman"/>
          <w:noProof/>
        </w:rPr>
        <w:t xml:space="preserve">Vuonna 2019 näille viidelle alalle perustettiin kiinnostuksenilmaisupyynnön perusteella viisi </w:t>
      </w:r>
      <w:r>
        <w:rPr>
          <w:rFonts w:ascii="Times New Roman" w:hAnsi="Times New Roman"/>
          <w:b/>
          <w:noProof/>
        </w:rPr>
        <w:t>missiolautakuntaa</w:t>
      </w:r>
      <w:r>
        <w:rPr>
          <w:rFonts w:ascii="Times New Roman" w:hAnsi="Times New Roman"/>
          <w:noProof/>
        </w:rPr>
        <w:t xml:space="preserve">. Lautakunnissa on jäseninä tutkimus- ja innovointialan, poliittisen päätöksenteon, kansalaisyhteiskunnan ja toimijaorganisaatioiden asiantuntijoita. Lautakuntien puheenjohtajat julkistettiin heinäkuussa, ja lautakunnat aloittivat yksittäisiin missioihin liittyvän neuvontatyön syyskuussa. Kullakin alalla käynnistettiin missiolautakuntien työtä tukeva ennakointihanke. Kaikilla missioaloilla on myös suuri korkean tason </w:t>
      </w:r>
      <w:r>
        <w:rPr>
          <w:rFonts w:ascii="Times New Roman" w:hAnsi="Times New Roman"/>
          <w:b/>
          <w:noProof/>
        </w:rPr>
        <w:t>asiantuntijaryhmä</w:t>
      </w:r>
      <w:r>
        <w:rPr>
          <w:rFonts w:ascii="Times New Roman" w:hAnsi="Times New Roman"/>
          <w:noProof/>
        </w:rPr>
        <w:t>, joka tuo lisää ideoita, tietämystä ja asiantuntemusta.</w:t>
      </w:r>
    </w:p>
    <w:p>
      <w:pPr>
        <w:jc w:val="both"/>
        <w:rPr>
          <w:rFonts w:ascii="Times New Roman" w:hAnsi="Times New Roman" w:cs="Times New Roman"/>
          <w:noProof/>
          <w:u w:val="single"/>
        </w:rPr>
      </w:pPr>
      <w:r>
        <w:rPr>
          <w:rFonts w:ascii="Times New Roman" w:hAnsi="Times New Roman"/>
          <w:noProof/>
          <w:u w:val="single"/>
        </w:rPr>
        <w:t xml:space="preserve">Eurooppalaiset kumppanuudet  </w:t>
      </w:r>
    </w:p>
    <w:p>
      <w:pPr>
        <w:jc w:val="both"/>
        <w:rPr>
          <w:rFonts w:ascii="Times New Roman" w:hAnsi="Times New Roman" w:cs="Times New Roman"/>
          <w:noProof/>
        </w:rPr>
      </w:pPr>
      <w:r>
        <w:rPr>
          <w:rFonts w:ascii="Times New Roman" w:hAnsi="Times New Roman"/>
          <w:noProof/>
        </w:rPr>
        <w:t xml:space="preserve">Vuoden 2019 alkupuoliskolla komissio nimesi Horisontti Eurooppa -puiteohjelman strategiseen suunnitteluun kuuluvan yhteisen suunnittelun yhteydessä 49 ehdokasta eurooppalaisiksi kumppanuuksiksi (ks. ensimmäistä strategista suunnitelmaa koskevien suuntaviivojen liite 7). Niistä 13 on nimetty ehdokkaiksi SEUT-sopimuksen 185 ja 187 artiklan mukaisia institutionaalisia eurooppalaisia kumppanuuksia varten (Euroopan parlamentti ja neuvosto sopivat kahdeksasta mahdollisesta kumppanuusalasta). Ehdokkaista tehdään parhaillaan vaikutusten ennakkoarviointia.  </w:t>
      </w:r>
    </w:p>
    <w:p>
      <w:pPr>
        <w:jc w:val="both"/>
        <w:rPr>
          <w:rFonts w:ascii="Times New Roman" w:hAnsi="Times New Roman" w:cs="Times New Roman"/>
          <w:noProof/>
        </w:rPr>
      </w:pPr>
      <w:r>
        <w:rPr>
          <w:rFonts w:ascii="Times New Roman" w:hAnsi="Times New Roman"/>
          <w:noProof/>
        </w:rPr>
        <w:t>Vuoden 2019 jälkipuoliskolla komissio ryhtyi mahdollisten kumppaneiden ja sidosryhmien kanssa varmistamaan, että ehdolla olevat yhteissuunnitellut ja yhteisrahoitetut eurooppalaiset kumppanuudet ovat Horisontti Eurooppa -puiteohjelman uusien tavoitteiden ja kriteerien mukaisia.</w:t>
      </w:r>
    </w:p>
    <w:p>
      <w:pPr>
        <w:jc w:val="both"/>
        <w:rPr>
          <w:rFonts w:ascii="Times New Roman" w:hAnsi="Times New Roman" w:cs="Times New Roman"/>
          <w:noProof/>
          <w:u w:val="single"/>
        </w:rPr>
      </w:pPr>
      <w:r>
        <w:rPr>
          <w:rFonts w:ascii="Times New Roman" w:hAnsi="Times New Roman"/>
          <w:noProof/>
          <w:u w:val="single"/>
        </w:rPr>
        <w:t xml:space="preserve">Synergiat muiden ohjelmien kanssa  </w:t>
      </w:r>
    </w:p>
    <w:p>
      <w:pPr>
        <w:jc w:val="both"/>
        <w:rPr>
          <w:rFonts w:ascii="Times New Roman" w:hAnsi="Times New Roman" w:cs="Times New Roman"/>
          <w:noProof/>
        </w:rPr>
      </w:pPr>
      <w:r>
        <w:rPr>
          <w:rFonts w:ascii="Times New Roman" w:hAnsi="Times New Roman"/>
          <w:noProof/>
        </w:rPr>
        <w:t>Sekä Euroopan parlamentti että neuvosto ilmaisivat vuonna 2019 virallisesti laajan tukensa lähestymistavalle ja sisällölle, jotka on määritelty Horisontti Eurooppa -puiteohjelmasta ja sen osallistumista ja tulosten levittämistä koskevista säännöistä annetun komission ehdotuksen liitteessä IV ”Synergiat muiden ohjelmien kanssa”.</w:t>
      </w:r>
      <w:r>
        <w:rPr>
          <w:rFonts w:ascii="Times New Roman" w:hAnsi="Times New Roman" w:cs="Times New Roman"/>
          <w:noProof/>
          <w:vertAlign w:val="superscript"/>
        </w:rPr>
        <w:footnoteReference w:id="1"/>
      </w:r>
      <w:r>
        <w:rPr>
          <w:rFonts w:ascii="Times New Roman" w:hAnsi="Times New Roman"/>
          <w:noProof/>
        </w:rPr>
        <w:t xml:space="preserve"> Tavoitteena on hyödyntää Horisontti Eurooppa -puiteohjelman ja kaikkien muiden ohjelmien välisiä synergioita kaudella 2021–2027 luomalla peräkkäisiä synergioita sekä yksinkertaistamalla ja tehostamalla täydentävää ja yhdistettyä rahoitusta koskevia sääntöjä. </w:t>
      </w:r>
    </w:p>
    <w:p>
      <w:pPr>
        <w:jc w:val="both"/>
        <w:rPr>
          <w:rFonts w:ascii="Times New Roman" w:hAnsi="Times New Roman" w:cs="Times New Roman"/>
          <w:b/>
          <w:i/>
          <w:noProof/>
        </w:rPr>
      </w:pPr>
      <w:r>
        <w:rPr>
          <w:rFonts w:ascii="Times New Roman" w:hAnsi="Times New Roman"/>
          <w:b/>
          <w:i/>
          <w:noProof/>
        </w:rPr>
        <w:t>3.2 Poliittinen kehitys</w:t>
      </w:r>
    </w:p>
    <w:p>
      <w:pPr>
        <w:jc w:val="both"/>
        <w:rPr>
          <w:rFonts w:ascii="Times New Roman" w:hAnsi="Times New Roman" w:cs="Times New Roman"/>
          <w:noProof/>
          <w:u w:val="single"/>
        </w:rPr>
      </w:pPr>
      <w:r>
        <w:rPr>
          <w:rFonts w:ascii="Times New Roman" w:hAnsi="Times New Roman"/>
          <w:noProof/>
          <w:u w:val="single"/>
        </w:rPr>
        <w:t xml:space="preserve">Maapallo </w:t>
      </w:r>
    </w:p>
    <w:p>
      <w:pPr>
        <w:jc w:val="both"/>
        <w:rPr>
          <w:rFonts w:ascii="Times New Roman" w:hAnsi="Times New Roman" w:cs="Times New Roman"/>
          <w:noProof/>
        </w:rPr>
      </w:pPr>
      <w:r>
        <w:rPr>
          <w:rFonts w:ascii="Times New Roman" w:hAnsi="Times New Roman"/>
          <w:noProof/>
        </w:rPr>
        <w:t xml:space="preserve">Ilmasto pysyi vuonna 2019 EU:n asialistan kärjessä. Hallitustenvälisen ilmastonmuutospaneelin (IPCC) erityisraporteissa ”Climate Change and Land” ja ”Ocean and Cryosphere” korostettiin ilmastoasioiden kiireellisyyttä. Biologista monimuotoisuutta koskeva toimintaohjelma sai vauhtia, kun biologista monimuotoisuutta ja ekosysteemipalveluja käsittelevän hallitustenvälisen tiede- ja politiikkafoorumin (IPBES) johdolla tehty maailmanlaajuinen biologista monimuotoisuutta koskeva arviointi julkistettiin. Komissio esitteli </w:t>
      </w:r>
      <w:r>
        <w:rPr>
          <w:rFonts w:ascii="Times New Roman" w:hAnsi="Times New Roman"/>
          <w:b/>
          <w:noProof/>
        </w:rPr>
        <w:t>Euroopan vihreän kehityksen ohjelman</w:t>
      </w:r>
      <w:r>
        <w:rPr>
          <w:rFonts w:ascii="Times New Roman" w:hAnsi="Times New Roman"/>
          <w:noProof/>
        </w:rPr>
        <w:t xml:space="preserve">, jonka tarkoituksena on nopeuttaa etenemistä kohti vuoden 2030 tavoitteita ja tehdä Euroopasta maailman ensimmäinen ilmastoneutraali maanosa vuoteen 2050 mennessä. Vihreän kehityksen ohjelmaan liittyvät keskeisiä poliittisia toimia ovat muun muassa päästöjen vähentäminen, investoiminen huipputason tutkimukseen ja innovointiin, Euroopan luonnonympäristön säilyttäminen ja perusteellisten käyttäytymisen muutosten tukeminen. Kehitteillä ovat sekä maailmanlaajuinen että EU:n oma biodiversiteettistrategia, kuten vihreän kehityksen ohjelmassa todetaan. Komissio oli aktiivisesti mukana useisiin IPCC:n raportteihin sekä biologista monimuotoisuutta ja ekosysteemipalveluja koskevaan IPBES:n maailmanlaajuiseen arviointiin liittyvissä neuvotteluissa ja näiden asiakirjojen hyväksymisessä. </w:t>
      </w:r>
    </w:p>
    <w:p>
      <w:pPr>
        <w:jc w:val="both"/>
        <w:rPr>
          <w:rFonts w:ascii="Times New Roman" w:hAnsi="Times New Roman" w:cs="Times New Roman"/>
          <w:noProof/>
        </w:rPr>
      </w:pPr>
      <w:r>
        <w:rPr>
          <w:rFonts w:ascii="Times New Roman" w:hAnsi="Times New Roman"/>
          <w:noProof/>
        </w:rPr>
        <w:t>Työ tiedonannossa ”</w:t>
      </w:r>
      <w:hyperlink r:id="rId28" w:history="1">
        <w:r>
          <w:rPr>
            <w:rStyle w:val="Hyperlink"/>
            <w:rFonts w:ascii="Times New Roman" w:hAnsi="Times New Roman"/>
            <w:noProof/>
            <w:color w:val="auto"/>
          </w:rPr>
          <w:t>Nopeampaan puhtaan energian innovointiin</w:t>
        </w:r>
      </w:hyperlink>
      <w:r>
        <w:rPr>
          <w:rFonts w:ascii="Times New Roman" w:hAnsi="Times New Roman"/>
          <w:noProof/>
        </w:rPr>
        <w:t xml:space="preserve">” esitettyjen 20 poliittisen toimen toteuttamiseksi jatkui. Ne edistävät tutkimuksen ja innovoinnin avulla energiaunionin tavoitteiden saavuttamista. </w:t>
      </w:r>
    </w:p>
    <w:p>
      <w:pPr>
        <w:jc w:val="both"/>
        <w:rPr>
          <w:rFonts w:ascii="Times New Roman" w:hAnsi="Times New Roman" w:cs="Times New Roman"/>
          <w:noProof/>
        </w:rPr>
      </w:pPr>
      <w:r>
        <w:rPr>
          <w:rFonts w:ascii="Times New Roman" w:hAnsi="Times New Roman"/>
          <w:noProof/>
        </w:rPr>
        <w:t>Horisontti 2020 -puiteohjelmasta myönnetty rahoitus Atlantin valtamereen liittyviin hankkeisiin kasvoi lähes 200 miljoonaan euroon, kun vuonna 2019 käynnistettiin uusia hankkeita yli 30 miljoonan euron arvosta.</w:t>
      </w:r>
    </w:p>
    <w:p>
      <w:pPr>
        <w:jc w:val="both"/>
        <w:rPr>
          <w:rFonts w:ascii="Times New Roman" w:hAnsi="Times New Roman" w:cs="Times New Roman"/>
          <w:noProof/>
        </w:rPr>
      </w:pPr>
      <w:r>
        <w:rPr>
          <w:rFonts w:ascii="Times New Roman" w:hAnsi="Times New Roman"/>
          <w:noProof/>
        </w:rPr>
        <w:t xml:space="preserve">Komissio käynnisti muovitonta, tervettä Välimerta koskevan </w:t>
      </w:r>
      <w:hyperlink r:id="rId29" w:history="1">
        <w:r>
          <w:rPr>
            <w:rStyle w:val="Hyperlink"/>
            <w:rFonts w:ascii="Times New Roman" w:hAnsi="Times New Roman"/>
            <w:noProof/>
            <w:color w:val="auto"/>
          </w:rPr>
          <w:t>BlueMED-T&amp;I-pilottihankkeen</w:t>
        </w:r>
      </w:hyperlink>
      <w:r>
        <w:rPr>
          <w:rFonts w:ascii="Times New Roman" w:hAnsi="Times New Roman"/>
          <w:noProof/>
        </w:rPr>
        <w:t xml:space="preserve"> ja </w:t>
      </w:r>
      <w:hyperlink r:id="rId30" w:history="1">
        <w:r>
          <w:rPr>
            <w:rStyle w:val="Hyperlink"/>
            <w:rFonts w:ascii="Times New Roman" w:hAnsi="Times New Roman"/>
            <w:noProof/>
            <w:color w:val="auto"/>
          </w:rPr>
          <w:t>Mustaamerta koskevan strategisen tutkimus- ja innovaatio-ohjelman</w:t>
        </w:r>
      </w:hyperlink>
      <w:r>
        <w:rPr>
          <w:rFonts w:ascii="Times New Roman" w:hAnsi="Times New Roman"/>
          <w:noProof/>
        </w:rPr>
        <w:t xml:space="preserve"> ja perusti </w:t>
      </w:r>
      <w:hyperlink r:id="rId31" w:history="1">
        <w:r>
          <w:rPr>
            <w:rStyle w:val="Hyperlink"/>
            <w:rFonts w:ascii="Times New Roman" w:hAnsi="Times New Roman"/>
            <w:noProof/>
            <w:color w:val="auto"/>
          </w:rPr>
          <w:t>liikennealan strategisen tutkimus- ja innovaatio-ohjelman</w:t>
        </w:r>
      </w:hyperlink>
      <w:r>
        <w:rPr>
          <w:rFonts w:ascii="Times New Roman" w:hAnsi="Times New Roman"/>
          <w:noProof/>
        </w:rPr>
        <w:t xml:space="preserve"> hallintoryhmän. </w:t>
      </w:r>
    </w:p>
    <w:p>
      <w:pPr>
        <w:jc w:val="both"/>
        <w:rPr>
          <w:rFonts w:ascii="Times New Roman" w:hAnsi="Times New Roman" w:cs="Times New Roman"/>
          <w:noProof/>
          <w:u w:val="single"/>
        </w:rPr>
      </w:pPr>
      <w:r>
        <w:rPr>
          <w:rFonts w:ascii="Times New Roman" w:hAnsi="Times New Roman"/>
          <w:noProof/>
          <w:u w:val="single"/>
        </w:rPr>
        <w:t xml:space="preserve">Ihmiset </w:t>
      </w:r>
    </w:p>
    <w:p>
      <w:pPr>
        <w:jc w:val="both"/>
        <w:rPr>
          <w:rFonts w:ascii="Times New Roman" w:hAnsi="Times New Roman" w:cs="Times New Roman"/>
          <w:bCs/>
          <w:iCs/>
          <w:noProof/>
        </w:rPr>
      </w:pPr>
      <w:r>
        <w:rPr>
          <w:rFonts w:ascii="Times New Roman" w:hAnsi="Times New Roman"/>
          <w:bCs/>
          <w:iCs/>
          <w:noProof/>
        </w:rPr>
        <w:t xml:space="preserve">Vuonna 2019 komissio juhlisti </w:t>
      </w:r>
      <w:r>
        <w:rPr>
          <w:rFonts w:ascii="Times New Roman" w:hAnsi="Times New Roman"/>
          <w:b/>
          <w:bCs/>
          <w:iCs/>
          <w:noProof/>
        </w:rPr>
        <w:t>EU:n 20 vuoden ajan toteuttamaa politiikkaa sukupuolten tasa-arvon edistämiseksi tutkimuksessa ja innovoinnissa</w:t>
      </w:r>
      <w:r>
        <w:rPr>
          <w:rFonts w:ascii="Times New Roman" w:hAnsi="Times New Roman"/>
          <w:bCs/>
          <w:iCs/>
          <w:noProof/>
        </w:rPr>
        <w:t xml:space="preserve">. Tässä yhteydessä vuonna 2019 järjestettiin erilaista toimintaa ja tapahtumia, joiden tarkoituksena oli saada aikaan politiikkasuosituksia eurooppalaista tutkimusaluetta (ERA) varten ja jotka oli suunnattu EU:n ja kansallisen tason päätöksentekijöille, ERA:n sidosryhmäjärjestöille, tasa-arvoalan toimijoille, innovaatioyhteisöille ja kansalaisille. Juhlavuoden tuloksiin kuului muun muassa maaliskuussa 2019 ilmestynyt </w:t>
      </w:r>
      <w:hyperlink r:id="rId32" w:history="1">
        <w:r>
          <w:rPr>
            <w:rStyle w:val="Hyperlink"/>
            <w:rFonts w:ascii="Times New Roman" w:hAnsi="Times New Roman"/>
            <w:bCs/>
            <w:iCs/>
            <w:noProof/>
            <w:color w:val="auto"/>
          </w:rPr>
          <w:t>She Figures 2018</w:t>
        </w:r>
      </w:hyperlink>
      <w:r>
        <w:rPr>
          <w:rFonts w:ascii="Times New Roman" w:hAnsi="Times New Roman"/>
          <w:noProof/>
          <w:vertAlign w:val="superscript"/>
        </w:rPr>
        <w:t xml:space="preserve"> </w:t>
      </w:r>
      <w:r>
        <w:rPr>
          <w:rFonts w:ascii="Times New Roman" w:hAnsi="Times New Roman"/>
          <w:bCs/>
          <w:iCs/>
          <w:noProof/>
        </w:rPr>
        <w:t xml:space="preserve">-julkaisu, toukokuussa jaettu EU:n vuoden 2019 palkinto innovatiivisille naisille sekä uudet hankkeet, joiden tavoitteena oli panna täytäntöön sukupuolten tasa-arvoa koskevat suunnitelmat sekä analysoida sukupuolten välisiä eroja ja sukupuolivinoumaa avustusten myöntämisessä. </w:t>
      </w:r>
    </w:p>
    <w:p>
      <w:pPr>
        <w:jc w:val="both"/>
        <w:rPr>
          <w:rFonts w:ascii="Times New Roman" w:hAnsi="Times New Roman" w:cs="Times New Roman"/>
          <w:noProof/>
        </w:rPr>
      </w:pPr>
      <w:r>
        <w:rPr>
          <w:rFonts w:ascii="Times New Roman" w:hAnsi="Times New Roman"/>
          <w:b/>
          <w:bCs/>
          <w:noProof/>
        </w:rPr>
        <w:t>Marie Skłodowska-Curie -toimet</w:t>
      </w:r>
      <w:r>
        <w:rPr>
          <w:rFonts w:ascii="Times New Roman" w:hAnsi="Times New Roman"/>
          <w:noProof/>
        </w:rPr>
        <w:t xml:space="preserve"> ovat esimerkki parhaista käytännöistä tutkimusta tekevien naisten tukemiseksi ja sukupuolten tasa-arvon edistämiseksi. </w:t>
      </w:r>
      <w:r>
        <w:rPr>
          <w:rFonts w:ascii="Times New Roman" w:hAnsi="Times New Roman"/>
          <w:bCs/>
          <w:noProof/>
        </w:rPr>
        <w:t xml:space="preserve">Marie Skłodowska-Curie -toimiin sisältyy työ- ja yksityiselämän tasapainottamista koskevia sääntöjä, jotka tekevät toimista kiinnostavia erityisesti naisten kannalta ja joiden ansiosta naispuolisten tutkijoiden osuus näihin toimiin osallistuvista on erittäin suuri </w:t>
      </w:r>
      <w:r>
        <w:rPr>
          <w:rFonts w:ascii="Times New Roman" w:hAnsi="Times New Roman"/>
          <w:noProof/>
        </w:rPr>
        <w:t xml:space="preserve">(41 prosenttia kaikista tukea saavista tutkijoista).  </w:t>
      </w:r>
    </w:p>
    <w:p>
      <w:pPr>
        <w:jc w:val="both"/>
        <w:rPr>
          <w:rFonts w:ascii="Times New Roman" w:hAnsi="Times New Roman" w:cs="Times New Roman"/>
          <w:noProof/>
        </w:rPr>
      </w:pPr>
      <w:r>
        <w:rPr>
          <w:rFonts w:ascii="Times New Roman" w:hAnsi="Times New Roman"/>
          <w:noProof/>
        </w:rPr>
        <w:t xml:space="preserve">Komissio julkaisi vuonna 2019 kaksi politiikka-asiakirjaa: </w:t>
      </w:r>
      <w:hyperlink r:id="rId33" w:history="1">
        <w:r>
          <w:rPr>
            <w:rStyle w:val="Hyperlink"/>
            <w:rFonts w:ascii="Times New Roman" w:hAnsi="Times New Roman"/>
            <w:noProof/>
            <w:color w:val="auto"/>
          </w:rPr>
          <w:t>demokratiaa koskevan poliittisen katsauksen</w:t>
        </w:r>
      </w:hyperlink>
      <w:r>
        <w:rPr>
          <w:rFonts w:ascii="Times New Roman" w:hAnsi="Times New Roman"/>
          <w:noProof/>
        </w:rPr>
        <w:t xml:space="preserve">, jossa esitellään muun muassa vaalien kehityssuuntia, poliittista eriarvoisuutta ja polarisaatiota koskevia tutkimustuloksia, ja </w:t>
      </w:r>
      <w:hyperlink r:id="rId34" w:history="1">
        <w:r>
          <w:rPr>
            <w:rStyle w:val="Hyperlink"/>
            <w:rFonts w:ascii="Times New Roman" w:hAnsi="Times New Roman"/>
            <w:noProof/>
            <w:color w:val="auto"/>
          </w:rPr>
          <w:t>kansalaisuutta koskevan katsauksen</w:t>
        </w:r>
      </w:hyperlink>
      <w:r>
        <w:rPr>
          <w:rFonts w:ascii="Times New Roman" w:hAnsi="Times New Roman"/>
          <w:noProof/>
        </w:rPr>
        <w:t xml:space="preserve">, jossa esitellään EU:n kansalaisuuden kehitystä koskevia tutkimustuloksia ja sen tulevaisuudennäkymiä. </w:t>
      </w:r>
    </w:p>
    <w:p>
      <w:pPr>
        <w:jc w:val="both"/>
        <w:rPr>
          <w:rFonts w:ascii="Times New Roman" w:hAnsi="Times New Roman" w:cs="Times New Roman"/>
          <w:noProof/>
          <w:u w:val="single"/>
        </w:rPr>
      </w:pPr>
      <w:r>
        <w:rPr>
          <w:rFonts w:ascii="Times New Roman" w:hAnsi="Times New Roman"/>
          <w:noProof/>
          <w:u w:val="single"/>
        </w:rPr>
        <w:t xml:space="preserve">Hyvinvointi </w:t>
      </w:r>
    </w:p>
    <w:p>
      <w:pPr>
        <w:jc w:val="both"/>
        <w:rPr>
          <w:rFonts w:ascii="Times New Roman" w:hAnsi="Times New Roman" w:cs="Times New Roman"/>
          <w:noProof/>
        </w:rPr>
      </w:pPr>
      <w:r>
        <w:rPr>
          <w:rFonts w:ascii="Times New Roman" w:hAnsi="Times New Roman"/>
          <w:noProof/>
        </w:rPr>
        <w:t xml:space="preserve">Vuoden 2019 </w:t>
      </w:r>
      <w:r>
        <w:rPr>
          <w:rFonts w:ascii="Times New Roman" w:hAnsi="Times New Roman"/>
          <w:b/>
          <w:noProof/>
        </w:rPr>
        <w:t>EU Industrial R&amp;D Investment Scoreboard</w:t>
      </w:r>
      <w:r>
        <w:rPr>
          <w:rFonts w:ascii="Times New Roman" w:hAnsi="Times New Roman"/>
          <w:noProof/>
        </w:rPr>
        <w:t xml:space="preserve"> -tulostaulussa tarkastellaan tärkeimpiä muutoksia yritysten tutkimus- ja kehitysindikaattoreissa ja taloudellisissa indikaattoreissa edellisen vuoden aikana ja niiden tuloksia viimeksi kuluneiden kymmenen vuoden aikana. Lisäksi siinä selvitetään patentteihin perustuvien analyysien avulla tarkemmin terveysalan tutkimus- ja kehitystoiminnan tehokkuutta sekä tulostaulussa mukana olevien yritysten ympäristöteknologiaan liittyvää toimintaa. </w:t>
      </w:r>
    </w:p>
    <w:p>
      <w:pPr>
        <w:jc w:val="both"/>
        <w:rPr>
          <w:rFonts w:ascii="Times New Roman" w:hAnsi="Times New Roman" w:cs="Times New Roman"/>
          <w:noProof/>
        </w:rPr>
      </w:pPr>
      <w:r>
        <w:rPr>
          <w:rFonts w:ascii="Times New Roman" w:hAnsi="Times New Roman"/>
          <w:noProof/>
        </w:rPr>
        <w:t xml:space="preserve">Toukokuussa 2019 julkaistiin </w:t>
      </w:r>
      <w:hyperlink r:id="rId35" w:history="1">
        <w:r>
          <w:rPr>
            <w:rStyle w:val="Hyperlink"/>
            <w:rFonts w:ascii="Times New Roman" w:hAnsi="Times New Roman"/>
            <w:noProof/>
            <w:color w:val="auto"/>
          </w:rPr>
          <w:t>teknologisia infrastruktuureja koskeva komission yksiköiden valmisteluasiakirja</w:t>
        </w:r>
      </w:hyperlink>
      <w:r>
        <w:rPr>
          <w:rFonts w:ascii="Times New Roman" w:hAnsi="Times New Roman"/>
          <w:noProof/>
        </w:rPr>
        <w:t xml:space="preserve"> osana </w:t>
      </w:r>
      <w:r>
        <w:rPr>
          <w:rFonts w:ascii="Times New Roman" w:hAnsi="Times New Roman"/>
          <w:b/>
          <w:noProof/>
        </w:rPr>
        <w:t>avoimeen innovointiin liittyvän koeympäristökonseptin</w:t>
      </w:r>
      <w:r>
        <w:rPr>
          <w:rFonts w:ascii="Times New Roman" w:hAnsi="Times New Roman"/>
          <w:noProof/>
        </w:rPr>
        <w:t xml:space="preserve"> kehittämistä. Konseptin tarkoituksena on helpottaa pk-yritysten ja innovaattoreiden mahdollisuuksia tuoda markkinoille uusia tuotteita. Konseptia markkinoitiin Boosting Innovation Tour -tiedonlevitystapahtumissa neljässä laajenevasti osallistuvassa maassa (Slovenia, Viro, Romania ja Tšekki).</w:t>
      </w:r>
    </w:p>
    <w:p>
      <w:pPr>
        <w:jc w:val="both"/>
        <w:rPr>
          <w:rFonts w:ascii="Times New Roman" w:hAnsi="Times New Roman" w:cs="Times New Roman"/>
          <w:noProof/>
        </w:rPr>
      </w:pPr>
      <w:r>
        <w:rPr>
          <w:rFonts w:ascii="Times New Roman" w:hAnsi="Times New Roman"/>
          <w:b/>
          <w:noProof/>
        </w:rPr>
        <w:t>Euroopan suurteholaskennan yhteisyritys</w:t>
      </w:r>
      <w:r>
        <w:rPr>
          <w:rFonts w:ascii="Times New Roman" w:hAnsi="Times New Roman"/>
          <w:noProof/>
        </w:rPr>
        <w:t xml:space="preserve"> (</w:t>
      </w:r>
      <w:hyperlink r:id="rId36" w:history="1">
        <w:r>
          <w:rPr>
            <w:rStyle w:val="Hyperlink"/>
            <w:rFonts w:ascii="Times New Roman" w:hAnsi="Times New Roman"/>
            <w:noProof/>
            <w:color w:val="auto"/>
          </w:rPr>
          <w:t>EuroHPC-yhteisyritys</w:t>
        </w:r>
      </w:hyperlink>
      <w:r>
        <w:rPr>
          <w:rFonts w:ascii="Times New Roman" w:hAnsi="Times New Roman"/>
          <w:noProof/>
        </w:rPr>
        <w:t xml:space="preserve">) valitsi kahdeksan supertietokonekeskusten sijoituspaikkaa, mikä on merkittävä askel pyrittäessä tekemään Euroopasta johtava alue suurteholaskennan alalla. Keskukset tulevat tukemaan muun muassa yksilöllistettyyn hoitoon, lääke- ja materiaalisuunnitteluun, biotekniikkaan, sääennusteisiin ja ilmastonmuutokseen liittyvien tärkeiden sovellusten kehittämistä. </w:t>
      </w:r>
    </w:p>
    <w:p>
      <w:pPr>
        <w:jc w:val="both"/>
        <w:rPr>
          <w:rFonts w:ascii="Times New Roman" w:hAnsi="Times New Roman" w:cs="Times New Roman"/>
          <w:noProof/>
        </w:rPr>
      </w:pPr>
      <w:r>
        <w:rPr>
          <w:rFonts w:ascii="Times New Roman" w:hAnsi="Times New Roman"/>
          <w:noProof/>
        </w:rPr>
        <w:t xml:space="preserve">Komissio helpottaa ja lisää </w:t>
      </w:r>
      <w:r>
        <w:rPr>
          <w:rFonts w:ascii="Times New Roman" w:hAnsi="Times New Roman"/>
          <w:b/>
          <w:noProof/>
        </w:rPr>
        <w:t xml:space="preserve">tekoälyyn </w:t>
      </w:r>
      <w:r>
        <w:rPr>
          <w:rFonts w:ascii="Times New Roman" w:hAnsi="Times New Roman"/>
          <w:noProof/>
        </w:rPr>
        <w:t xml:space="preserve">liittyvää yhteistyötä kaikkialla EU:ssa kilpailukyvyn parantamiseksi ja EU:n arvoihin perustuvan luottamuksen varmistamiseksi. Euroopan tekoälystrategian mukaisesti perustettu </w:t>
      </w:r>
      <w:hyperlink r:id="rId37" w:history="1">
        <w:r>
          <w:rPr>
            <w:rStyle w:val="Hyperlink"/>
            <w:rFonts w:ascii="Times New Roman" w:hAnsi="Times New Roman"/>
            <w:noProof/>
            <w:color w:val="auto"/>
          </w:rPr>
          <w:t>tekoälyä käsittelevä korkean tason asiantuntijaryhmä</w:t>
        </w:r>
      </w:hyperlink>
      <w:r>
        <w:rPr>
          <w:rFonts w:ascii="Times New Roman" w:hAnsi="Times New Roman"/>
          <w:noProof/>
        </w:rPr>
        <w:t xml:space="preserve"> esitteli </w:t>
      </w:r>
      <w:hyperlink r:id="rId38" w:history="1">
        <w:r>
          <w:rPr>
            <w:rStyle w:val="Hyperlink"/>
            <w:rFonts w:ascii="Times New Roman" w:hAnsi="Times New Roman"/>
            <w:noProof/>
            <w:color w:val="auto"/>
          </w:rPr>
          <w:t>luotettavaa tekoälyä koskevat eettiset ohjeet</w:t>
        </w:r>
      </w:hyperlink>
      <w:r>
        <w:rPr>
          <w:rFonts w:ascii="Times New Roman" w:hAnsi="Times New Roman"/>
          <w:noProof/>
        </w:rPr>
        <w:t xml:space="preserve"> huhtikuussa 2019. Komissio julkisti myös pilottihankkeen parantaakseen luetteloa kysymyksistä, jotka auttavat organisaatioita noudattamaan näitä ohjeita.</w:t>
      </w:r>
    </w:p>
    <w:p>
      <w:pPr>
        <w:jc w:val="both"/>
        <w:rPr>
          <w:rFonts w:ascii="Times New Roman" w:hAnsi="Times New Roman" w:cs="Times New Roman"/>
          <w:noProof/>
        </w:rPr>
      </w:pPr>
      <w:r>
        <w:rPr>
          <w:rFonts w:ascii="Times New Roman" w:hAnsi="Times New Roman"/>
          <w:noProof/>
        </w:rPr>
        <w:t xml:space="preserve">Teollisuusteknologioita käsittelevä korkean tason strategiaryhmä julkaisi </w:t>
      </w:r>
      <w:hyperlink r:id="rId39" w:history="1">
        <w:r>
          <w:rPr>
            <w:rStyle w:val="Hyperlink"/>
            <w:rFonts w:ascii="Times New Roman" w:hAnsi="Times New Roman"/>
            <w:noProof/>
            <w:color w:val="auto"/>
          </w:rPr>
          <w:t>keskeisiä mahdollistavia teknologioita koskevan poliittisen lähestymistapansa</w:t>
        </w:r>
      </w:hyperlink>
      <w:r>
        <w:rPr>
          <w:rFonts w:ascii="Times New Roman" w:hAnsi="Times New Roman"/>
          <w:noProof/>
        </w:rPr>
        <w:t xml:space="preserve">, jossa se validoi kuusi vuonna 2009 määritettyä keskeistä mahdollistavaa teknologiaa ja ehdotti kahden uuden keskeisen mahdollistavan teknologian – tekoäly sekä digitaalinen turvallisuus ja liitettävyys – lisäämistä. </w:t>
      </w:r>
    </w:p>
    <w:p>
      <w:pPr>
        <w:jc w:val="both"/>
        <w:rPr>
          <w:rFonts w:ascii="Times New Roman" w:hAnsi="Times New Roman" w:cs="Times New Roman"/>
          <w:b/>
          <w:noProof/>
          <w:u w:val="single"/>
        </w:rPr>
      </w:pPr>
      <w:r>
        <w:rPr>
          <w:rFonts w:ascii="Times New Roman" w:hAnsi="Times New Roman"/>
          <w:noProof/>
          <w:u w:val="single"/>
        </w:rPr>
        <w:t>Kansainvälinen yhteistyö</w:t>
      </w:r>
      <w:r>
        <w:rPr>
          <w:rFonts w:ascii="Times New Roman" w:hAnsi="Times New Roman"/>
          <w:b/>
          <w:noProof/>
          <w:u w:val="single"/>
        </w:rPr>
        <w:t xml:space="preserve"> </w:t>
      </w:r>
    </w:p>
    <w:p>
      <w:pPr>
        <w:jc w:val="both"/>
        <w:rPr>
          <w:rFonts w:ascii="Times New Roman" w:hAnsi="Times New Roman" w:cs="Times New Roman"/>
          <w:noProof/>
        </w:rPr>
      </w:pPr>
      <w:r>
        <w:rPr>
          <w:rFonts w:ascii="Times New Roman" w:hAnsi="Times New Roman"/>
          <w:noProof/>
        </w:rPr>
        <w:t>EU:n kansainvälinen T&amp;I-yhteistyö oli edelleen keskeisellä sijalla pyrittäessä säilyttämään EU vaikutusvaltainen asema alan maailmanlaajuisena johtajana ja ylläpitämään EU:n kilpailukykyä. Vuonna 2019 jatkettiin työtä strategisten kumppaneiden ja alueiden kanssa tehtävän yhteistyön lisäämiseksi EU:n etujen mukaisesti ja molemminpuolisen hyödyn pohjalta. Komissio analysoi tässä yhteydessä perusteellisesti kansainvälisen T&amp;I-yhteistyön strategiaansa parantaakseen sitä niin, että se kuvastaisi paremmin geopoliittista ympäristöä ja auttaisi komission poliittisten painopisteiden toteutumisessa. Analyysi tehtiin samaan aikaan useiden kolmansien maiden ja alueiden kanssa järjestettyjen aloitteiden ja tapahtumien kanssa.</w:t>
      </w:r>
    </w:p>
    <w:p>
      <w:pPr>
        <w:jc w:val="both"/>
        <w:rPr>
          <w:rFonts w:ascii="Times New Roman" w:hAnsi="Times New Roman" w:cs="Times New Roman"/>
          <w:noProof/>
        </w:rPr>
      </w:pPr>
      <w:r>
        <w:rPr>
          <w:rFonts w:ascii="Times New Roman" w:hAnsi="Times New Roman"/>
          <w:noProof/>
        </w:rPr>
        <w:t>Horisontti 2020 -puiteohjelmaan assosioituneiden maiden kanssa pidettiin tärkeitä kokouksia, muun muassa Länsi-Balkanin alueen T&amp;I-ohjausfoorumin ministerikokous, vuotuinen T&amp;I-konferenssi ja itäisen kumppanuuden T&amp;I-paneeli. Tel Aviviin perustettiin Euroopan innovaatio- ja teknologiainstituutin (EIT) keskus, joka toimii siltana eurooppalaisten ja israelilaisten innovaattoreiden välillä. Kolmansien maiden assosioitumista Horisontti Eurooppa -puiteohjelmaan valmisteltiin kehittämällä tulevan assosiaatiosopimuksen keskeisiä osia.</w:t>
      </w:r>
    </w:p>
    <w:p>
      <w:pPr>
        <w:jc w:val="both"/>
        <w:rPr>
          <w:rFonts w:ascii="Times New Roman" w:hAnsi="Times New Roman" w:cs="Times New Roman"/>
          <w:noProof/>
        </w:rPr>
      </w:pPr>
      <w:r>
        <w:rPr>
          <w:rFonts w:ascii="Times New Roman" w:hAnsi="Times New Roman"/>
          <w:noProof/>
        </w:rPr>
        <w:t>Komissio alkoi laatia T&amp;I-yhteistyötä koskevaa yhteistä etenemissuunnitelmaa EU:n ja Kiinan neljännen innovaatioyhteistyötä käsittelevän vuoropuhelun pohjalta. Suunnitelman on määrä valmistua seuraavan vuoropuhelun aikaan vuonna 2020.</w:t>
      </w:r>
    </w:p>
    <w:p>
      <w:pPr>
        <w:jc w:val="both"/>
        <w:rPr>
          <w:rFonts w:ascii="Times New Roman" w:hAnsi="Times New Roman" w:cs="Times New Roman"/>
          <w:noProof/>
          <w:u w:val="single"/>
        </w:rPr>
      </w:pPr>
      <w:r>
        <w:rPr>
          <w:rFonts w:ascii="Times New Roman" w:hAnsi="Times New Roman"/>
          <w:noProof/>
        </w:rPr>
        <w:t xml:space="preserve">Afrikan kanssa tehtävässä yhteistyössä käynnistettiin Afrikan ja Euroopan innovaatiokumppanuus, jonka tavoitteena on tuoda yhteen EU:ssa ja Afrikan unionissa toimivia innovaatiokeskuksia, -kiihdyttämöjä ja -hautomoja. Innovaatioyhteisöt suhtautuvat aloitteeseen erittäin myönteisesti, minkä osoittavat kumppanuuden puitteissa sovitut lukuisat, enimmäkseen viralliset kumppanuudet EU:ssa ja Afrikassa toimivien hautomoiden ja teknologiakeskusten välillä. </w:t>
      </w:r>
      <w:r>
        <w:rPr>
          <w:rFonts w:ascii="Times New Roman" w:hAnsi="Times New Roman"/>
          <w:noProof/>
          <w:u w:val="single"/>
        </w:rPr>
        <w:t xml:space="preserve">Avoin tiede </w:t>
      </w:r>
    </w:p>
    <w:p>
      <w:pPr>
        <w:jc w:val="both"/>
        <w:rPr>
          <w:rFonts w:ascii="Times New Roman" w:hAnsi="Times New Roman" w:cs="Times New Roman"/>
          <w:noProof/>
        </w:rPr>
      </w:pPr>
      <w:r>
        <w:rPr>
          <w:rFonts w:ascii="Times New Roman" w:hAnsi="Times New Roman"/>
          <w:noProof/>
        </w:rPr>
        <w:t xml:space="preserve">Komissio perusti vuonna 2019 </w:t>
      </w:r>
      <w:hyperlink r:id="rId40" w:history="1">
        <w:r>
          <w:rPr>
            <w:rStyle w:val="Hyperlink"/>
            <w:rFonts w:ascii="Times New Roman" w:hAnsi="Times New Roman"/>
            <w:noProof/>
            <w:color w:val="auto"/>
          </w:rPr>
          <w:t>eurooppalaisten avoimen tieteen pilvipalvelujen</w:t>
        </w:r>
      </w:hyperlink>
      <w:r>
        <w:rPr>
          <w:rFonts w:ascii="Times New Roman" w:hAnsi="Times New Roman"/>
          <w:noProof/>
        </w:rPr>
        <w:t xml:space="preserve"> virallisen hallintojärjestelmän, jonka tarkoituksena on ohjata toteutuksen alkuvaihetta (2019–2020).</w:t>
      </w:r>
    </w:p>
    <w:p>
      <w:pPr>
        <w:jc w:val="both"/>
        <w:rPr>
          <w:rFonts w:ascii="Times New Roman" w:hAnsi="Times New Roman" w:cs="Times New Roman"/>
          <w:noProof/>
        </w:rPr>
      </w:pPr>
      <w:r>
        <w:rPr>
          <w:rFonts w:ascii="Times New Roman" w:hAnsi="Times New Roman"/>
          <w:noProof/>
        </w:rPr>
        <w:t xml:space="preserve">Vuonna 2019 annettiin (i) </w:t>
      </w:r>
      <w:hyperlink r:id="rId41" w:history="1">
        <w:r>
          <w:rPr>
            <w:rStyle w:val="Hyperlink"/>
            <w:rFonts w:ascii="Times New Roman" w:hAnsi="Times New Roman"/>
            <w:noProof/>
            <w:color w:val="auto"/>
          </w:rPr>
          <w:t>avointa dataa ja julkisen sektorin hallussa olevien tietojen uudelleenkäyttöä koskeva direktiivi</w:t>
        </w:r>
      </w:hyperlink>
      <w:r>
        <w:rPr>
          <w:rFonts w:ascii="Times New Roman" w:hAnsi="Times New Roman"/>
          <w:noProof/>
        </w:rPr>
        <w:t xml:space="preserve">, jota laajennettiin koskemaan tutkimustietoa, sekä (ii) </w:t>
      </w:r>
      <w:hyperlink r:id="rId42" w:history="1">
        <w:r>
          <w:rPr>
            <w:rStyle w:val="Hyperlink"/>
            <w:rFonts w:ascii="Times New Roman" w:hAnsi="Times New Roman"/>
            <w:noProof/>
            <w:color w:val="auto"/>
          </w:rPr>
          <w:t>tekijänoikeutta ja lähioikeuksia digitaalisilla sisämarkkinoilla koskeva direktiivi</w:t>
        </w:r>
      </w:hyperlink>
      <w:r>
        <w:rPr>
          <w:rFonts w:ascii="Times New Roman" w:hAnsi="Times New Roman"/>
          <w:noProof/>
        </w:rPr>
        <w:t>, jossa vahvistetaan tutkimusystävälliset säännöt tekstin- ja tiedonlouhinnalle.</w:t>
      </w:r>
    </w:p>
    <w:p>
      <w:pPr>
        <w:jc w:val="both"/>
        <w:rPr>
          <w:rFonts w:ascii="Times New Roman" w:hAnsi="Times New Roman" w:cs="Times New Roman"/>
          <w:noProof/>
        </w:rPr>
      </w:pPr>
      <w:r>
        <w:rPr>
          <w:rFonts w:ascii="Times New Roman" w:hAnsi="Times New Roman"/>
          <w:b/>
          <w:noProof/>
        </w:rPr>
        <w:t>Open Science Policy Platform</w:t>
      </w:r>
      <w:r>
        <w:rPr>
          <w:rFonts w:ascii="Times New Roman" w:hAnsi="Times New Roman"/>
          <w:noProof/>
        </w:rPr>
        <w:t xml:space="preserve"> -asiantuntijaryhmä keskittyi vuonna 2019 palkitsemis- ja kannustinjärjestelmään, avoimen tieteen indikaattoreihin ja kansalaistieteeseen. Ryhmä julkaisi </w:t>
      </w:r>
      <w:hyperlink r:id="rId43" w:history="1">
        <w:r>
          <w:rPr>
            <w:rStyle w:val="Hyperlink"/>
            <w:rFonts w:ascii="Times New Roman" w:hAnsi="Times New Roman"/>
            <w:noProof/>
            <w:color w:val="auto"/>
          </w:rPr>
          <w:t>raportin</w:t>
        </w:r>
      </w:hyperlink>
      <w:r>
        <w:rPr>
          <w:rFonts w:ascii="Times New Roman" w:hAnsi="Times New Roman"/>
          <w:noProof/>
        </w:rPr>
        <w:t>, jossa suositellaan avoimia kokeellisia pilottihankkeita ja lisähuomion kiinnittämästä tutkimusarvioinnin laadun parantamiseen.</w:t>
      </w:r>
    </w:p>
    <w:p>
      <w:pPr>
        <w:jc w:val="both"/>
        <w:rPr>
          <w:rFonts w:ascii="Times New Roman" w:hAnsi="Times New Roman" w:cs="Times New Roman"/>
          <w:noProof/>
        </w:rPr>
      </w:pPr>
      <w:r>
        <w:rPr>
          <w:rFonts w:ascii="Times New Roman" w:hAnsi="Times New Roman"/>
          <w:b/>
          <w:i/>
          <w:noProof/>
        </w:rPr>
        <w:t>3.3 Kumppanuus jäsenvaltioiden kanssa</w:t>
      </w:r>
    </w:p>
    <w:p>
      <w:pPr>
        <w:jc w:val="both"/>
        <w:rPr>
          <w:rFonts w:ascii="Times New Roman" w:hAnsi="Times New Roman" w:cs="Times New Roman"/>
          <w:noProof/>
        </w:rPr>
      </w:pPr>
      <w:r>
        <w:rPr>
          <w:rFonts w:ascii="Times New Roman" w:hAnsi="Times New Roman"/>
          <w:noProof/>
        </w:rPr>
        <w:t>Komissio julkaisi helmikuussa 2019</w:t>
      </w:r>
      <w:hyperlink r:id="rId44" w:history="1">
        <w:r>
          <w:rPr>
            <w:rStyle w:val="Hyperlink"/>
            <w:rFonts w:ascii="Times New Roman" w:hAnsi="Times New Roman"/>
            <w:b/>
            <w:noProof/>
            <w:color w:val="auto"/>
          </w:rPr>
          <w:t xml:space="preserve"> </w:t>
        </w:r>
        <w:r>
          <w:rPr>
            <w:rStyle w:val="Hyperlink"/>
            <w:rFonts w:ascii="Times New Roman" w:hAnsi="Times New Roman"/>
            <w:noProof/>
            <w:color w:val="auto"/>
          </w:rPr>
          <w:t>eurooppalaisen tutkimusalueen (ERA) edistymistä koskevan vuoden 2018 kertomuksen</w:t>
        </w:r>
      </w:hyperlink>
      <w:r>
        <w:rPr>
          <w:rFonts w:ascii="Times New Roman" w:hAnsi="Times New Roman"/>
          <w:noProof/>
        </w:rPr>
        <w:t>, jossa arvioidaan ERA:n nykytilaa ja sen täytäntöönpanon edistymistä vuosina 2016–2018. Kesäkuussa 2019 jäsenvaltiot ja komissio tekivät yhteistyötä eurooppalaisen tutkimusalueen ja innovoinnin komitean perustamassa tilapäisryhmässä, jonka tehtävänä oli antaa neuvoja ERA:n tulevaisuudesta ja uudelleenkäynnistämisestä. Ryhmän loppuraportti hyväksyttiin joulukuussa 2019 neuvoston valmisteluasiakirjana.</w:t>
      </w:r>
    </w:p>
    <w:p>
      <w:pPr>
        <w:jc w:val="both"/>
        <w:rPr>
          <w:rFonts w:ascii="Times New Roman" w:hAnsi="Times New Roman" w:cs="Times New Roman"/>
          <w:noProof/>
        </w:rPr>
      </w:pPr>
      <w:r>
        <w:rPr>
          <w:rFonts w:ascii="Times New Roman" w:hAnsi="Times New Roman"/>
          <w:noProof/>
        </w:rPr>
        <w:t>Syksyllä 2019 komissio alkoi yhteistyössä yliopistojen, tiedeyhteisön ja jäsenvaltioiden kanssa kehittää yliopistojen tulevaisuutta koskevan yhteisen vision tutkimus- ja innovaatioulottuvuutta, mikä täydentää meneillään olevaa koulutusulottuvuutta koskevaa työtä. Yhteistyön tulokset otetaan huomioon ERA:n elvyttämistä koskevassa komission tiedonannossa, ja ne vahvistavat yhteyksiä eurooppalaiseen koulutusalueeseen (ks. 7 luku).</w:t>
      </w:r>
    </w:p>
    <w:p>
      <w:pPr>
        <w:jc w:val="both"/>
        <w:rPr>
          <w:rFonts w:ascii="Times New Roman" w:hAnsi="Times New Roman" w:cs="Times New Roman"/>
          <w:noProof/>
        </w:rPr>
      </w:pPr>
      <w:r>
        <w:rPr>
          <w:rFonts w:ascii="Times New Roman" w:hAnsi="Times New Roman"/>
          <w:noProof/>
        </w:rPr>
        <w:t xml:space="preserve">Osana </w:t>
      </w:r>
      <w:r>
        <w:rPr>
          <w:rFonts w:ascii="Times New Roman" w:hAnsi="Times New Roman"/>
          <w:b/>
          <w:noProof/>
        </w:rPr>
        <w:t xml:space="preserve">talouspolitiikan EU-ohjausjaksoa </w:t>
      </w:r>
      <w:r>
        <w:rPr>
          <w:rFonts w:ascii="Times New Roman" w:hAnsi="Times New Roman"/>
          <w:noProof/>
        </w:rPr>
        <w:t xml:space="preserve">komissio julkaisi kutakin jäsenvaltiota koskevat vuoden 2019 </w:t>
      </w:r>
      <w:hyperlink r:id="rId45" w:history="1">
        <w:r>
          <w:rPr>
            <w:rStyle w:val="Hyperlink"/>
            <w:rFonts w:ascii="Times New Roman" w:hAnsi="Times New Roman"/>
            <w:noProof/>
            <w:color w:val="auto"/>
          </w:rPr>
          <w:t>maaraportit</w:t>
        </w:r>
      </w:hyperlink>
      <w:r>
        <w:rPr>
          <w:rFonts w:ascii="Times New Roman" w:hAnsi="Times New Roman"/>
          <w:noProof/>
        </w:rPr>
        <w:t xml:space="preserve">. Kaikki jäsenvaltiot saivat vuonna 2019 ensimmäistä kertaa </w:t>
      </w:r>
      <w:hyperlink r:id="rId46" w:history="1">
        <w:r>
          <w:rPr>
            <w:rStyle w:val="Hyperlink"/>
            <w:rFonts w:ascii="Times New Roman" w:hAnsi="Times New Roman"/>
            <w:noProof/>
            <w:color w:val="auto"/>
          </w:rPr>
          <w:t>maakohtaisen suosituksen</w:t>
        </w:r>
      </w:hyperlink>
      <w:r>
        <w:rPr>
          <w:rFonts w:ascii="Times New Roman" w:hAnsi="Times New Roman"/>
          <w:noProof/>
        </w:rPr>
        <w:t>, jossa kehotetaan keskittämään investointeja tutkimukseen ja innovointiin.</w:t>
      </w:r>
      <w:r>
        <w:rPr>
          <w:rFonts w:ascii="Times New Roman" w:hAnsi="Times New Roman" w:cs="Times New Roman"/>
          <w:noProof/>
          <w:vertAlign w:val="superscript"/>
        </w:rPr>
        <w:footnoteReference w:id="2"/>
      </w:r>
      <w:r>
        <w:rPr>
          <w:rFonts w:ascii="Times New Roman" w:hAnsi="Times New Roman"/>
          <w:noProof/>
        </w:rPr>
        <w:t xml:space="preserve"> Lisäksi useat jäsenvaltiot saivat maakohtaisia suosituksia, joissa kehotetaan toteuttamaan erityisiä poliittisia uudistuksia kansallisten T&amp;I-järjestelmien laadun ja tehokkuuden parantamiseksi. Joulukuussa 2019 julkaistussa </w:t>
      </w:r>
      <w:r>
        <w:rPr>
          <w:rFonts w:ascii="Times New Roman" w:hAnsi="Times New Roman"/>
          <w:b/>
          <w:noProof/>
        </w:rPr>
        <w:t>vuotuisessa kasvuselvityspaketissa</w:t>
      </w:r>
      <w:r>
        <w:rPr>
          <w:rFonts w:ascii="Times New Roman" w:hAnsi="Times New Roman"/>
          <w:noProof/>
        </w:rPr>
        <w:t xml:space="preserve"> korostettiin tutkimuksen ja innovoinnin keskeistä merkitystä EU:n siirtymisessä kestävään talouteen.</w:t>
      </w:r>
      <w:r>
        <w:rPr>
          <w:rFonts w:ascii="Times New Roman" w:hAnsi="Times New Roman"/>
          <w:i/>
          <w:noProof/>
        </w:rPr>
        <w:t xml:space="preserve"> </w:t>
      </w:r>
    </w:p>
    <w:p>
      <w:pPr>
        <w:jc w:val="both"/>
        <w:rPr>
          <w:rFonts w:ascii="Times New Roman" w:hAnsi="Times New Roman" w:cs="Times New Roman"/>
          <w:i/>
          <w:noProof/>
        </w:rPr>
      </w:pPr>
      <w:r>
        <w:rPr>
          <w:rFonts w:ascii="Times New Roman" w:hAnsi="Times New Roman"/>
          <w:b/>
          <w:bCs/>
          <w:noProof/>
        </w:rPr>
        <w:t>Toimintapolitiikan tukijärjestelyllä</w:t>
      </w:r>
      <w:r>
        <w:rPr>
          <w:rFonts w:ascii="Times New Roman" w:hAnsi="Times New Roman"/>
          <w:bCs/>
          <w:noProof/>
        </w:rPr>
        <w:t xml:space="preserve"> tuettiin useita jäsenvaltioita muun muassa seuraavin toimin: Viron ja Tanskan T&amp;I-järjestelmän vertaisarviointi, erityistuki Kyprokselle, Latvialle ja Maltalle sekä tutkimusetiikkaa ja kansainvälistä yhteistyötä koskevat keskinäisen oppimisen toimet.</w:t>
      </w:r>
      <w:r>
        <w:rPr>
          <w:rFonts w:ascii="Times New Roman" w:hAnsi="Times New Roman" w:cs="Times New Roman"/>
          <w:bCs/>
          <w:noProof/>
          <w:vertAlign w:val="superscript"/>
        </w:rPr>
        <w:footnoteReference w:id="3"/>
      </w:r>
      <w:r>
        <w:rPr>
          <w:rFonts w:ascii="Times New Roman" w:hAnsi="Times New Roman"/>
          <w:bCs/>
          <w:noProof/>
        </w:rPr>
        <w:t xml:space="preserve">  Meneillään oleva </w:t>
      </w:r>
      <w:r>
        <w:rPr>
          <w:rFonts w:ascii="Times New Roman" w:hAnsi="Times New Roman"/>
          <w:b/>
          <w:bCs/>
          <w:noProof/>
        </w:rPr>
        <w:t>Forward-hanke</w:t>
      </w:r>
      <w:r>
        <w:rPr>
          <w:rFonts w:ascii="Times New Roman" w:hAnsi="Times New Roman"/>
          <w:bCs/>
          <w:noProof/>
        </w:rPr>
        <w:t xml:space="preserve"> on osa </w:t>
      </w:r>
      <w:r>
        <w:rPr>
          <w:rFonts w:ascii="Times New Roman" w:hAnsi="Times New Roman"/>
          <w:b/>
          <w:bCs/>
          <w:noProof/>
        </w:rPr>
        <w:t>EU:n uutta syrjäisimpiä alueita koskevaa strategiaa</w:t>
      </w:r>
      <w:r>
        <w:rPr>
          <w:rFonts w:ascii="Times New Roman" w:hAnsi="Times New Roman"/>
          <w:bCs/>
          <w:noProof/>
        </w:rPr>
        <w:t>.</w:t>
      </w:r>
    </w:p>
    <w:p>
      <w:pPr>
        <w:jc w:val="both"/>
        <w:rPr>
          <w:rFonts w:ascii="Times New Roman" w:hAnsi="Times New Roman" w:cs="Times New Roman"/>
          <w:noProof/>
        </w:rPr>
      </w:pPr>
      <w:r>
        <w:rPr>
          <w:rFonts w:ascii="Times New Roman" w:hAnsi="Times New Roman"/>
          <w:noProof/>
        </w:rPr>
        <w:t>Johtavien tieteellisten neuvonantajien ryhmä (</w:t>
      </w:r>
      <w:r>
        <w:rPr>
          <w:rFonts w:ascii="Times New Roman" w:hAnsi="Times New Roman"/>
          <w:b/>
          <w:bCs/>
          <w:noProof/>
        </w:rPr>
        <w:t>Group of</w:t>
      </w:r>
      <w:r>
        <w:rPr>
          <w:rFonts w:ascii="Times New Roman" w:hAnsi="Times New Roman"/>
          <w:noProof/>
        </w:rPr>
        <w:t xml:space="preserve"> </w:t>
      </w:r>
      <w:r>
        <w:rPr>
          <w:rFonts w:ascii="Times New Roman" w:hAnsi="Times New Roman"/>
          <w:b/>
          <w:noProof/>
        </w:rPr>
        <w:t>Chief Scientific Advisors</w:t>
      </w:r>
      <w:r>
        <w:rPr>
          <w:rFonts w:ascii="Times New Roman" w:hAnsi="Times New Roman"/>
          <w:noProof/>
        </w:rPr>
        <w:t xml:space="preserve">) antoi tieteellistä neuvontaa </w:t>
      </w:r>
      <w:hyperlink r:id="rId47" w:history="1">
        <w:r>
          <w:rPr>
            <w:rStyle w:val="Hyperlink"/>
            <w:rFonts w:ascii="Times New Roman" w:hAnsi="Times New Roman"/>
            <w:noProof/>
            <w:color w:val="auto"/>
          </w:rPr>
          <w:t>mikromuovisaasteiden riskeistä</w:t>
        </w:r>
      </w:hyperlink>
      <w:r>
        <w:rPr>
          <w:rFonts w:ascii="Times New Roman" w:hAnsi="Times New Roman"/>
          <w:noProof/>
        </w:rPr>
        <w:t xml:space="preserve"> ja </w:t>
      </w:r>
      <w:hyperlink r:id="rId48" w:history="1">
        <w:r>
          <w:rPr>
            <w:rStyle w:val="Hyperlink"/>
            <w:rFonts w:ascii="Times New Roman" w:hAnsi="Times New Roman"/>
            <w:noProof/>
            <w:color w:val="auto"/>
          </w:rPr>
          <w:t>tieteellisen neuvonnan antamista koskevista parhaista käytännöistä</w:t>
        </w:r>
      </w:hyperlink>
      <w:r>
        <w:rPr>
          <w:rFonts w:ascii="Times New Roman" w:hAnsi="Times New Roman"/>
          <w:noProof/>
        </w:rPr>
        <w:t xml:space="preserve">. Neuvonantajien työn vaikutuksista on tarkempaa tietoa </w:t>
      </w:r>
      <w:hyperlink r:id="rId49" w:history="1">
        <w:r>
          <w:rPr>
            <w:rStyle w:val="Hyperlink"/>
            <w:rFonts w:ascii="Times New Roman" w:hAnsi="Times New Roman"/>
            <w:noProof/>
            <w:color w:val="auto"/>
          </w:rPr>
          <w:t>johtavien tieteellisten neuvonantajien ryhmän työtä vuosina 2015–2019 käsittelevässä raportissa</w:t>
        </w:r>
      </w:hyperlink>
      <w:r>
        <w:rPr>
          <w:rFonts w:ascii="Times New Roman" w:hAnsi="Times New Roman"/>
          <w:noProof/>
        </w:rPr>
        <w:t xml:space="preserve">. </w:t>
      </w:r>
    </w:p>
    <w:p>
      <w:pPr>
        <w:jc w:val="both"/>
        <w:rPr>
          <w:rFonts w:ascii="Times New Roman" w:hAnsi="Times New Roman" w:cs="Times New Roman"/>
          <w:noProof/>
        </w:rPr>
      </w:pPr>
    </w:p>
    <w:p>
      <w:pPr>
        <w:jc w:val="both"/>
        <w:rPr>
          <w:rFonts w:ascii="Times New Roman" w:hAnsi="Times New Roman" w:cs="Times New Roman"/>
          <w:b/>
          <w:noProof/>
        </w:rPr>
      </w:pPr>
      <w:r>
        <w:rPr>
          <w:rFonts w:ascii="Times New Roman" w:hAnsi="Times New Roman"/>
          <w:b/>
          <w:noProof/>
        </w:rPr>
        <w:t>4.</w:t>
      </w:r>
      <w:r>
        <w:rPr>
          <w:noProof/>
        </w:rPr>
        <w:tab/>
      </w:r>
      <w:r>
        <w:rPr>
          <w:rFonts w:ascii="Times New Roman" w:hAnsi="Times New Roman"/>
          <w:b/>
          <w:noProof/>
        </w:rPr>
        <w:t>Horisontti 2020 -puiteohjelman toteuttaminen</w:t>
      </w:r>
    </w:p>
    <w:p>
      <w:pPr>
        <w:jc w:val="both"/>
        <w:rPr>
          <w:rFonts w:ascii="Times New Roman" w:hAnsi="Times New Roman" w:cs="Times New Roman"/>
          <w:noProof/>
        </w:rPr>
      </w:pPr>
      <w:r>
        <w:rPr>
          <w:rFonts w:ascii="Times New Roman" w:hAnsi="Times New Roman"/>
          <w:noProof/>
        </w:rPr>
        <w:t xml:space="preserve">Horisontti 2020 -puiteohjelman toteutus eteni aikataulun mukaisesti. Vuosien 2018–2020 työohjelmaan hyväksyttiin päivityksiä maalis-, heinä- ja lokakuussa 2019, ja Euroopan tutkimusneuvoston vuoden 2020 työohjelma hyväksyttiin heinäkuussa. </w:t>
      </w:r>
    </w:p>
    <w:p>
      <w:pPr>
        <w:jc w:val="both"/>
        <w:rPr>
          <w:rFonts w:ascii="Times New Roman" w:hAnsi="Times New Roman" w:cs="Times New Roman"/>
          <w:b/>
          <w:bCs/>
          <w:i/>
          <w:noProof/>
        </w:rPr>
      </w:pPr>
      <w:r>
        <w:rPr>
          <w:rFonts w:ascii="Times New Roman" w:hAnsi="Times New Roman"/>
          <w:b/>
          <w:bCs/>
          <w:i/>
          <w:noProof/>
        </w:rPr>
        <w:t xml:space="preserve">4.1 Ehdotuspyyntöjen ja muiden työohjelmien mukaisten toimien satoa </w:t>
      </w:r>
    </w:p>
    <w:p>
      <w:pPr>
        <w:jc w:val="both"/>
        <w:rPr>
          <w:rFonts w:ascii="Times New Roman" w:hAnsi="Times New Roman" w:cs="Times New Roman"/>
          <w:noProof/>
        </w:rPr>
      </w:pPr>
      <w:r>
        <w:rPr>
          <w:rFonts w:ascii="Times New Roman" w:hAnsi="Times New Roman"/>
          <w:noProof/>
        </w:rPr>
        <w:t>Vuoden 2019 loppuun mennessä</w:t>
      </w:r>
      <w:r>
        <w:rPr>
          <w:rFonts w:ascii="Times New Roman" w:hAnsi="Times New Roman" w:cs="Times New Roman"/>
          <w:noProof/>
          <w:vertAlign w:val="superscript"/>
        </w:rPr>
        <w:footnoteReference w:id="4"/>
      </w:r>
      <w:r>
        <w:rPr>
          <w:rFonts w:ascii="Times New Roman" w:hAnsi="Times New Roman"/>
          <w:noProof/>
        </w:rPr>
        <w:t xml:space="preserve"> oli umpeutunut yhteensä 815</w:t>
      </w:r>
      <w:r>
        <w:rPr>
          <w:rFonts w:ascii="Times New Roman" w:hAnsi="Times New Roman" w:cs="Times New Roman"/>
          <w:noProof/>
          <w:vertAlign w:val="superscript"/>
        </w:rPr>
        <w:footnoteReference w:id="5"/>
      </w:r>
      <w:r>
        <w:rPr>
          <w:rFonts w:ascii="Times New Roman" w:hAnsi="Times New Roman"/>
          <w:noProof/>
        </w:rPr>
        <w:t xml:space="preserve"> Horisontti 2020 -ehdotuspyyntöjen määräaikaa. Tukikelpoisia ehdotuksia saatiin 226 139, ja niissä haettu EU:n rahoitusosuus oli yhteensä 358,1 miljardia euroa. Näistä ehdotuksista valittiin rahoitettaviksi 27 251, joten tukikelpoisten ehdotusten yleinen hyväksymisaste kuuden ensimmäisen vuoden aikana oli 12,05 prosenttia. Joulukuun loppuun mennessä oli allekirjoitettu 27 124 avustussopimusta, joihin osoitettiin EU:n määrärahoja yhteensä 49,54 miljardia euroa.</w:t>
      </w:r>
    </w:p>
    <w:p>
      <w:pPr>
        <w:jc w:val="both"/>
        <w:rPr>
          <w:rFonts w:ascii="Times New Roman" w:hAnsi="Times New Roman" w:cs="Times New Roman"/>
          <w:noProof/>
        </w:rPr>
      </w:pPr>
      <w:r>
        <w:rPr>
          <w:rFonts w:ascii="Times New Roman" w:hAnsi="Times New Roman"/>
          <w:noProof/>
        </w:rPr>
        <w:t>Vuosina 2014–2019 jäsenvaltioiden osallistujat saivat 90,9 prosenttia rahoituksesta ja loput myönnettiin assosioituneisiin maihin (8,4 prosenttia) ja muihin EU:n ulkopuolisiin maihin (0,7 prosenttia). Assosioituneiden maiden osuus osallistujista (7,6 prosenttia) vastaa saatua rahoitusta, kun taas assosioitumattomien kolmansien maiden osuus on huomattavasti suurempi (4,0 prosenttia), mikä osoittaa, että kansainvälinen avoimuus kiinnostaa rahoituksesta riippumatta.</w:t>
      </w:r>
    </w:p>
    <w:p>
      <w:pPr>
        <w:jc w:val="both"/>
        <w:rPr>
          <w:rFonts w:ascii="Times New Roman" w:hAnsi="Times New Roman" w:cs="Times New Roman"/>
          <w:noProof/>
        </w:rPr>
      </w:pPr>
      <w:r>
        <w:rPr>
          <w:rFonts w:ascii="Times New Roman" w:hAnsi="Times New Roman"/>
          <w:noProof/>
        </w:rPr>
        <w:t xml:space="preserve">Korkea-asteen koulutusorganisaatiot saavat edelleen eniten EU:n rahoitusta (39,4 prosenttia). Painopistealoihin ”Teollisuuden johtoasema” ja ”Yhteiskunnalliset haasteet” liittyvästä rahoituksesta 24,9 prosenttia menee pk-yrityksille. </w:t>
      </w:r>
    </w:p>
    <w:p>
      <w:pPr>
        <w:jc w:val="both"/>
        <w:rPr>
          <w:rFonts w:ascii="Times New Roman" w:hAnsi="Times New Roman" w:cs="Times New Roman"/>
          <w:b/>
          <w:i/>
          <w:noProof/>
        </w:rPr>
      </w:pPr>
      <w:r>
        <w:rPr>
          <w:rFonts w:ascii="Times New Roman" w:hAnsi="Times New Roman"/>
          <w:b/>
          <w:i/>
          <w:noProof/>
        </w:rPr>
        <w:t xml:space="preserve">4.2 </w:t>
      </w:r>
      <w:r>
        <w:rPr>
          <w:noProof/>
        </w:rPr>
        <w:tab/>
      </w:r>
      <w:r>
        <w:rPr>
          <w:rFonts w:ascii="Times New Roman" w:hAnsi="Times New Roman"/>
          <w:b/>
          <w:i/>
          <w:noProof/>
        </w:rPr>
        <w:t xml:space="preserve">Horisontti 2020 -puiteohjelma – valitut osa-alueet </w:t>
      </w:r>
    </w:p>
    <w:p>
      <w:pPr>
        <w:jc w:val="both"/>
        <w:rPr>
          <w:rFonts w:ascii="Times New Roman" w:hAnsi="Times New Roman" w:cs="Times New Roman"/>
          <w:noProof/>
          <w:u w:val="single"/>
        </w:rPr>
      </w:pPr>
      <w:r>
        <w:rPr>
          <w:rFonts w:ascii="Times New Roman" w:hAnsi="Times New Roman"/>
          <w:noProof/>
          <w:u w:val="single"/>
        </w:rPr>
        <w:t>Tutkimusinfrastruktuurit</w:t>
      </w:r>
    </w:p>
    <w:p>
      <w:pPr>
        <w:jc w:val="both"/>
        <w:rPr>
          <w:rFonts w:ascii="Times New Roman" w:hAnsi="Times New Roman" w:cs="Times New Roman"/>
          <w:noProof/>
        </w:rPr>
      </w:pPr>
      <w:r>
        <w:rPr>
          <w:rFonts w:ascii="Times New Roman" w:hAnsi="Times New Roman"/>
          <w:noProof/>
        </w:rPr>
        <w:t>Vuonna 2019 tutkimusinfrastruktuureja koskevien ehdotuspyyntöjen kautta myönnettiin 51 avustusta, joiden arvo oli yhteensä 299,2 miljoonaa euroa. Niillä tuetaan edistyneiden yhteisöjen integrointitoimia, edistetään uusien maailmanluokan tutkimusinfrastruktuurien kehittämistä, annetaan yksilöllistä tukea Euroopan tutkimusinfrastruktuurien strategiafoorumille (</w:t>
      </w:r>
      <w:r>
        <w:rPr>
          <w:rFonts w:ascii="Times New Roman" w:hAnsi="Times New Roman"/>
          <w:b/>
          <w:noProof/>
        </w:rPr>
        <w:t>ESFRI</w:t>
      </w:r>
      <w:r>
        <w:rPr>
          <w:rFonts w:ascii="Times New Roman" w:hAnsi="Times New Roman"/>
          <w:noProof/>
        </w:rPr>
        <w:t>) ja autetaan määrittämään Euroopassa tarvittavat seuraavan sukupolven tutkimusinfrastruktuurit. Tukea myönnettiin myös eurooppalaisten avoimen tieteen pilvipalvelujen portaalin parantamiseen, tutkimusinfrastruktuureihin liittyvän teollisuusyhteyshenkilöiden verkoston luomiseen ja kansainvälisen yhteistyön kehittämiseen.</w:t>
      </w:r>
    </w:p>
    <w:p>
      <w:pPr>
        <w:jc w:val="both"/>
        <w:rPr>
          <w:rFonts w:ascii="Times New Roman" w:hAnsi="Times New Roman" w:cs="Times New Roman"/>
          <w:noProof/>
          <w:u w:val="single"/>
        </w:rPr>
      </w:pPr>
      <w:r>
        <w:rPr>
          <w:rFonts w:ascii="Times New Roman" w:hAnsi="Times New Roman"/>
          <w:noProof/>
          <w:u w:val="single"/>
        </w:rPr>
        <w:t>Euroopan innovaationeuvoston pilottihanke</w:t>
      </w:r>
    </w:p>
    <w:p>
      <w:pPr>
        <w:jc w:val="both"/>
        <w:rPr>
          <w:rFonts w:ascii="Times New Roman" w:hAnsi="Times New Roman" w:cs="Times New Roman"/>
          <w:noProof/>
        </w:rPr>
      </w:pPr>
      <w:r>
        <w:rPr>
          <w:rFonts w:ascii="Times New Roman" w:hAnsi="Times New Roman"/>
          <w:noProof/>
        </w:rPr>
        <w:t xml:space="preserve">Ensimmäisen pilottihankkeen jatkoksi käynnistettiin laajennettu Euroopan innovaationeuvoston (EIC) pilottihanke, joka tuo täysimittaisen EIC:n lähemmäs toteutumista. EIC:n pilottihanke on jo puoltanut julkista rahoitusta, jonka avulla pystytään houkuttelemaan muita sijoittajia. Jokainen startup- tai pk-yrityksen saama EIC:n pilottihankkeen tukieuro on tähän mennessä tuottanut 2,4 euron jatkosijoitukset. EIC:n Pathfinder-pilottihankkeessa on yhdistetty avoimet FET-toimet ja ennakoivat FET-toimet, ja ensimmäiset kohdennetut ehdotuspyynnöt rahoituksen hakemiseksi mullistavaan teknologiseen tutkimukseen julkaistiin maaliskuussa 2019. </w:t>
      </w:r>
      <w:r>
        <w:rPr>
          <w:rFonts w:ascii="Times New Roman" w:hAnsi="Times New Roman"/>
          <w:bCs/>
          <w:noProof/>
        </w:rPr>
        <w:t xml:space="preserve">EIC:n Accelerator-pilottihankkeessa alettiin tarjota sekarahoitusta pelkästään avustuksiin perustuvien vaihtoehtojen rinnalla, ja EIC:n tuensaajilla on jo käytettävissään erilaisia liiketoimintaa vauhdittavia palveluja. </w:t>
      </w:r>
    </w:p>
    <w:p>
      <w:pPr>
        <w:jc w:val="both"/>
        <w:rPr>
          <w:rFonts w:ascii="Times New Roman" w:hAnsi="Times New Roman" w:cs="Times New Roman"/>
          <w:noProof/>
        </w:rPr>
      </w:pPr>
      <w:r>
        <w:rPr>
          <w:rFonts w:ascii="Times New Roman" w:hAnsi="Times New Roman"/>
          <w:bCs/>
          <w:noProof/>
        </w:rPr>
        <w:t>Sekarahoituksen ja pääomasijoitusten käyttöönotto muutoksia aikaansaavan innovoinnin tukena on merkittävä uutuus EU:n T&amp;I-rahoituksessa ja lisäksi osa EIC:n arvolupausta. Erillisenä yksityisoikeudellisena oikeushenkilönä perustettava EIC-rahasto hallinnoi pääomasijoituksia, ja Euroopan investointipankki tarjoaa keskeisiä hallintopalveluja.</w:t>
      </w:r>
    </w:p>
    <w:p>
      <w:pPr>
        <w:jc w:val="both"/>
        <w:rPr>
          <w:rFonts w:ascii="Times New Roman" w:hAnsi="Times New Roman" w:cs="Times New Roman"/>
          <w:noProof/>
        </w:rPr>
      </w:pPr>
      <w:r>
        <w:rPr>
          <w:rFonts w:ascii="Times New Roman" w:hAnsi="Times New Roman"/>
          <w:noProof/>
        </w:rPr>
        <w:t xml:space="preserve">Merkittävä uutuus pilottivaiheessa oli EIC:n ohjelmajohtajien rekrytointi. Heidän tehtävänään on auttaa määrittämään läpimurtoinnovaatioiden kehityssuuntia ja hallinnoimaan EIC:n Pathfinder-pilottihankkeessa rahoitettua hankesalkkua. Komissiota avustamaan perustettiin neuvoa-antava EIC Pilot Advisory Board -ryhmä, johon kuuluu 22 asiantuntijaa. </w:t>
      </w:r>
    </w:p>
    <w:p>
      <w:pPr>
        <w:jc w:val="both"/>
        <w:rPr>
          <w:rFonts w:ascii="Times New Roman" w:hAnsi="Times New Roman" w:cs="Times New Roman"/>
          <w:bCs/>
          <w:noProof/>
          <w:u w:val="single"/>
        </w:rPr>
      </w:pPr>
      <w:r>
        <w:rPr>
          <w:rFonts w:ascii="Times New Roman" w:hAnsi="Times New Roman"/>
          <w:bCs/>
          <w:noProof/>
          <w:u w:val="single"/>
        </w:rPr>
        <w:t>Kansainvälisen yhteistyön lisääminen</w:t>
      </w:r>
    </w:p>
    <w:p>
      <w:pPr>
        <w:jc w:val="both"/>
        <w:rPr>
          <w:rFonts w:ascii="Times New Roman" w:hAnsi="Times New Roman" w:cs="Times New Roman"/>
          <w:noProof/>
        </w:rPr>
      </w:pPr>
      <w:r>
        <w:rPr>
          <w:rFonts w:ascii="Times New Roman" w:hAnsi="Times New Roman"/>
          <w:noProof/>
        </w:rPr>
        <w:t>Kansainvälinen osallistuminen oli laskusuunnassa Horisontti 2020 -puiteohjelman ensimmäisinä vuosina. Kehityksen kääntämiseksi vuoden 2018–2020 työohjelmaan sisällytettiin yli 30 ”kansainvälisen yhteistyön lippulaivahanketta”, joihin osoitettiin EU:n talousarviosta lähes kaksi miljardia euroa. Näillä hankkeilla oli selvästi myönteinen vaikutus kansainväliseen osallistumiseen: vuosina 2014–2017 kansainvälisten osallistujien osuus yhteistyöhankkeissa oli keskimäärin 2,4 prosenttia, vuonna 2018 keskimäärin 3,3 prosenttia ja vuoden 2019 alkupuoliskolla keskimäärin 3,1 prosenttia. Myös kolmansien maiden rahoitusosuus Horisontti 2020 -hankkeissa kasvoi merkittävästi: kolmansien maiden osallistujien keskimääräinen rahoitusosuus kasvoi vuosittaisesta 60 miljoonasta eurosta 83 miljoonaan euroon vuonna 2018 ja 130 miljoonaan euroon vuoden 2019 ensimmäisellä kolmanneksella. Kolmannet maat ovat rahoittaneet Horisontti 2020 -hankkeita kaiken kaikkiaan lähes 500 miljoonalla eurolla. Marie Skłodowska-Curie -toimilla on huomattava kansainvälinen ulottuvuus, ja niiden osuus kaikesta kolmansien maiden osallistumisesta Horisontti 2020 -puiteohjelmaan on edelleen yli puolet.</w:t>
      </w:r>
    </w:p>
    <w:p>
      <w:pPr>
        <w:jc w:val="both"/>
        <w:rPr>
          <w:rFonts w:ascii="Times New Roman" w:hAnsi="Times New Roman" w:cs="Times New Roman"/>
          <w:noProof/>
        </w:rPr>
      </w:pPr>
      <w:bookmarkStart w:id="2" w:name="_Toc467661706"/>
      <w:r>
        <w:rPr>
          <w:rFonts w:ascii="Times New Roman" w:hAnsi="Times New Roman"/>
          <w:noProof/>
        </w:rPr>
        <w:t>International Forum to Advance First Responder Innovation -foorumi (IFAFRI), jonka nykyisenä puheenjohtajana toimii komissio, laati valmiusvajeita käsittelevän komiteansa avustuksella luettelon kymmenestä ensisijaisesta valmiusvajeesta vuonna 2019. Lokakuussa järjestetty IFAFRIn teollisuuspäivä ja marraskuussa järjestetty vuotuinen foorumi olivat tärkeitä tapahtumia, joissa esiteltiin uusia EU:n rahoittamia hankkeita ja määritettiin pelastustyöntekijöiden tutkimus- ja kehitysohjelmaa koskevat keskeiset suuntaviivat.</w:t>
      </w:r>
    </w:p>
    <w:p>
      <w:pPr>
        <w:jc w:val="both"/>
        <w:rPr>
          <w:rFonts w:ascii="Times New Roman" w:hAnsi="Times New Roman" w:cs="Times New Roman"/>
          <w:bCs/>
          <w:noProof/>
          <w:u w:val="single"/>
        </w:rPr>
      </w:pPr>
      <w:r>
        <w:rPr>
          <w:rFonts w:ascii="Times New Roman" w:hAnsi="Times New Roman"/>
          <w:bCs/>
          <w:noProof/>
          <w:u w:val="single"/>
        </w:rPr>
        <w:t xml:space="preserve">Euroopan tutkimusneuvosto </w:t>
      </w:r>
    </w:p>
    <w:bookmarkEnd w:id="2"/>
    <w:p>
      <w:pPr>
        <w:jc w:val="both"/>
        <w:rPr>
          <w:rFonts w:ascii="Times New Roman" w:hAnsi="Times New Roman" w:cs="Times New Roman"/>
          <w:bCs/>
          <w:noProof/>
        </w:rPr>
      </w:pPr>
      <w:r>
        <w:rPr>
          <w:rFonts w:ascii="Times New Roman" w:hAnsi="Times New Roman"/>
          <w:bCs/>
          <w:noProof/>
        </w:rPr>
        <w:t>Kaikkien aikojen ensimmäinen kuva avaruuden mustasta aukosta oli yksi Euroopan tutkimusneuvoston (ERC) tieteellisistä kohokohdista vuonna 2019. ERC:n rahoittamilla tutkijoilla oli keskeinen osa tähän tulokseen johtaneessa laajamittaisessa kansainvälisessä Event Horizon Telescope -tutkimusyhteistyössä. Vuonna 2019 jo seitsemäs Nobelin palkinto vuodesta 2007 lähtien myönnettiin ERC:n rahoitusta saaneelle henkilölle. Serbiassa ja Romaniassa käynnistettiin kaksi uutta vierailuapurahaohjelmaa, minkä tarkoituksena oli laajentaa osallistumista ERC:n kilpailuihin.</w:t>
      </w:r>
    </w:p>
    <w:p>
      <w:pPr>
        <w:jc w:val="both"/>
        <w:rPr>
          <w:rFonts w:ascii="Times New Roman" w:hAnsi="Times New Roman" w:cs="Times New Roman"/>
          <w:bCs/>
          <w:noProof/>
          <w:u w:val="single"/>
        </w:rPr>
      </w:pPr>
      <w:r>
        <w:rPr>
          <w:rFonts w:ascii="Times New Roman" w:hAnsi="Times New Roman"/>
          <w:bCs/>
          <w:noProof/>
          <w:u w:val="single"/>
        </w:rPr>
        <w:t>Osallistumisen laajentaminen</w:t>
      </w:r>
    </w:p>
    <w:p>
      <w:pPr>
        <w:jc w:val="both"/>
        <w:rPr>
          <w:rFonts w:ascii="Times New Roman" w:hAnsi="Times New Roman" w:cs="Times New Roman"/>
          <w:bCs/>
          <w:noProof/>
        </w:rPr>
      </w:pPr>
      <w:r>
        <w:rPr>
          <w:rFonts w:ascii="Times New Roman" w:hAnsi="Times New Roman"/>
          <w:bCs/>
          <w:noProof/>
        </w:rPr>
        <w:t xml:space="preserve">Laajenevasti osallistuvien maiden saama taloudellinen tuki kasvoi 5,6 prosenttiin vuonna 2019. Kyseisten maiden osallistuminen vastaa kaiken kaikkiaan niiden kansallisia T&amp;I-investointeja. Tavoitteeseen ”Huippuosaamisen levittäminen ja laajempi osallistuminen” liittyvien hankkeiden toteuttamiseksi allekirjoitettiin </w:t>
      </w:r>
      <w:r>
        <w:rPr>
          <w:rFonts w:ascii="Times New Roman" w:hAnsi="Times New Roman"/>
          <w:b/>
          <w:bCs/>
          <w:noProof/>
        </w:rPr>
        <w:t>63 avustusta</w:t>
      </w:r>
      <w:r>
        <w:rPr>
          <w:rFonts w:ascii="Times New Roman" w:hAnsi="Times New Roman"/>
          <w:bCs/>
          <w:noProof/>
        </w:rPr>
        <w:t xml:space="preserve">, joiden arvo oli yhteensä 269 miljoonaa euroa. Niistä 143 tukee uusien huippuyksiköiden perustamista tai nykyisten huippuyksiköiden nykyaikaistamista Bulgariassa, Tšekissä, Kyproksessa, Virossa, Latviassa, Puolassa ja Portugalissa muiden maiden merkittävien edistyneinä kumppaneina toimivien tutkimuslaitosten avustuksella. </w:t>
      </w:r>
    </w:p>
    <w:p>
      <w:pPr>
        <w:jc w:val="both"/>
        <w:rPr>
          <w:rFonts w:ascii="Times New Roman" w:hAnsi="Times New Roman" w:cs="Times New Roman"/>
          <w:bCs/>
          <w:noProof/>
        </w:rPr>
      </w:pPr>
      <w:r>
        <w:rPr>
          <w:rFonts w:ascii="Times New Roman" w:hAnsi="Times New Roman"/>
          <w:bCs/>
          <w:noProof/>
        </w:rPr>
        <w:t xml:space="preserve">Vuonna 2019 julkistettiin uuden Horisontti 2020 -pilottihankkeen yhteydessä ensimmäiset ”laajennetut apurahat” Marie Skłodowska-Curie -toimien henkilökohtaisten apurahojen pohjalta. Ensimmäinen ehdotuspyyntö oli erittäin onnistunut. Laajenevasti osallistuvien maiden hakemusten määrä lisääntyi 27 prosenttia ja rahoitettujen apurahojen määrä näissä maissa 70 prosenttia. Laajennettuja apurahoja rahoitettiin 33 ja Marie Skłodowska-Curie -toimien henkilökohtaisia apurahoja 55. </w:t>
      </w:r>
    </w:p>
    <w:p>
      <w:pPr>
        <w:jc w:val="both"/>
        <w:rPr>
          <w:rFonts w:ascii="Times New Roman" w:hAnsi="Times New Roman" w:cs="Times New Roman"/>
          <w:noProof/>
        </w:rPr>
      </w:pPr>
      <w:r>
        <w:rPr>
          <w:rFonts w:ascii="Times New Roman" w:hAnsi="Times New Roman"/>
          <w:noProof/>
        </w:rPr>
        <w:t xml:space="preserve">Osallistavuuden lisäämiseksi vuonna 2019 julkistettiin </w:t>
      </w:r>
      <w:r>
        <w:rPr>
          <w:rFonts w:ascii="Times New Roman" w:hAnsi="Times New Roman"/>
          <w:b/>
          <w:noProof/>
        </w:rPr>
        <w:t>erityistarpeisille Marie Skłodowska-Curie -apurahan saajille</w:t>
      </w:r>
      <w:r>
        <w:rPr>
          <w:rFonts w:ascii="Times New Roman" w:hAnsi="Times New Roman"/>
          <w:noProof/>
        </w:rPr>
        <w:t xml:space="preserve"> tarkoitettu taloudellinen tuki. Sen ansiosta 23 tutkijaa sai rahoitusta vammaisuudesta aiheutuvien liikkuvuuden esteiden poistamiseksi.</w:t>
      </w:r>
    </w:p>
    <w:p>
      <w:pPr>
        <w:jc w:val="both"/>
        <w:rPr>
          <w:rFonts w:ascii="Times New Roman" w:hAnsi="Times New Roman" w:cs="Times New Roman"/>
          <w:bCs/>
          <w:noProof/>
          <w:u w:val="single"/>
        </w:rPr>
      </w:pPr>
      <w:r>
        <w:rPr>
          <w:rFonts w:ascii="Times New Roman" w:hAnsi="Times New Roman"/>
          <w:bCs/>
          <w:noProof/>
          <w:u w:val="single"/>
        </w:rPr>
        <w:t>Maapallo</w:t>
      </w:r>
    </w:p>
    <w:p>
      <w:pPr>
        <w:jc w:val="both"/>
        <w:rPr>
          <w:rFonts w:ascii="Times New Roman" w:hAnsi="Times New Roman" w:cs="Times New Roman"/>
          <w:bCs/>
          <w:iCs/>
          <w:noProof/>
        </w:rPr>
      </w:pPr>
      <w:r>
        <w:rPr>
          <w:rFonts w:ascii="Times New Roman" w:hAnsi="Times New Roman"/>
          <w:bCs/>
          <w:iCs/>
          <w:noProof/>
        </w:rPr>
        <w:t>Odotuksena oli, että 35 prosenttia Horisontti 2020 -puiteohjelmaohjelman talousarviosta liittyy ilmastotoimiin ja 60 prosenttia kestävään kehitykseen ohjelman kestoaikana. Vuoden 2019 loppuun mennessä ilmastotoimiin liittyvien menojen osuus oli ainakin 29,4 prosenttia ja kestävään kehitykseen liittyvien menojen osuus 65,6 prosenttia. Lisätoimia on meneillään etenkin erityisillä kohdealoilla.</w:t>
      </w:r>
    </w:p>
    <w:p>
      <w:pPr>
        <w:jc w:val="both"/>
        <w:rPr>
          <w:rFonts w:ascii="Times New Roman" w:hAnsi="Times New Roman" w:cs="Times New Roman"/>
          <w:bCs/>
          <w:noProof/>
          <w:u w:val="single"/>
        </w:rPr>
      </w:pPr>
      <w:r>
        <w:rPr>
          <w:rFonts w:ascii="Times New Roman" w:hAnsi="Times New Roman"/>
          <w:bCs/>
          <w:noProof/>
          <w:u w:val="single"/>
        </w:rPr>
        <w:t xml:space="preserve">Ihmiset </w:t>
      </w:r>
    </w:p>
    <w:p>
      <w:pPr>
        <w:jc w:val="both"/>
        <w:rPr>
          <w:rFonts w:ascii="Times New Roman" w:hAnsi="Times New Roman" w:cs="Times New Roman"/>
          <w:noProof/>
        </w:rPr>
      </w:pPr>
      <w:r>
        <w:rPr>
          <w:rFonts w:ascii="Times New Roman" w:hAnsi="Times New Roman"/>
          <w:noProof/>
        </w:rPr>
        <w:t xml:space="preserve">Tammikuussa 2019 käynnistettiin </w:t>
      </w:r>
      <w:r>
        <w:rPr>
          <w:rFonts w:ascii="Times New Roman" w:hAnsi="Times New Roman"/>
          <w:b/>
          <w:noProof/>
        </w:rPr>
        <w:t>harvinaisia sairauksia</w:t>
      </w:r>
      <w:r>
        <w:rPr>
          <w:rFonts w:ascii="Times New Roman" w:hAnsi="Times New Roman"/>
          <w:noProof/>
        </w:rPr>
        <w:t xml:space="preserve"> koskeva yhteisrahoitteinen eurooppalainen yhteisohjelma osana </w:t>
      </w:r>
      <w:r>
        <w:rPr>
          <w:rFonts w:ascii="Times New Roman" w:hAnsi="Times New Roman"/>
          <w:b/>
          <w:noProof/>
        </w:rPr>
        <w:t xml:space="preserve">terveys- ja hoitoalan digitaalimurroksen edellytyksiä digitaalisilla sisämarkkinoilla </w:t>
      </w:r>
      <w:r>
        <w:rPr>
          <w:rFonts w:ascii="Times New Roman" w:hAnsi="Times New Roman"/>
          <w:noProof/>
        </w:rPr>
        <w:t>koskevan tiedonannon täytäntöönpanoa. Tällä lippulaivahankkeella, jossa on mukana yli 130 laitosta 35 maasta (mukaan lukien 27 jäsenvaltiota), optimoidaan harvinaisia sairauksia koskeva tietovirta ja pyritään saamaan tutkimustulokset nopeasti käyttöön kliinisissä ympäristöissä.</w:t>
      </w:r>
    </w:p>
    <w:p>
      <w:pPr>
        <w:jc w:val="both"/>
        <w:rPr>
          <w:rFonts w:ascii="Times New Roman" w:hAnsi="Times New Roman" w:cs="Times New Roman"/>
          <w:noProof/>
        </w:rPr>
      </w:pPr>
      <w:r>
        <w:rPr>
          <w:rFonts w:ascii="Times New Roman" w:hAnsi="Times New Roman"/>
          <w:noProof/>
        </w:rPr>
        <w:t xml:space="preserve">EU investoi 50 miljoonaa euroa hormonaalisten haitta-aineiden uusiin testaus- ja seulontamenetelmiin tammikuussa 2019. Tässä yhteydessä käynnistetyt kahdeksan uutta Horisontti 2020 -hanketta muodostavat </w:t>
      </w:r>
      <w:r>
        <w:rPr>
          <w:rFonts w:ascii="Times New Roman" w:hAnsi="Times New Roman"/>
          <w:b/>
          <w:bCs/>
          <w:noProof/>
        </w:rPr>
        <w:t>European Cluster to Improve Identification of Endocrine Disruptors (EURION)</w:t>
      </w:r>
      <w:r>
        <w:rPr>
          <w:rFonts w:ascii="Times New Roman" w:hAnsi="Times New Roman"/>
          <w:bCs/>
          <w:noProof/>
        </w:rPr>
        <w:t xml:space="preserve"> -klusterin,</w:t>
      </w:r>
      <w:r>
        <w:rPr>
          <w:rFonts w:ascii="Times New Roman" w:hAnsi="Times New Roman"/>
          <w:b/>
          <w:bCs/>
          <w:noProof/>
        </w:rPr>
        <w:t xml:space="preserve"> </w:t>
      </w:r>
      <w:r>
        <w:rPr>
          <w:rFonts w:ascii="Times New Roman" w:hAnsi="Times New Roman"/>
          <w:noProof/>
        </w:rPr>
        <w:t xml:space="preserve">joka tekee Yhteisen tutkimuskeskuksen kanssa yhteistyötä kehitettyjen uusien menetelmien validoinnin edistämiseksi. </w:t>
      </w:r>
    </w:p>
    <w:p>
      <w:pPr>
        <w:jc w:val="both"/>
        <w:rPr>
          <w:rFonts w:ascii="Times New Roman" w:hAnsi="Times New Roman" w:cs="Times New Roman"/>
          <w:noProof/>
        </w:rPr>
      </w:pPr>
      <w:r>
        <w:rPr>
          <w:rFonts w:ascii="Times New Roman" w:hAnsi="Times New Roman"/>
          <w:noProof/>
        </w:rPr>
        <w:t xml:space="preserve">Lokakuussa 2019 komissio ilmoitti kuuden miljoonan euron myöntämisestä Kongon demokraattisessa tasavallassa toteutettavaan ensimmäiseen </w:t>
      </w:r>
      <w:r>
        <w:rPr>
          <w:rFonts w:ascii="Times New Roman" w:hAnsi="Times New Roman"/>
          <w:b/>
          <w:noProof/>
        </w:rPr>
        <w:t>uutta ebola-rokotetta koskevaan laajamittaiseen kliiniseen tutkimukseen</w:t>
      </w:r>
      <w:r>
        <w:rPr>
          <w:rFonts w:ascii="Times New Roman" w:hAnsi="Times New Roman"/>
          <w:noProof/>
        </w:rPr>
        <w:t xml:space="preserve"> epidemioiden torjuntaa edistävän kansainvälisen yhteenliittymän kautta (CEPI). </w:t>
      </w:r>
    </w:p>
    <w:p>
      <w:pPr>
        <w:jc w:val="both"/>
        <w:rPr>
          <w:rFonts w:ascii="Times New Roman" w:hAnsi="Times New Roman" w:cs="Times New Roman"/>
          <w:noProof/>
        </w:rPr>
      </w:pPr>
      <w:r>
        <w:rPr>
          <w:rFonts w:ascii="Times New Roman" w:hAnsi="Times New Roman"/>
          <w:noProof/>
        </w:rPr>
        <w:t>Lisäksi perustettiin eurooppalainen ihmisiin liittyvän eksposomitutkimuksen verkosto (</w:t>
      </w:r>
      <w:r>
        <w:rPr>
          <w:rFonts w:ascii="Times New Roman" w:hAnsi="Times New Roman"/>
          <w:b/>
          <w:noProof/>
        </w:rPr>
        <w:t>European Human Exposome Network</w:t>
      </w:r>
      <w:r>
        <w:rPr>
          <w:rFonts w:ascii="Times New Roman" w:hAnsi="Times New Roman"/>
          <w:noProof/>
        </w:rPr>
        <w:t xml:space="preserve">). Kyseessä on lajissaan suurin eksposomia koskeva hanke, jossa tutkitaan ruokavalion, elintapojen ja ympäristön vaikutusta ihmisten terveyteen. Hanke edistää suoraan Euroopan vihreän kehityksen ohjelmaa. </w:t>
      </w:r>
    </w:p>
    <w:p>
      <w:pPr>
        <w:jc w:val="both"/>
        <w:rPr>
          <w:rFonts w:ascii="Times New Roman" w:hAnsi="Times New Roman" w:cs="Times New Roman"/>
          <w:bCs/>
          <w:noProof/>
          <w:u w:val="single"/>
        </w:rPr>
      </w:pPr>
      <w:r>
        <w:rPr>
          <w:rFonts w:ascii="Times New Roman" w:hAnsi="Times New Roman"/>
          <w:bCs/>
          <w:noProof/>
          <w:u w:val="single"/>
        </w:rPr>
        <w:t xml:space="preserve">Hyvinvointi </w:t>
      </w:r>
    </w:p>
    <w:p>
      <w:pPr>
        <w:jc w:val="both"/>
        <w:rPr>
          <w:rFonts w:ascii="Times New Roman" w:hAnsi="Times New Roman" w:cs="Times New Roman"/>
          <w:noProof/>
        </w:rPr>
      </w:pPr>
      <w:hyperlink r:id="rId50" w:history="1">
        <w:r>
          <w:rPr>
            <w:rStyle w:val="Hyperlink"/>
            <w:rFonts w:ascii="Times New Roman" w:hAnsi="Times New Roman"/>
            <w:noProof/>
            <w:color w:val="auto"/>
          </w:rPr>
          <w:t>Teollisiin symbiooseihin liittyviin Horisontti 2020 -hankkeisiin pohjautuva analyysi teknologisista kehityssuunnista</w:t>
        </w:r>
      </w:hyperlink>
      <w:r>
        <w:rPr>
          <w:rFonts w:ascii="Times New Roman" w:hAnsi="Times New Roman"/>
          <w:noProof/>
        </w:rPr>
        <w:t xml:space="preserve"> vahvistaa, että </w:t>
      </w:r>
      <w:r>
        <w:rPr>
          <w:rFonts w:ascii="Times New Roman" w:hAnsi="Times New Roman"/>
          <w:b/>
          <w:bCs/>
          <w:noProof/>
        </w:rPr>
        <w:t>teollisilla symbiooseilla</w:t>
      </w:r>
      <w:r>
        <w:rPr>
          <w:rFonts w:ascii="Times New Roman" w:hAnsi="Times New Roman"/>
          <w:noProof/>
        </w:rPr>
        <w:t xml:space="preserve"> on huomattavat mahdollisuudet edistää EU:n pyrkimyksiä hiilineutraaliuteen sekä </w:t>
      </w:r>
      <w:r>
        <w:rPr>
          <w:rFonts w:ascii="Times New Roman" w:hAnsi="Times New Roman"/>
          <w:b/>
          <w:bCs/>
          <w:noProof/>
        </w:rPr>
        <w:t>kiertoteollisuutta</w:t>
      </w:r>
      <w:r>
        <w:rPr>
          <w:rFonts w:ascii="Times New Roman" w:hAnsi="Times New Roman"/>
          <w:noProof/>
        </w:rPr>
        <w:t xml:space="preserve"> Euroopassa. </w:t>
      </w:r>
      <w:hyperlink r:id="rId51" w:history="1">
        <w:r>
          <w:rPr>
            <w:rStyle w:val="Hyperlink"/>
            <w:rFonts w:ascii="Times New Roman" w:hAnsi="Times New Roman"/>
            <w:noProof/>
            <w:color w:val="auto"/>
          </w:rPr>
          <w:t>Teollisuusrobotiikkaan liittyvässä analyysissa teknologisista kehityssuunnista</w:t>
        </w:r>
      </w:hyperlink>
      <w:r>
        <w:rPr>
          <w:rFonts w:ascii="Times New Roman" w:hAnsi="Times New Roman"/>
          <w:noProof/>
        </w:rPr>
        <w:t xml:space="preserve"> todetaan, että Euroopalla on johtoasema teollisuuden yhteistyötä tekevissä roboteissa, joskin muut maailman alueet voivat ohittaa sen vuoteen 2025 mennessä. Yhteistyötä tekevien robottien teknologian avulla on mahdollista parantaa sekä taloutta että yhteiskuntaa ja ottaa samalla huomioon EU:n arvot. </w:t>
      </w:r>
    </w:p>
    <w:p>
      <w:pPr>
        <w:numPr>
          <w:ilvl w:val="1"/>
          <w:numId w:val="21"/>
        </w:numPr>
        <w:jc w:val="both"/>
        <w:rPr>
          <w:rFonts w:ascii="Times New Roman" w:hAnsi="Times New Roman" w:cs="Times New Roman"/>
          <w:b/>
          <w:i/>
          <w:noProof/>
        </w:rPr>
      </w:pPr>
      <w:r>
        <w:rPr>
          <w:rFonts w:ascii="Times New Roman" w:hAnsi="Times New Roman"/>
          <w:b/>
          <w:i/>
          <w:noProof/>
        </w:rPr>
        <w:t xml:space="preserve">Yhteisen tutkimuskeskuksen (JRC) muut kuin ydinalan suorat toimet </w:t>
      </w:r>
    </w:p>
    <w:p>
      <w:pPr>
        <w:jc w:val="both"/>
        <w:rPr>
          <w:rFonts w:ascii="Times New Roman" w:hAnsi="Times New Roman" w:cs="Times New Roman"/>
          <w:bCs/>
          <w:noProof/>
        </w:rPr>
      </w:pPr>
      <w:r>
        <w:rPr>
          <w:rFonts w:ascii="Times New Roman" w:hAnsi="Times New Roman"/>
          <w:noProof/>
        </w:rPr>
        <w:t xml:space="preserve">Politiikan kehittämisen ja seurannan tukemisen lisäksi JRC jatkoi </w:t>
      </w:r>
      <w:r>
        <w:rPr>
          <w:rFonts w:ascii="Times New Roman" w:hAnsi="Times New Roman"/>
          <w:b/>
          <w:noProof/>
        </w:rPr>
        <w:t>tietämyksenhallintatoimiensa</w:t>
      </w:r>
      <w:r>
        <w:rPr>
          <w:rFonts w:ascii="Times New Roman" w:hAnsi="Times New Roman"/>
          <w:noProof/>
        </w:rPr>
        <w:t xml:space="preserve"> laajentamista ja perusti uuden käyttäytymiseen keskittyvän osaamiskeskuksen. Keskus tarjoaa välineitä käyttäytymistä koskevan tiedon soveltamiseen päätöksenteossa</w:t>
      </w:r>
      <w:r>
        <w:rPr>
          <w:rFonts w:ascii="Times New Roman" w:hAnsi="Times New Roman"/>
          <w:bCs/>
          <w:noProof/>
        </w:rPr>
        <w:t xml:space="preserve"> määrittämällä analysoitavan käyttäytymisen, keräämällä asiaankuuluvaa näyttöä, testaamalla vaihtoehtoisia poliittisia toimia ja viime kädessä antamalla tietoa poliittisia päätöksiä varten. JRC:llä on nyt 13 tieto- ja osaamiskeskusta.  </w:t>
      </w:r>
    </w:p>
    <w:p>
      <w:pPr>
        <w:jc w:val="both"/>
        <w:rPr>
          <w:rFonts w:ascii="Times New Roman" w:hAnsi="Times New Roman" w:cs="Times New Roman"/>
          <w:bCs/>
          <w:noProof/>
        </w:rPr>
      </w:pPr>
      <w:r>
        <w:rPr>
          <w:rFonts w:ascii="Times New Roman" w:hAnsi="Times New Roman"/>
          <w:bCs/>
          <w:noProof/>
        </w:rPr>
        <w:t>JRC järjesti myös toisen European Commission Knowledge Week -viikon, jossa oli mukana yli 100 tapahtumaa ja yli 3 000 osallistujaa.</w:t>
      </w:r>
    </w:p>
    <w:p>
      <w:pPr>
        <w:jc w:val="both"/>
        <w:rPr>
          <w:rFonts w:ascii="Times New Roman" w:hAnsi="Times New Roman" w:cs="Times New Roman"/>
          <w:noProof/>
        </w:rPr>
      </w:pPr>
      <w:r>
        <w:rPr>
          <w:rFonts w:ascii="Times New Roman" w:hAnsi="Times New Roman"/>
          <w:noProof/>
        </w:rPr>
        <w:t xml:space="preserve">Vuonna 2019 julkaistiin seitsemän </w:t>
      </w:r>
      <w:hyperlink r:id="rId52" w:history="1">
        <w:r>
          <w:rPr>
            <w:rStyle w:val="Hyperlink"/>
            <w:rFonts w:ascii="Times New Roman" w:hAnsi="Times New Roman"/>
            <w:noProof/>
            <w:color w:val="auto"/>
          </w:rPr>
          <w:t>lippulaivaraporttia</w:t>
        </w:r>
      </w:hyperlink>
      <w:r>
        <w:rPr>
          <w:rFonts w:ascii="Times New Roman" w:hAnsi="Times New Roman" w:cs="Times New Roman"/>
          <w:noProof/>
          <w:vertAlign w:val="superscript"/>
        </w:rPr>
        <w:footnoteReference w:id="6"/>
      </w:r>
      <w:r>
        <w:rPr>
          <w:rFonts w:ascii="Times New Roman" w:hAnsi="Times New Roman"/>
          <w:noProof/>
        </w:rPr>
        <w:t>, joissa esitettiin tieteidenvälisiä analyyseja ja ennakoivia näkemyksiä. Oikeudenmukaisuutta</w:t>
      </w:r>
      <w:r>
        <w:rPr>
          <w:rFonts w:ascii="Times New Roman" w:hAnsi="Times New Roman"/>
          <w:bCs/>
          <w:noProof/>
        </w:rPr>
        <w:t>, resilienssiä ja kyberturvallisuutta on tutkittu laajasti, ja niitä koskevat raportit on määrä julkaista vuonna 2020.</w:t>
      </w:r>
    </w:p>
    <w:p>
      <w:pPr>
        <w:jc w:val="both"/>
        <w:rPr>
          <w:rFonts w:ascii="Times New Roman" w:hAnsi="Times New Roman" w:cs="Times New Roman"/>
          <w:noProof/>
        </w:rPr>
      </w:pPr>
      <w:r>
        <w:rPr>
          <w:rFonts w:ascii="Times New Roman" w:hAnsi="Times New Roman"/>
          <w:noProof/>
        </w:rPr>
        <w:t xml:space="preserve">Muita keskeisiä saavutuksia: </w:t>
      </w:r>
    </w:p>
    <w:p>
      <w:pPr>
        <w:numPr>
          <w:ilvl w:val="0"/>
          <w:numId w:val="24"/>
        </w:numPr>
        <w:jc w:val="both"/>
        <w:rPr>
          <w:rFonts w:ascii="Times New Roman" w:hAnsi="Times New Roman" w:cs="Times New Roman"/>
          <w:noProof/>
        </w:rPr>
      </w:pPr>
      <w:r>
        <w:rPr>
          <w:rFonts w:ascii="Times New Roman" w:hAnsi="Times New Roman"/>
          <w:noProof/>
        </w:rPr>
        <w:t xml:space="preserve">JRC perusti uuden eurooppalaisen </w:t>
      </w:r>
      <w:r>
        <w:rPr>
          <w:rFonts w:ascii="Times New Roman" w:hAnsi="Times New Roman"/>
          <w:b/>
          <w:noProof/>
        </w:rPr>
        <w:t>harvinaisten sairauksien rekisteröinnin järjestelmän</w:t>
      </w:r>
      <w:r>
        <w:rPr>
          <w:rFonts w:ascii="Times New Roman" w:hAnsi="Times New Roman"/>
          <w:noProof/>
        </w:rPr>
        <w:t>, jonka tarkoituksena on tukea tietämyksen jakamista diagnoosien ja hoidon parantamiseksi.</w:t>
      </w:r>
    </w:p>
    <w:p>
      <w:pPr>
        <w:numPr>
          <w:ilvl w:val="0"/>
          <w:numId w:val="24"/>
        </w:numPr>
        <w:jc w:val="both"/>
        <w:rPr>
          <w:rFonts w:ascii="Times New Roman" w:hAnsi="Times New Roman" w:cs="Times New Roman"/>
          <w:noProof/>
        </w:rPr>
      </w:pPr>
      <w:r>
        <w:rPr>
          <w:rFonts w:ascii="Times New Roman" w:hAnsi="Times New Roman"/>
          <w:noProof/>
        </w:rPr>
        <w:t xml:space="preserve">Joulukuussa julkistettiin </w:t>
      </w:r>
      <w:r>
        <w:rPr>
          <w:rFonts w:ascii="Times New Roman" w:hAnsi="Times New Roman"/>
          <w:b/>
          <w:noProof/>
        </w:rPr>
        <w:t>vuorovaikutteinen Atlas of Migration -verkkotyökalu</w:t>
      </w:r>
      <w:r>
        <w:rPr>
          <w:rFonts w:ascii="Times New Roman" w:hAnsi="Times New Roman"/>
          <w:noProof/>
        </w:rPr>
        <w:t>, joka tarjoaa tietoa 60 erilaisesta väestörakenteeseen, muuttoliikkeeseen, turvapaikkoihin, kotouttamiseen ja kehitykseen liittyvästä indikaattorista.</w:t>
      </w:r>
    </w:p>
    <w:p>
      <w:pPr>
        <w:numPr>
          <w:ilvl w:val="0"/>
          <w:numId w:val="24"/>
        </w:numPr>
        <w:jc w:val="both"/>
        <w:rPr>
          <w:rFonts w:ascii="Times New Roman" w:hAnsi="Times New Roman" w:cs="Times New Roman"/>
          <w:noProof/>
        </w:rPr>
      </w:pPr>
      <w:r>
        <w:rPr>
          <w:rFonts w:ascii="Times New Roman" w:hAnsi="Times New Roman"/>
          <w:noProof/>
        </w:rPr>
        <w:t xml:space="preserve">JRC tuki tekoälyn kehitystä, käyttöönottoa ja vaikutuksia Euroopassa seuraavan </w:t>
      </w:r>
      <w:r>
        <w:rPr>
          <w:rFonts w:ascii="Times New Roman" w:hAnsi="Times New Roman"/>
          <w:b/>
          <w:noProof/>
        </w:rPr>
        <w:t>AI Watchin</w:t>
      </w:r>
      <w:r>
        <w:rPr>
          <w:rFonts w:ascii="Times New Roman" w:hAnsi="Times New Roman"/>
          <w:noProof/>
        </w:rPr>
        <w:t xml:space="preserve"> perustamista.</w:t>
      </w:r>
    </w:p>
    <w:p>
      <w:pPr>
        <w:numPr>
          <w:ilvl w:val="0"/>
          <w:numId w:val="24"/>
        </w:numPr>
        <w:jc w:val="both"/>
        <w:rPr>
          <w:rFonts w:ascii="Times New Roman" w:hAnsi="Times New Roman" w:cs="Times New Roman"/>
          <w:noProof/>
        </w:rPr>
      </w:pPr>
      <w:r>
        <w:rPr>
          <w:rFonts w:ascii="Times New Roman" w:hAnsi="Times New Roman"/>
          <w:noProof/>
        </w:rPr>
        <w:t xml:space="preserve">JRC kehitti </w:t>
      </w:r>
      <w:r>
        <w:rPr>
          <w:rFonts w:ascii="Times New Roman" w:hAnsi="Times New Roman"/>
          <w:b/>
          <w:noProof/>
        </w:rPr>
        <w:t>RHOMOLO-EIB Computable General Equilibrium</w:t>
      </w:r>
      <w:r>
        <w:rPr>
          <w:rFonts w:ascii="Times New Roman" w:hAnsi="Times New Roman"/>
          <w:noProof/>
        </w:rPr>
        <w:t xml:space="preserve"> -mallin, jonka avulla tehdään poliittisia simulaatioita toiminnan makrotaloudellisten vaikutusten arvioimiseksi.</w:t>
      </w:r>
    </w:p>
    <w:p>
      <w:pPr>
        <w:numPr>
          <w:ilvl w:val="0"/>
          <w:numId w:val="24"/>
        </w:numPr>
        <w:jc w:val="both"/>
        <w:rPr>
          <w:rFonts w:ascii="Times New Roman" w:hAnsi="Times New Roman" w:cs="Times New Roman"/>
          <w:noProof/>
        </w:rPr>
      </w:pPr>
      <w:r>
        <w:rPr>
          <w:rFonts w:ascii="Times New Roman" w:hAnsi="Times New Roman"/>
          <w:noProof/>
        </w:rPr>
        <w:t>JRC julkaisi yli 1 100 politiikkaan liittyvää julkaisua ja lähes 700 tieteellistä vertaisarvioitua julkaisua; noin 40 prosenttia JRC:n vertaisarvioiduista artikkeleista julkaistiin niissä kymmenessä prosentissa lehdistä, joihin viitataan eniten.</w:t>
      </w:r>
    </w:p>
    <w:p>
      <w:pPr>
        <w:jc w:val="both"/>
        <w:rPr>
          <w:rFonts w:ascii="Times New Roman" w:hAnsi="Times New Roman" w:cs="Times New Roman"/>
          <w:b/>
          <w:noProof/>
        </w:rPr>
      </w:pPr>
    </w:p>
    <w:p>
      <w:pPr>
        <w:numPr>
          <w:ilvl w:val="1"/>
          <w:numId w:val="21"/>
        </w:numPr>
        <w:jc w:val="both"/>
        <w:rPr>
          <w:rFonts w:ascii="Times New Roman" w:hAnsi="Times New Roman" w:cs="Times New Roman"/>
          <w:b/>
          <w:i/>
          <w:noProof/>
        </w:rPr>
      </w:pPr>
      <w:r>
        <w:rPr>
          <w:rFonts w:ascii="Times New Roman" w:hAnsi="Times New Roman"/>
          <w:b/>
          <w:i/>
          <w:noProof/>
        </w:rPr>
        <w:t>Euroopan innovaatio- ja teknologiainstituutti (EIT)</w:t>
      </w:r>
    </w:p>
    <w:p>
      <w:pPr>
        <w:jc w:val="both"/>
        <w:rPr>
          <w:rFonts w:ascii="Times New Roman" w:hAnsi="Times New Roman" w:cs="Times New Roman"/>
          <w:noProof/>
        </w:rPr>
      </w:pPr>
      <w:r>
        <w:rPr>
          <w:rFonts w:ascii="Times New Roman" w:hAnsi="Times New Roman"/>
          <w:bCs/>
          <w:iCs/>
          <w:noProof/>
        </w:rPr>
        <w:t xml:space="preserve">Osaamis- ja innovaatioyhteisöjen vuoden 2019 liiketoimintasuunnitelmien täytäntöönpanoon liittyvä EIT:n rahoitusosuus oli yhteensä 470 miljoonaa euroa. </w:t>
      </w:r>
    </w:p>
    <w:p>
      <w:pPr>
        <w:jc w:val="both"/>
        <w:rPr>
          <w:rFonts w:ascii="Times New Roman" w:hAnsi="Times New Roman" w:cs="Times New Roman"/>
          <w:noProof/>
        </w:rPr>
      </w:pPr>
      <w:r>
        <w:rPr>
          <w:rFonts w:ascii="Times New Roman" w:hAnsi="Times New Roman"/>
          <w:noProof/>
        </w:rPr>
        <w:t>EIT:n innovaatiomalli toimii, ja sillä on todellisia vaikutuksia eräisiin Euroopan suurimpiin yhteiskunnallisiin haasteisiin. Vuonna 2019 EIT-yhteisöstä kehittyi noin 1 650 kumppanin luotettava verkosto, johon kuului 51 yhteistoimintakeskittymää/-keskusta 16 jäsenvaltiossa. Tämä teki siitä yhden Euroopan suurimmista verkottuneista innovaatioyhteisöistä. EIT on perustamisensa jälkeen tukenut yli 1 250:tä start-up- ja scale-up-yritystä, luonut yli 6 100 korkean osaamistason työpaikkaa ja tuonut markkinoille yli 600 uutta tuotetta ja palvelua.</w:t>
      </w:r>
    </w:p>
    <w:p>
      <w:pPr>
        <w:jc w:val="both"/>
        <w:rPr>
          <w:rFonts w:ascii="Times New Roman" w:hAnsi="Times New Roman" w:cs="Times New Roman"/>
          <w:noProof/>
        </w:rPr>
      </w:pPr>
    </w:p>
    <w:p>
      <w:pPr>
        <w:jc w:val="both"/>
        <w:rPr>
          <w:rFonts w:ascii="Times New Roman" w:hAnsi="Times New Roman" w:cs="Times New Roman"/>
          <w:b/>
          <w:bCs/>
          <w:iCs/>
          <w:noProof/>
        </w:rPr>
      </w:pPr>
      <w:r>
        <w:rPr>
          <w:rFonts w:ascii="Times New Roman" w:hAnsi="Times New Roman"/>
          <w:b/>
          <w:noProof/>
        </w:rPr>
        <w:t>5.</w:t>
      </w:r>
      <w:r>
        <w:rPr>
          <w:noProof/>
        </w:rPr>
        <w:tab/>
      </w:r>
      <w:r>
        <w:rPr>
          <w:rFonts w:ascii="Times New Roman" w:hAnsi="Times New Roman"/>
          <w:b/>
          <w:noProof/>
        </w:rPr>
        <w:t>Horisontti 2020 -puiteohjelmaa täydentävän Euratom-ohjelman toteuttaminen</w:t>
      </w:r>
    </w:p>
    <w:p>
      <w:pPr>
        <w:numPr>
          <w:ilvl w:val="1"/>
          <w:numId w:val="28"/>
        </w:numPr>
        <w:jc w:val="both"/>
        <w:rPr>
          <w:rFonts w:ascii="Times New Roman" w:hAnsi="Times New Roman" w:cs="Times New Roman"/>
          <w:b/>
          <w:i/>
          <w:noProof/>
        </w:rPr>
      </w:pPr>
      <w:r>
        <w:rPr>
          <w:rFonts w:ascii="Times New Roman" w:hAnsi="Times New Roman"/>
          <w:b/>
          <w:i/>
          <w:noProof/>
        </w:rPr>
        <w:t>Epäsuorat toimet</w:t>
      </w:r>
    </w:p>
    <w:p>
      <w:pPr>
        <w:jc w:val="both"/>
        <w:rPr>
          <w:rFonts w:ascii="Times New Roman" w:hAnsi="Times New Roman" w:cs="Times New Roman"/>
          <w:noProof/>
        </w:rPr>
      </w:pPr>
      <w:r>
        <w:rPr>
          <w:rFonts w:ascii="Times New Roman" w:hAnsi="Times New Roman"/>
          <w:noProof/>
        </w:rPr>
        <w:t>Vuoden 2019 loppuun mennessä oli saatu päätökseen neljä ehdotuspyyntöä. Tukikelpoisia ehdotuksia saatiin 192, ja niissä haettu Euratomin rahoitusosuus oli yhteensä 725,70 miljoonaa euroa. Näistä ehdotuksista valittiin rahoitettaviksi 62, ja Euratomin rahoitusosuus oli 271,29 miljoonaa euroa. Tukikelpoisten ehdotusten yleinen hyväksymisaste vuodesta 2014 lähtien oli 32,12 prosenttia.</w:t>
      </w:r>
    </w:p>
    <w:p>
      <w:pPr>
        <w:jc w:val="both"/>
        <w:rPr>
          <w:rFonts w:ascii="Times New Roman" w:hAnsi="Times New Roman" w:cs="Times New Roman"/>
          <w:noProof/>
        </w:rPr>
      </w:pPr>
      <w:r>
        <w:rPr>
          <w:rFonts w:ascii="Times New Roman" w:hAnsi="Times New Roman"/>
          <w:noProof/>
        </w:rPr>
        <w:t xml:space="preserve">Vuoden 2019 lopussa saatiin päätökseen viides ehdotuspyyntö (määräaika 25. syyskuuta). Tukikelpoisia ehdotuksia oli 62, ja niissä haettu Euratomin rahoitusosuus oli yhteensä 265,33 miljoonaa euroa. Arvioinnin jälkeen 31 ehdotukselle suositeltiin yhteensä 133,19 miljoonan euron rahoitusosuutta. Avustukset on tarkoitus myöntää ja allekirjoittaa vuonna 2020, jos kaikki tarvittavat tarkistukset hyväksytään. </w:t>
      </w:r>
    </w:p>
    <w:p>
      <w:pPr>
        <w:jc w:val="both"/>
        <w:rPr>
          <w:rFonts w:ascii="Times New Roman" w:hAnsi="Times New Roman" w:cs="Times New Roman"/>
          <w:b/>
          <w:i/>
          <w:noProof/>
        </w:rPr>
      </w:pPr>
      <w:r>
        <w:rPr>
          <w:rFonts w:ascii="Times New Roman" w:hAnsi="Times New Roman"/>
          <w:b/>
          <w:bCs/>
          <w:i/>
          <w:iCs/>
          <w:noProof/>
        </w:rPr>
        <w:t xml:space="preserve">5.2 Yhteisen tutkimuskeskuksen (JRC) toteuttamat ydinalan suorat toimet </w:t>
      </w:r>
    </w:p>
    <w:p>
      <w:pPr>
        <w:jc w:val="both"/>
        <w:rPr>
          <w:rFonts w:ascii="Times New Roman" w:hAnsi="Times New Roman" w:cs="Times New Roman"/>
          <w:noProof/>
        </w:rPr>
      </w:pPr>
      <w:r>
        <w:rPr>
          <w:rFonts w:ascii="Times New Roman" w:hAnsi="Times New Roman"/>
          <w:noProof/>
        </w:rPr>
        <w:t xml:space="preserve">JRC:n vuonna 2019 toteuttamat suorat toimet kattoivat tutkimuksen ja koulutuksen seuraavilla ohjelman erityistavoitteiden perusteella valituilla aloilla: </w:t>
      </w:r>
    </w:p>
    <w:p>
      <w:pPr>
        <w:numPr>
          <w:ilvl w:val="0"/>
          <w:numId w:val="24"/>
        </w:numPr>
        <w:jc w:val="both"/>
        <w:rPr>
          <w:rFonts w:ascii="Times New Roman" w:hAnsi="Times New Roman" w:cs="Times New Roman"/>
          <w:noProof/>
        </w:rPr>
      </w:pPr>
      <w:r>
        <w:rPr>
          <w:rFonts w:ascii="Times New Roman" w:hAnsi="Times New Roman"/>
          <w:noProof/>
        </w:rPr>
        <w:t xml:space="preserve">ydinturvallisuuden parantaminen </w:t>
      </w:r>
    </w:p>
    <w:p>
      <w:pPr>
        <w:numPr>
          <w:ilvl w:val="0"/>
          <w:numId w:val="24"/>
        </w:numPr>
        <w:jc w:val="both"/>
        <w:rPr>
          <w:rFonts w:ascii="Times New Roman" w:hAnsi="Times New Roman" w:cs="Times New Roman"/>
          <w:noProof/>
        </w:rPr>
      </w:pPr>
      <w:r>
        <w:rPr>
          <w:rFonts w:ascii="Times New Roman" w:hAnsi="Times New Roman"/>
          <w:noProof/>
        </w:rPr>
        <w:t xml:space="preserve">ydinmateriaalivalvonnan parantaminen, ydinaseiden leviämisen estäminen ja ydinalan turva- ja varmuusjärjestelyjen parantaminen </w:t>
      </w:r>
    </w:p>
    <w:p>
      <w:pPr>
        <w:numPr>
          <w:ilvl w:val="0"/>
          <w:numId w:val="24"/>
        </w:numPr>
        <w:jc w:val="both"/>
        <w:rPr>
          <w:rFonts w:ascii="Times New Roman" w:hAnsi="Times New Roman" w:cs="Times New Roman"/>
          <w:noProof/>
        </w:rPr>
      </w:pPr>
      <w:r>
        <w:rPr>
          <w:rFonts w:ascii="Times New Roman" w:hAnsi="Times New Roman"/>
          <w:noProof/>
        </w:rPr>
        <w:t>perustason tieteellisen tietämyksen lisääminen sekä standardit ja vertailumateriaalit</w:t>
      </w:r>
    </w:p>
    <w:p>
      <w:pPr>
        <w:numPr>
          <w:ilvl w:val="0"/>
          <w:numId w:val="24"/>
        </w:numPr>
        <w:jc w:val="both"/>
        <w:rPr>
          <w:rFonts w:ascii="Times New Roman" w:hAnsi="Times New Roman" w:cs="Times New Roman"/>
          <w:noProof/>
        </w:rPr>
      </w:pPr>
      <w:r>
        <w:rPr>
          <w:rFonts w:ascii="Times New Roman" w:hAnsi="Times New Roman"/>
          <w:noProof/>
        </w:rPr>
        <w:t xml:space="preserve">tietämyksen hallinnan ja koulutuksen edistäminen </w:t>
      </w:r>
    </w:p>
    <w:p>
      <w:pPr>
        <w:numPr>
          <w:ilvl w:val="0"/>
          <w:numId w:val="24"/>
        </w:numPr>
        <w:jc w:val="both"/>
        <w:rPr>
          <w:rFonts w:ascii="Times New Roman" w:hAnsi="Times New Roman" w:cs="Times New Roman"/>
          <w:noProof/>
        </w:rPr>
      </w:pPr>
      <w:r>
        <w:rPr>
          <w:rFonts w:ascii="Times New Roman" w:hAnsi="Times New Roman"/>
          <w:noProof/>
        </w:rPr>
        <w:t>tieteellisen ja teknisen tuen antaminen EU:hun liittyvissä politiikoissa.</w:t>
      </w:r>
    </w:p>
    <w:p>
      <w:pPr>
        <w:jc w:val="both"/>
        <w:rPr>
          <w:rFonts w:ascii="Times New Roman" w:hAnsi="Times New Roman" w:cs="Times New Roman"/>
          <w:noProof/>
        </w:rPr>
      </w:pPr>
      <w:r>
        <w:rPr>
          <w:rFonts w:ascii="Times New Roman" w:hAnsi="Times New Roman"/>
          <w:noProof/>
        </w:rPr>
        <w:t xml:space="preserve">Vuonna 2019 JRC:n tutkijat julkaisivat 99 artikkelia vertaisarvioiduissa aikakauslehdissä ja 37 artikkelia monografioissa tai muissa aikakauslehdissä. Lisäksi JRC julkaisi 15 Science for Policy -asiakirjaa ja 102 teknistä raporttia yhdessä vertailumenetelmien ja -mittausten, teknisten järjestelmien ja tieteellisten tietokantojen kanssa. JRC järjesti myös 25 kurssia jäsenvaltioiden ja komission ammattilaisille ja opiskelijoille ja avasi pääsyn ydinalan tutkimusinfrastruktuuriinsa. </w:t>
      </w:r>
    </w:p>
    <w:p>
      <w:pPr>
        <w:jc w:val="both"/>
        <w:rPr>
          <w:rFonts w:ascii="Times New Roman" w:hAnsi="Times New Roman" w:cs="Times New Roman"/>
          <w:b/>
          <w:noProof/>
        </w:rPr>
      </w:pPr>
      <w:r>
        <w:rPr>
          <w:rFonts w:ascii="Times New Roman" w:hAnsi="Times New Roman"/>
          <w:b/>
          <w:noProof/>
        </w:rPr>
        <w:t xml:space="preserve">6. </w:t>
      </w:r>
      <w:r>
        <w:rPr>
          <w:noProof/>
        </w:rPr>
        <w:tab/>
      </w:r>
      <w:r>
        <w:rPr>
          <w:rFonts w:ascii="Times New Roman" w:hAnsi="Times New Roman"/>
          <w:b/>
          <w:noProof/>
        </w:rPr>
        <w:t>Tulosten levittäminen ja hyödyntäminen sekä viestintä</w:t>
      </w:r>
    </w:p>
    <w:p>
      <w:pPr>
        <w:jc w:val="both"/>
        <w:rPr>
          <w:rFonts w:ascii="Times New Roman" w:hAnsi="Times New Roman" w:cs="Times New Roman"/>
          <w:noProof/>
        </w:rPr>
      </w:pPr>
      <w:r>
        <w:rPr>
          <w:rFonts w:ascii="Times New Roman" w:hAnsi="Times New Roman"/>
          <w:noProof/>
        </w:rPr>
        <w:t xml:space="preserve">Horisontti 2020 -puiteohjelman avustussopimusmallin avointa saatavuutta koskevilla määräyksillä varmistetaan, että kaikki Horisontti 2020 -hankkeissa tuotetut lähes 75 000 julkaisua ovat saatavilla. Vuonna 2019 vertaisarvioiduissa lehdissä julkaistuista artikkeleista 88 prosenttia oli avoimesti saatavilla, joten Horisontti 2020 -puiteohjelman avoimen saatavuuden politiikka on yksi maailman onnistuneimmista. </w:t>
      </w:r>
    </w:p>
    <w:p>
      <w:pPr>
        <w:jc w:val="both"/>
        <w:rPr>
          <w:rFonts w:ascii="Times New Roman" w:hAnsi="Times New Roman" w:cs="Times New Roman"/>
          <w:noProof/>
        </w:rPr>
      </w:pPr>
      <w:r>
        <w:rPr>
          <w:rFonts w:ascii="Times New Roman" w:hAnsi="Times New Roman"/>
          <w:noProof/>
        </w:rPr>
        <w:t xml:space="preserve">Integroitu hyödyntämistä tukeva ekosysteemi muotoutuu asteittain: </w:t>
      </w:r>
      <w:r>
        <w:rPr>
          <w:rFonts w:ascii="Times New Roman" w:hAnsi="Times New Roman"/>
          <w:b/>
          <w:bCs/>
          <w:noProof/>
        </w:rPr>
        <w:t xml:space="preserve">Horizon Results Platform </w:t>
      </w:r>
      <w:r>
        <w:rPr>
          <w:rFonts w:ascii="Times New Roman" w:hAnsi="Times New Roman"/>
          <w:noProof/>
        </w:rPr>
        <w:t xml:space="preserve">-tulosfoorumilla tuensaajat voivat julkaista tutkimustuloksiaan ja selvittää vuoden 2019 T&amp;I-päivillä esiteltyjen tulosten edelleenhyödyntämistarpeita. Tarjouskilpailu uusista tuensaajille suunnatuista, heidän tarpeisiinsa perustuvista </w:t>
      </w:r>
      <w:r>
        <w:rPr>
          <w:rFonts w:ascii="Times New Roman" w:hAnsi="Times New Roman"/>
          <w:b/>
          <w:bCs/>
          <w:noProof/>
        </w:rPr>
        <w:t xml:space="preserve">Dissemination and Exploitation Booster </w:t>
      </w:r>
      <w:r>
        <w:rPr>
          <w:rFonts w:ascii="Times New Roman" w:hAnsi="Times New Roman"/>
          <w:noProof/>
        </w:rPr>
        <w:t xml:space="preserve">-palveluista saatiin päätökseen. Vuoden 2019 T&amp;I-päivillä jaettiin ensimmäiset </w:t>
      </w:r>
      <w:r>
        <w:rPr>
          <w:rFonts w:ascii="Times New Roman" w:hAnsi="Times New Roman"/>
          <w:b/>
          <w:bCs/>
          <w:noProof/>
        </w:rPr>
        <w:t>Horizon Impact Award</w:t>
      </w:r>
      <w:r>
        <w:rPr>
          <w:rFonts w:ascii="Times New Roman" w:hAnsi="Times New Roman"/>
          <w:noProof/>
        </w:rPr>
        <w:t xml:space="preserve"> -palkinnot tunnustuksena merkittäville Horisontti 2020 -hankkeille tai seitsemännen puiteohjelman (PO7) hankkeille, joilla on osoitettu olevan yhteiskunnallista arvoa. Lisäksi jatkettiin </w:t>
      </w:r>
      <w:r>
        <w:rPr>
          <w:rFonts w:ascii="Times New Roman" w:hAnsi="Times New Roman"/>
          <w:b/>
          <w:bCs/>
          <w:noProof/>
        </w:rPr>
        <w:t>tietostrategian</w:t>
      </w:r>
      <w:r>
        <w:rPr>
          <w:rFonts w:ascii="Times New Roman" w:hAnsi="Times New Roman"/>
          <w:noProof/>
        </w:rPr>
        <w:t xml:space="preserve"> täytäntöönpanoa puiteohjelman datan ja ulkoisten tietoaineistojen, kuten julkaisujen tai patenttien sekä kansallisen ja alueellisen T&amp;I-datan yhdistämiseksi ja yhteentoimivuuden lisäämiseksi uuden </w:t>
      </w:r>
      <w:r>
        <w:rPr>
          <w:rFonts w:ascii="Times New Roman" w:hAnsi="Times New Roman"/>
          <w:b/>
          <w:noProof/>
        </w:rPr>
        <w:t>European R&amp;I Data Hub</w:t>
      </w:r>
      <w:r>
        <w:rPr>
          <w:rFonts w:ascii="Times New Roman" w:hAnsi="Times New Roman"/>
          <w:noProof/>
        </w:rPr>
        <w:t xml:space="preserve"> -aloitteen puitteissa. Edistystä tapahtui myös </w:t>
      </w:r>
      <w:r>
        <w:rPr>
          <w:rFonts w:ascii="Times New Roman" w:hAnsi="Times New Roman"/>
          <w:b/>
          <w:noProof/>
        </w:rPr>
        <w:t>IRIS</w:t>
      </w:r>
      <w:r>
        <w:rPr>
          <w:rFonts w:ascii="Times New Roman" w:hAnsi="Times New Roman"/>
          <w:noProof/>
        </w:rPr>
        <w:t xml:space="preserve">-tiedonlouhintatyökalun suhteen sekä </w:t>
      </w:r>
      <w:r>
        <w:rPr>
          <w:rFonts w:ascii="Times New Roman" w:hAnsi="Times New Roman"/>
          <w:b/>
          <w:noProof/>
        </w:rPr>
        <w:t>tutkimustulosten seurannassa</w:t>
      </w:r>
      <w:r>
        <w:rPr>
          <w:rFonts w:ascii="Times New Roman" w:hAnsi="Times New Roman"/>
          <w:noProof/>
        </w:rPr>
        <w:t xml:space="preserve">, jossa tavoitteena on parantaa puiteohjelman tulosten ja vaikutusten seurantaa ja jäljittämistä ajan mittaan.  </w:t>
      </w:r>
      <w:r>
        <w:rPr>
          <w:rFonts w:ascii="Times New Roman" w:hAnsi="Times New Roman"/>
          <w:b/>
          <w:noProof/>
        </w:rPr>
        <w:t xml:space="preserve"> </w:t>
      </w:r>
    </w:p>
    <w:p>
      <w:pPr>
        <w:jc w:val="both"/>
        <w:rPr>
          <w:rFonts w:ascii="Times New Roman" w:hAnsi="Times New Roman" w:cs="Times New Roman"/>
          <w:noProof/>
        </w:rPr>
      </w:pPr>
      <w:r>
        <w:rPr>
          <w:rFonts w:ascii="Times New Roman" w:hAnsi="Times New Roman"/>
          <w:noProof/>
        </w:rPr>
        <w:t xml:space="preserve">Tulosten levittämisen parantamiseksi </w:t>
      </w:r>
      <w:r>
        <w:rPr>
          <w:rFonts w:ascii="Times New Roman" w:hAnsi="Times New Roman"/>
          <w:b/>
          <w:bCs/>
          <w:noProof/>
        </w:rPr>
        <w:t>Horizon Dashboard</w:t>
      </w:r>
      <w:r>
        <w:rPr>
          <w:rFonts w:ascii="Times New Roman" w:hAnsi="Times New Roman"/>
          <w:noProof/>
        </w:rPr>
        <w:t xml:space="preserve"> -sivustoa, joka tarjoaa rahoitettuja hankkeita koskevia keskeisiä tietoja ja indikaattoreita, parannettiin edelleen, ja mukaan otettiin uusia poliittisia painopistealoja, kuten EIC ja huippuosaamismerkki. Sivusto tarjoaa ensimmäistä kertaa konsolidoidut luvut tuloksista, erityisesti PO7- ja H2020-hankkeiden teollis- ja tekijänoikeuksista ja tieteellisistä julkaisuista.</w:t>
      </w:r>
      <w:r>
        <w:rPr>
          <w:rFonts w:ascii="Times New Roman" w:hAnsi="Times New Roman"/>
          <w:i/>
          <w:iCs/>
          <w:noProof/>
        </w:rPr>
        <w:t xml:space="preserve"> </w:t>
      </w:r>
      <w:r>
        <w:rPr>
          <w:rFonts w:ascii="Times New Roman" w:hAnsi="Times New Roman"/>
          <w:iCs/>
          <w:noProof/>
        </w:rPr>
        <w:t>CORDIS jatkoi säännöllisen Research*eu-lehden ja temaattisten tulospakettien tuottamista, ja sitä täydensi tapahtumien ja sosiaalisen median kautta tapahtuva tiedotus</w:t>
      </w:r>
      <w:r>
        <w:rPr>
          <w:rFonts w:ascii="Times New Roman" w:hAnsi="Times New Roman"/>
          <w:noProof/>
        </w:rPr>
        <w:t xml:space="preserve">. Lisäksi julkistettiin uusi monikielinen tieteenalojen luokitusjärjestelmä </w:t>
      </w:r>
      <w:r>
        <w:rPr>
          <w:rFonts w:ascii="Times New Roman" w:hAnsi="Times New Roman"/>
          <w:iCs/>
          <w:noProof/>
        </w:rPr>
        <w:t>EuroSciVoc, joka mahdollista hankkeiden puoliautomaattisen luokittelun ja toimiin avoimen tieteen viitesanastona.</w:t>
      </w:r>
      <w:r>
        <w:rPr>
          <w:rFonts w:ascii="Times New Roman" w:hAnsi="Times New Roman"/>
          <w:noProof/>
        </w:rPr>
        <w:t xml:space="preserve"> </w:t>
      </w:r>
    </w:p>
    <w:p>
      <w:pPr>
        <w:jc w:val="both"/>
        <w:rPr>
          <w:rFonts w:ascii="Times New Roman" w:hAnsi="Times New Roman" w:cs="Times New Roman"/>
          <w:noProof/>
        </w:rPr>
      </w:pPr>
      <w:r>
        <w:rPr>
          <w:rFonts w:ascii="Times New Roman" w:hAnsi="Times New Roman"/>
          <w:noProof/>
        </w:rPr>
        <w:t>Marie Skłodowska-Curie toimiin liittyvästä European Researchers’ Night (NIGHT) on Euroopan suurin tutkimusalan viestintä- ja edistämistapahtuma. Vuonna 2019 NIGHT-tapahtuma toteutettiin 27. syyskuuta 2019 yli 400 kaupungissa, ja se houkutteli 1,65 miljoonaa kävijää. Mukana oli 55 Marie Skłodowska-Curie -toimien kautta rahoitettua hanketta, joihin osallistui 35 000 tutkijaa.</w:t>
      </w:r>
    </w:p>
    <w:p>
      <w:pPr>
        <w:jc w:val="both"/>
        <w:rPr>
          <w:rFonts w:ascii="Times New Roman" w:hAnsi="Times New Roman" w:cs="Times New Roman"/>
          <w:noProof/>
        </w:rPr>
      </w:pPr>
    </w:p>
    <w:p>
      <w:pPr>
        <w:jc w:val="both"/>
        <w:rPr>
          <w:rFonts w:ascii="Times New Roman" w:hAnsi="Times New Roman" w:cs="Times New Roman"/>
          <w:b/>
          <w:noProof/>
        </w:rPr>
      </w:pPr>
      <w:r>
        <w:rPr>
          <w:rFonts w:ascii="Times New Roman" w:hAnsi="Times New Roman"/>
          <w:b/>
          <w:noProof/>
        </w:rPr>
        <w:t xml:space="preserve">7. </w:t>
      </w:r>
      <w:r>
        <w:rPr>
          <w:noProof/>
        </w:rPr>
        <w:tab/>
      </w:r>
      <w:r>
        <w:rPr>
          <w:rFonts w:ascii="Times New Roman" w:hAnsi="Times New Roman"/>
          <w:b/>
          <w:noProof/>
        </w:rPr>
        <w:t xml:space="preserve">Tulevaisuudennäkymät  </w:t>
      </w:r>
    </w:p>
    <w:p>
      <w:pPr>
        <w:jc w:val="both"/>
        <w:rPr>
          <w:rFonts w:ascii="Times New Roman" w:hAnsi="Times New Roman" w:cs="Times New Roman"/>
          <w:noProof/>
        </w:rPr>
      </w:pPr>
      <w:r>
        <w:rPr>
          <w:rFonts w:ascii="Times New Roman" w:hAnsi="Times New Roman"/>
          <w:noProof/>
        </w:rPr>
        <w:t>Horisontti Eurooppa -puiteohjelmaa koskevat toimielinten väliset neuvottelut (SEUT ja Euratom) päättyvät vuonna 2020, jos EU:n vuosien 2021–2027 talousarviota koskevat yleiset neuvottelut saadaan päätökseen. Horisontti Eurooppa -puiteohjelman ensimmäinen strateginen suunnitelma viimeistellään, mikä tasoittaa tietä ensimmäisille työohjelmille. Näin varmistetaan yhdenmukaisuus uusien poliittisten painopisteiden, erityisesti ilmastonmuutoksen ja digitalisaation, kanssa.</w:t>
      </w:r>
      <w:r>
        <w:rPr>
          <w:rFonts w:ascii="Times New Roman" w:hAnsi="Times New Roman"/>
          <w:i/>
          <w:iCs/>
          <w:noProof/>
        </w:rPr>
        <w:t xml:space="preserve"> </w:t>
      </w:r>
      <w:r>
        <w:rPr>
          <w:rFonts w:ascii="Times New Roman" w:hAnsi="Times New Roman"/>
          <w:iCs/>
          <w:noProof/>
        </w:rPr>
        <w:t>Lisäksi toteutetaan koronaviruspandemiaan (covid-19) liittyviä erityistoimenpiteitä.</w:t>
      </w:r>
    </w:p>
    <w:p>
      <w:pPr>
        <w:jc w:val="both"/>
        <w:rPr>
          <w:rFonts w:ascii="Times New Roman" w:hAnsi="Times New Roman" w:cs="Times New Roman"/>
          <w:noProof/>
        </w:rPr>
      </w:pPr>
      <w:r>
        <w:rPr>
          <w:rFonts w:ascii="Times New Roman" w:hAnsi="Times New Roman"/>
          <w:noProof/>
        </w:rPr>
        <w:t xml:space="preserve">Paljon työtä tarvitaan sellaisen </w:t>
      </w:r>
      <w:r>
        <w:rPr>
          <w:rFonts w:ascii="Times New Roman" w:hAnsi="Times New Roman"/>
          <w:b/>
          <w:noProof/>
        </w:rPr>
        <w:t>politiikan laatimiseen, jolla voidaan edistää tehokkaammin tutkimusta ja innovointia Euroopassa</w:t>
      </w:r>
      <w:r>
        <w:rPr>
          <w:rFonts w:ascii="Times New Roman" w:hAnsi="Times New Roman"/>
          <w:noProof/>
        </w:rPr>
        <w:t xml:space="preserve">, tukea </w:t>
      </w:r>
      <w:r>
        <w:rPr>
          <w:rFonts w:ascii="Times New Roman" w:hAnsi="Times New Roman"/>
          <w:b/>
          <w:noProof/>
        </w:rPr>
        <w:t>YK:n kestävän kehityksen tavoitteita</w:t>
      </w:r>
      <w:r>
        <w:rPr>
          <w:rFonts w:ascii="Times New Roman" w:hAnsi="Times New Roman"/>
          <w:noProof/>
        </w:rPr>
        <w:t xml:space="preserve"> ja saavuttaa EU:n strategiset tavoitteet. Tähän kuuluu erityisesti yleisen kehyksen suunnittelu EU:n resurssien investoimiseksi, uudistusten edistämiseksi ja sääntelykehyksen edellytysten parantamiseksi. </w:t>
      </w:r>
    </w:p>
    <w:p>
      <w:pPr>
        <w:jc w:val="both"/>
        <w:rPr>
          <w:rFonts w:ascii="Times New Roman" w:hAnsi="Times New Roman" w:cs="Times New Roman"/>
          <w:noProof/>
        </w:rPr>
      </w:pPr>
      <w:r>
        <w:rPr>
          <w:rFonts w:ascii="Times New Roman" w:hAnsi="Times New Roman"/>
          <w:noProof/>
        </w:rPr>
        <w:t xml:space="preserve">Komissio esittää vuoden 2020 puoliväliin mennessä </w:t>
      </w:r>
      <w:r>
        <w:rPr>
          <w:rFonts w:ascii="Times New Roman" w:hAnsi="Times New Roman"/>
          <w:b/>
          <w:noProof/>
        </w:rPr>
        <w:t xml:space="preserve">Horisontti Eurooppa -puiteohjelman missioita koskevan tiedonannon </w:t>
      </w:r>
      <w:r>
        <w:rPr>
          <w:rFonts w:ascii="Times New Roman" w:hAnsi="Times New Roman"/>
          <w:noProof/>
        </w:rPr>
        <w:t xml:space="preserve">sekä </w:t>
      </w:r>
      <w:r>
        <w:rPr>
          <w:rFonts w:ascii="Times New Roman" w:hAnsi="Times New Roman"/>
          <w:b/>
          <w:noProof/>
        </w:rPr>
        <w:t>EU:n tutkimus- ja innovaatiopolitiikan ja eurooppalaisen tutkimusalueen tulevaisuutta koskevan tiedonannon</w:t>
      </w:r>
      <w:r>
        <w:rPr>
          <w:rFonts w:ascii="Times New Roman" w:hAnsi="Times New Roman"/>
          <w:noProof/>
        </w:rPr>
        <w:t xml:space="preserve">. Eurooppalainen tutkimusalue on keskeinen painopiste myös Kroatian ja Saksan puheenjohtajakausilla vuonna 2020. </w:t>
      </w:r>
    </w:p>
    <w:p>
      <w:pPr>
        <w:jc w:val="both"/>
        <w:rPr>
          <w:rFonts w:ascii="Times New Roman" w:hAnsi="Times New Roman" w:cs="Times New Roman"/>
          <w:noProof/>
        </w:rPr>
      </w:pPr>
      <w:r>
        <w:rPr>
          <w:rFonts w:ascii="Times New Roman" w:hAnsi="Times New Roman"/>
          <w:noProof/>
        </w:rPr>
        <w:t xml:space="preserve">Syyskuussa 2020 järjestetään </w:t>
      </w:r>
      <w:r>
        <w:rPr>
          <w:rFonts w:ascii="Times New Roman" w:hAnsi="Times New Roman"/>
          <w:b/>
          <w:noProof/>
        </w:rPr>
        <w:t xml:space="preserve">toiset T&amp;I-päivät </w:t>
      </w:r>
      <w:hyperlink r:id="rId53" w:history="1">
        <w:r>
          <w:rPr>
            <w:rStyle w:val="Hyperlink"/>
            <w:rFonts w:ascii="Times New Roman" w:hAnsi="Times New Roman"/>
            <w:noProof/>
            <w:color w:val="auto"/>
          </w:rPr>
          <w:t>Euroopan tulevaisuutta</w:t>
        </w:r>
      </w:hyperlink>
      <w:r>
        <w:rPr>
          <w:rFonts w:ascii="Times New Roman" w:hAnsi="Times New Roman"/>
          <w:noProof/>
        </w:rPr>
        <w:t xml:space="preserve"> käsittelevän konferenssin edistämiseksi. Sidosryhmillä on edelleen näkyvä osa Horisontti Eurooppa -puiteohjelman strategisessa suunnittelussa ja puiteohjelman työohjelmien valmistelussa. </w:t>
      </w:r>
    </w:p>
    <w:p>
      <w:pPr>
        <w:rPr>
          <w:noProof/>
        </w:rPr>
      </w:pPr>
    </w:p>
    <w:sectPr>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EC Square Sans Pro">
    <w:altName w:val="Segoe UI Light"/>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8143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Fonts w:eastAsiaTheme="minorHAnsi"/>
        </w:rPr>
        <w:footnoteRef/>
      </w:r>
      <w:r>
        <w:t xml:space="preserve"> Tästä aiheesta käydään toimielinten väliset neuvottelut vuonna 2020.</w:t>
      </w:r>
    </w:p>
  </w:footnote>
  <w:footnote w:id="2">
    <w:p>
      <w:pPr>
        <w:pStyle w:val="FootnoteText"/>
        <w:rPr>
          <w:rFonts w:ascii="Times New Roman" w:hAnsi="Times New Roman" w:cs="Times New Roman"/>
        </w:rPr>
      </w:pPr>
      <w:r>
        <w:rPr>
          <w:rStyle w:val="FootnoteReference"/>
          <w:rFonts w:eastAsiaTheme="minorHAnsi"/>
        </w:rPr>
        <w:footnoteRef/>
      </w:r>
      <w:r>
        <w:t xml:space="preserve"> </w:t>
      </w:r>
      <w:r>
        <w:rPr>
          <w:rFonts w:ascii="Times New Roman" w:hAnsi="Times New Roman"/>
        </w:rPr>
        <w:t>Vuoden 2019 maaraporteissa ja maakohtaisissa suosituksissa painotettiin investointeja, sillä niiden tarkoituksena oli antaa erityisiä ohjeita EU:n rahastoihin liittyvästä ohjelmasuunnittelusta seuraavaa monivuotista rahoituskehystä varten.</w:t>
      </w:r>
    </w:p>
  </w:footnote>
  <w:footnote w:id="3">
    <w:p>
      <w:pPr>
        <w:pStyle w:val="FootnoteText"/>
        <w:rPr>
          <w:rFonts w:ascii="Times New Roman" w:hAnsi="Times New Roman" w:cs="Times New Roman"/>
        </w:rPr>
      </w:pPr>
      <w:r>
        <w:rPr>
          <w:rStyle w:val="FootnoteReference"/>
          <w:rFonts w:eastAsiaTheme="minorHAnsi"/>
        </w:rPr>
        <w:footnoteRef/>
      </w:r>
      <w:r>
        <w:rPr>
          <w:rStyle w:val="FootnoteReference"/>
          <w:rFonts w:eastAsiaTheme="minorHAnsi"/>
        </w:rPr>
        <w:t xml:space="preserve"> </w:t>
      </w:r>
      <w:r>
        <w:rPr>
          <w:rFonts w:ascii="Times New Roman" w:hAnsi="Times New Roman"/>
        </w:rPr>
        <w:t xml:space="preserve">Osoitteessa </w:t>
      </w:r>
      <w:hyperlink r:id="rId1" w:history="1">
        <w:r>
          <w:rPr>
            <w:rStyle w:val="Hyperlink"/>
            <w:rFonts w:ascii="Times New Roman" w:hAnsi="Times New Roman"/>
          </w:rPr>
          <w:t>https://rio.jrc.ec.europa.eu/en/policy-support-facility</w:t>
        </w:r>
      </w:hyperlink>
      <w:r>
        <w:rPr>
          <w:rFonts w:ascii="Times New Roman" w:hAnsi="Times New Roman"/>
        </w:rPr>
        <w:t xml:space="preserve"> on saatavilla kattava yleiskatsaus aiheesta. </w:t>
      </w:r>
    </w:p>
  </w:footnote>
  <w:footnote w:id="4">
    <w:p>
      <w:pPr>
        <w:pStyle w:val="FootnoteText"/>
      </w:pPr>
      <w:r>
        <w:rPr>
          <w:rStyle w:val="FootnoteReference"/>
          <w:rFonts w:eastAsiaTheme="minorHAnsi"/>
        </w:rPr>
        <w:footnoteRef/>
      </w:r>
      <w:r>
        <w:t xml:space="preserve"> </w:t>
      </w:r>
      <w:r>
        <w:rPr>
          <w:rFonts w:ascii="Times New Roman" w:hAnsi="Times New Roman"/>
        </w:rPr>
        <w:t>Tilanne 5. maaliskuuta 2020 (Horizon 2020 Dashboard -sivuston mukaan).</w:t>
      </w:r>
    </w:p>
  </w:footnote>
  <w:footnote w:id="5">
    <w:p>
      <w:pPr>
        <w:pStyle w:val="FootnoteText"/>
        <w:rPr>
          <w:rFonts w:ascii="Times New Roman" w:eastAsia="Calibri" w:hAnsi="Times New Roman" w:cs="Times New Roman"/>
        </w:rPr>
      </w:pPr>
      <w:r>
        <w:rPr>
          <w:rStyle w:val="FootnoteReference"/>
          <w:rFonts w:eastAsia="Calibri"/>
          <w:lang w:val="fr-BE"/>
        </w:rPr>
        <w:footnoteRef/>
      </w:r>
      <w:r>
        <w:rPr>
          <w:rFonts w:ascii="Times New Roman" w:hAnsi="Times New Roman"/>
        </w:rPr>
        <w:t xml:space="preserve"> Jatkuvasti avoinna olevat H2020-Adhoc-2014-20- ja EURATOM-Adhoc-2014-20-ehdotuspyynnöt on laskettu vain kerran.</w:t>
      </w:r>
    </w:p>
  </w:footnote>
  <w:footnote w:id="6">
    <w:p>
      <w:pPr>
        <w:pStyle w:val="FootnoteText"/>
      </w:pPr>
      <w:r>
        <w:rPr>
          <w:rStyle w:val="FootnoteReference"/>
          <w:rFonts w:eastAsiaTheme="minorHAnsi"/>
        </w:rPr>
        <w:footnoteRef/>
      </w:r>
      <w:r>
        <w:t xml:space="preserve"> </w:t>
      </w:r>
      <w:r>
        <w:rPr>
          <w:rFonts w:ascii="Times New Roman" w:hAnsi="Times New Roman"/>
        </w:rPr>
        <w:t>Raporttien aiheina olivat EU:n väestöskenaariot, kaupunkien ja tieliikenteen tulevaisuus, työn ja taitojen muuttuva luonne digitaalisella aikakaudella, lohkoketjuteknologian edut ja haitat, ihmisen poliittinen luonne, sekä Kiinan innovaatio- ja tutkimusympäristö.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7ED"/>
    <w:multiLevelType w:val="hybridMultilevel"/>
    <w:tmpl w:val="6700DD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2E7F8E"/>
    <w:multiLevelType w:val="hybridMultilevel"/>
    <w:tmpl w:val="5F082108"/>
    <w:lvl w:ilvl="0" w:tplc="02A4C7A6">
      <w:numFmt w:val="bullet"/>
      <w:lvlText w:val="-"/>
      <w:lvlJc w:val="left"/>
      <w:pPr>
        <w:ind w:left="360" w:hanging="360"/>
      </w:pPr>
      <w:rPr>
        <w:rFonts w:ascii="&amp;quot" w:eastAsia="Times New Roman" w:hAnsi="&amp;quot"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21574A5"/>
    <w:multiLevelType w:val="hybridMultilevel"/>
    <w:tmpl w:val="C54EE2C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26B4984"/>
    <w:multiLevelType w:val="hybridMultilevel"/>
    <w:tmpl w:val="2D769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3E26C79"/>
    <w:multiLevelType w:val="multilevel"/>
    <w:tmpl w:val="7EB44E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981A36"/>
    <w:multiLevelType w:val="hybridMultilevel"/>
    <w:tmpl w:val="6F381E30"/>
    <w:lvl w:ilvl="0" w:tplc="02A4C7A6">
      <w:numFmt w:val="bullet"/>
      <w:lvlText w:val="-"/>
      <w:lvlJc w:val="left"/>
      <w:pPr>
        <w:ind w:left="360" w:hanging="360"/>
      </w:pPr>
      <w:rPr>
        <w:rFonts w:ascii="&amp;quot" w:eastAsia="Times New Roman" w:hAnsi="&amp;quot" w:cs="Times New Roman"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CE20406"/>
    <w:multiLevelType w:val="multilevel"/>
    <w:tmpl w:val="0796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52915"/>
    <w:multiLevelType w:val="hybridMultilevel"/>
    <w:tmpl w:val="E61C70B2"/>
    <w:lvl w:ilvl="0" w:tplc="02A4C7A6">
      <w:numFmt w:val="bullet"/>
      <w:lvlText w:val="-"/>
      <w:lvlJc w:val="left"/>
      <w:pPr>
        <w:ind w:left="360" w:hanging="360"/>
      </w:pPr>
      <w:rPr>
        <w:rFonts w:ascii="&amp;quot" w:eastAsia="Times New Roman" w:hAnsi="&amp;quot" w:cs="Times New Roman"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0EA36BF"/>
    <w:multiLevelType w:val="hybridMultilevel"/>
    <w:tmpl w:val="A7DAE49A"/>
    <w:lvl w:ilvl="0" w:tplc="887C79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EB5F0B"/>
    <w:multiLevelType w:val="hybridMultilevel"/>
    <w:tmpl w:val="F370DB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77F4FFD"/>
    <w:multiLevelType w:val="hybridMultilevel"/>
    <w:tmpl w:val="A9AC9928"/>
    <w:lvl w:ilvl="0" w:tplc="4634911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8AD0A21"/>
    <w:multiLevelType w:val="hybridMultilevel"/>
    <w:tmpl w:val="987C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35CBA"/>
    <w:multiLevelType w:val="hybridMultilevel"/>
    <w:tmpl w:val="8D7A25B0"/>
    <w:lvl w:ilvl="0" w:tplc="A064A7D2">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8F271B"/>
    <w:multiLevelType w:val="hybridMultilevel"/>
    <w:tmpl w:val="EB2A6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24109CA"/>
    <w:multiLevelType w:val="hybridMultilevel"/>
    <w:tmpl w:val="837CBF9A"/>
    <w:lvl w:ilvl="0" w:tplc="02A4C7A6">
      <w:numFmt w:val="bullet"/>
      <w:lvlText w:val="-"/>
      <w:lvlJc w:val="left"/>
      <w:pPr>
        <w:ind w:left="360" w:hanging="360"/>
      </w:pPr>
      <w:rPr>
        <w:rFonts w:ascii="&amp;quot" w:eastAsia="Times New Roman" w:hAnsi="&amp;quot"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434B6811"/>
    <w:multiLevelType w:val="hybridMultilevel"/>
    <w:tmpl w:val="22509C3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61569E"/>
    <w:multiLevelType w:val="hybridMultilevel"/>
    <w:tmpl w:val="44DAED46"/>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57507337"/>
    <w:multiLevelType w:val="hybridMultilevel"/>
    <w:tmpl w:val="9C9A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F725E2"/>
    <w:multiLevelType w:val="hybridMultilevel"/>
    <w:tmpl w:val="01902E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05D2CEC"/>
    <w:multiLevelType w:val="hybridMultilevel"/>
    <w:tmpl w:val="2B328984"/>
    <w:lvl w:ilvl="0" w:tplc="F29AB8E4">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890752"/>
    <w:multiLevelType w:val="multilevel"/>
    <w:tmpl w:val="E598B1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0016E9"/>
    <w:multiLevelType w:val="multilevel"/>
    <w:tmpl w:val="53B6D074"/>
    <w:lvl w:ilvl="0">
      <w:start w:val="201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66E95110"/>
    <w:multiLevelType w:val="hybridMultilevel"/>
    <w:tmpl w:val="2EF00FBA"/>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3">
    <w:nsid w:val="69746349"/>
    <w:multiLevelType w:val="hybridMultilevel"/>
    <w:tmpl w:val="14100226"/>
    <w:lvl w:ilvl="0" w:tplc="68A29AF0">
      <w:start w:val="1"/>
      <w:numFmt w:val="bullet"/>
      <w:lvlText w:val="­"/>
      <w:lvlJc w:val="left"/>
      <w:pPr>
        <w:ind w:left="578" w:hanging="360"/>
      </w:pPr>
      <w:rPr>
        <w:rFonts w:ascii="Courier New" w:hAnsi="Courier New"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24">
    <w:nsid w:val="6CB1187C"/>
    <w:multiLevelType w:val="hybridMultilevel"/>
    <w:tmpl w:val="5B64896E"/>
    <w:lvl w:ilvl="0" w:tplc="10722276">
      <w:start w:val="3"/>
      <w:numFmt w:val="bullet"/>
      <w:lvlText w:val="-"/>
      <w:lvlJc w:val="left"/>
      <w:pPr>
        <w:ind w:left="720" w:hanging="360"/>
      </w:pPr>
      <w:rPr>
        <w:rFonts w:ascii="Times New Roman" w:eastAsiaTheme="minorHAnsi"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8F81555"/>
    <w:multiLevelType w:val="hybridMultilevel"/>
    <w:tmpl w:val="1A0A3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D86DD8"/>
    <w:multiLevelType w:val="hybridMultilevel"/>
    <w:tmpl w:val="69043E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C8E2FDC"/>
    <w:multiLevelType w:val="hybridMultilevel"/>
    <w:tmpl w:val="9A8EA1A0"/>
    <w:lvl w:ilvl="0" w:tplc="02A4C7A6">
      <w:numFmt w:val="bullet"/>
      <w:lvlText w:val="-"/>
      <w:lvlJc w:val="left"/>
      <w:pPr>
        <w:ind w:left="360" w:hanging="360"/>
      </w:pPr>
      <w:rPr>
        <w:rFonts w:ascii="&amp;quot" w:eastAsia="Times New Roman" w:hAnsi="&amp;quot"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17"/>
  </w:num>
  <w:num w:numId="4">
    <w:abstractNumId w:val="15"/>
  </w:num>
  <w:num w:numId="5">
    <w:abstractNumId w:val="10"/>
  </w:num>
  <w:num w:numId="6">
    <w:abstractNumId w:val="6"/>
  </w:num>
  <w:num w:numId="7">
    <w:abstractNumId w:val="19"/>
  </w:num>
  <w:num w:numId="8">
    <w:abstractNumId w:val="8"/>
  </w:num>
  <w:num w:numId="9">
    <w:abstractNumId w:val="22"/>
  </w:num>
  <w:num w:numId="10">
    <w:abstractNumId w:val="16"/>
  </w:num>
  <w:num w:numId="11">
    <w:abstractNumId w:val="24"/>
  </w:num>
  <w:num w:numId="12">
    <w:abstractNumId w:val="13"/>
  </w:num>
  <w:num w:numId="13">
    <w:abstractNumId w:val="11"/>
  </w:num>
  <w:num w:numId="14">
    <w:abstractNumId w:val="5"/>
  </w:num>
  <w:num w:numId="15">
    <w:abstractNumId w:val="7"/>
  </w:num>
  <w:num w:numId="16">
    <w:abstractNumId w:val="3"/>
  </w:num>
  <w:num w:numId="17">
    <w:abstractNumId w:val="18"/>
  </w:num>
  <w:num w:numId="18">
    <w:abstractNumId w:val="1"/>
  </w:num>
  <w:num w:numId="19">
    <w:abstractNumId w:val="14"/>
  </w:num>
  <w:num w:numId="20">
    <w:abstractNumId w:val="21"/>
  </w:num>
  <w:num w:numId="21">
    <w:abstractNumId w:val="4"/>
  </w:num>
  <w:num w:numId="22">
    <w:abstractNumId w:val="27"/>
  </w:num>
  <w:num w:numId="23">
    <w:abstractNumId w:val="12"/>
  </w:num>
  <w:num w:numId="24">
    <w:abstractNumId w:val="23"/>
  </w:num>
  <w:num w:numId="25">
    <w:abstractNumId w:val="25"/>
  </w:num>
  <w:num w:numId="26">
    <w:abstractNumId w:val="2"/>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2B40259-8D38-47B0-9A59-A4F9A2C93A96"/>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3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Vuosikertomus EU:n toiminnasta tutkimuksen ja teknologian kehittämisen alalla sekä Horisontti 2020 -puiteohjelman seurannasta vuonna 2019&lt;/FMT&gt;"/>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outlineLvl w:val="0"/>
    </w:pPr>
    <w:rPr>
      <w:rFonts w:ascii="EC Square Sans Pro" w:eastAsiaTheme="majorEastAsia" w:hAnsi="EC Square Sans Pro" w:cstheme="majorBidi"/>
      <w:caps/>
      <w:sz w:val="4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EC Square Sans Pro" w:eastAsiaTheme="majorEastAsia" w:hAnsi="EC Square Sans Pro" w:cstheme="majorBidi"/>
      <w:caps/>
      <w:sz w:val="44"/>
      <w:szCs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shd w:val="clear" w:color="auto" w:fill="auto"/>
    </w:rPr>
  </w:style>
  <w:style w:type="character" w:styleId="FootnoteReference">
    <w:name w:val="footnote reference"/>
    <w:link w:val="Nota"/>
    <w:uiPriority w:val="99"/>
    <w:unhideWhenUsed/>
    <w:rPr>
      <w:rFonts w:ascii="Times New Roman" w:eastAsia="Times New Roman" w:hAnsi="Times New Roman" w:cs="Times New Roman"/>
      <w:sz w:val="20"/>
      <w:szCs w:val="20"/>
      <w:vertAlign w:val="superscript"/>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Nota">
    <w:name w:val="Nota"/>
    <w:aliases w:val=" Char1,Char1,(NECG) Footnote Reference,fr,Appel note de bas de p,o,Style 6,Signature Ch"/>
    <w:basedOn w:val="Normal"/>
    <w:link w:val="FootnoteReference"/>
    <w:uiPriority w:val="99"/>
    <w:pPr>
      <w:spacing w:line="240" w:lineRule="exact"/>
    </w:pPr>
    <w:rPr>
      <w:rFonts w:ascii="Times New Roman" w:eastAsia="Times New Roman" w:hAnsi="Times New Roman" w:cs="Times New Roman"/>
      <w:sz w:val="20"/>
      <w:szCs w:val="20"/>
      <w:vertAlign w:val="superscript"/>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paragraph" w:customStyle="1" w:styleId="Bullets">
    <w:name w:val="Bullets"/>
    <w:basedOn w:val="Normal"/>
    <w:qFormat/>
    <w:pPr>
      <w:numPr>
        <w:numId w:val="7"/>
      </w:numPr>
      <w:spacing w:after="0" w:line="300" w:lineRule="exact"/>
      <w:ind w:left="454" w:hanging="454"/>
      <w:jc w:val="both"/>
    </w:pPr>
    <w:rPr>
      <w:rFonts w:ascii="EC Square Sans Pro" w:hAnsi="EC Square Sans Pro"/>
    </w:rPr>
  </w:style>
  <w:style w:type="paragraph" w:customStyle="1" w:styleId="Body">
    <w:name w:val="Body"/>
    <w:basedOn w:val="Normal"/>
    <w:qFormat/>
    <w:pPr>
      <w:spacing w:after="240" w:line="300" w:lineRule="exact"/>
    </w:pPr>
    <w:rPr>
      <w:rFonts w:ascii="EC Square Sans Pro" w:hAnsi="EC Square Sans Pro"/>
    </w:rPr>
  </w:style>
  <w:style w:type="character" w:customStyle="1" w:styleId="ilfuvd">
    <w:name w:val="ilfuvd"/>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cun">
    <w:name w:val="Aucun"/>
    <w:basedOn w:val="DefaultParagraphFont"/>
  </w:style>
  <w:style w:type="paragraph" w:customStyle="1" w:styleId="paragraph">
    <w:name w:val="paragraph"/>
    <w:basedOn w:val="Normal"/>
    <w:uiPriority w:val="9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outlineLvl w:val="0"/>
    </w:pPr>
    <w:rPr>
      <w:rFonts w:ascii="EC Square Sans Pro" w:eastAsiaTheme="majorEastAsia" w:hAnsi="EC Square Sans Pro" w:cstheme="majorBidi"/>
      <w:caps/>
      <w:sz w:val="4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EC Square Sans Pro" w:eastAsiaTheme="majorEastAsia" w:hAnsi="EC Square Sans Pro" w:cstheme="majorBidi"/>
      <w:caps/>
      <w:sz w:val="44"/>
      <w:szCs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shd w:val="clear" w:color="auto" w:fill="auto"/>
    </w:rPr>
  </w:style>
  <w:style w:type="character" w:styleId="FootnoteReference">
    <w:name w:val="footnote reference"/>
    <w:link w:val="Nota"/>
    <w:uiPriority w:val="99"/>
    <w:unhideWhenUsed/>
    <w:rPr>
      <w:rFonts w:ascii="Times New Roman" w:eastAsia="Times New Roman" w:hAnsi="Times New Roman" w:cs="Times New Roman"/>
      <w:sz w:val="20"/>
      <w:szCs w:val="20"/>
      <w:vertAlign w:val="superscript"/>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Nota">
    <w:name w:val="Nota"/>
    <w:aliases w:val=" Char1,Char1,(NECG) Footnote Reference,fr,Appel note de bas de p,o,Style 6,Signature Ch"/>
    <w:basedOn w:val="Normal"/>
    <w:link w:val="FootnoteReference"/>
    <w:uiPriority w:val="99"/>
    <w:pPr>
      <w:spacing w:line="240" w:lineRule="exact"/>
    </w:pPr>
    <w:rPr>
      <w:rFonts w:ascii="Times New Roman" w:eastAsia="Times New Roman" w:hAnsi="Times New Roman" w:cs="Times New Roman"/>
      <w:sz w:val="20"/>
      <w:szCs w:val="20"/>
      <w:vertAlign w:val="superscript"/>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paragraph" w:customStyle="1" w:styleId="Bullets">
    <w:name w:val="Bullets"/>
    <w:basedOn w:val="Normal"/>
    <w:qFormat/>
    <w:pPr>
      <w:numPr>
        <w:numId w:val="7"/>
      </w:numPr>
      <w:spacing w:after="0" w:line="300" w:lineRule="exact"/>
      <w:ind w:left="454" w:hanging="454"/>
      <w:jc w:val="both"/>
    </w:pPr>
    <w:rPr>
      <w:rFonts w:ascii="EC Square Sans Pro" w:hAnsi="EC Square Sans Pro"/>
    </w:rPr>
  </w:style>
  <w:style w:type="paragraph" w:customStyle="1" w:styleId="Body">
    <w:name w:val="Body"/>
    <w:basedOn w:val="Normal"/>
    <w:qFormat/>
    <w:pPr>
      <w:spacing w:after="240" w:line="300" w:lineRule="exact"/>
    </w:pPr>
    <w:rPr>
      <w:rFonts w:ascii="EC Square Sans Pro" w:hAnsi="EC Square Sans Pro"/>
    </w:rPr>
  </w:style>
  <w:style w:type="character" w:customStyle="1" w:styleId="ilfuvd">
    <w:name w:val="ilfuvd"/>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cun">
    <w:name w:val="Aucun"/>
    <w:basedOn w:val="DefaultParagraphFont"/>
  </w:style>
  <w:style w:type="paragraph" w:customStyle="1" w:styleId="paragraph">
    <w:name w:val="paragraph"/>
    <w:basedOn w:val="Normal"/>
    <w:uiPriority w:val="9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c.europa.eu/info/sites/info/files/european-green-deal-communication_en.pdf" TargetMode="External"/><Relationship Id="rId26" Type="http://schemas.openxmlformats.org/officeDocument/2006/relationships/hyperlink" Target="https://ec.europa.eu/info/sites/info/files/research_and_innovation/contact/documents/ec_rtd_he-codesign-implementation_112019.pdf" TargetMode="External"/><Relationship Id="rId39" Type="http://schemas.openxmlformats.org/officeDocument/2006/relationships/hyperlink" Target="https://publications.europa.eu/fi/publication-detail/-/publication/28e1c485-476a-11e8-be1d-01aa75ed71a1" TargetMode="External"/><Relationship Id="rId21" Type="http://schemas.openxmlformats.org/officeDocument/2006/relationships/hyperlink" Target="https://ec.europa.eu/info/strategy/priorities-2019-2024/promoting-our-european-way-life_fi" TargetMode="External"/><Relationship Id="rId34" Type="http://schemas.openxmlformats.org/officeDocument/2006/relationships/hyperlink" Target="https://op.europa.eu/s/nYMl" TargetMode="External"/><Relationship Id="rId42" Type="http://schemas.openxmlformats.org/officeDocument/2006/relationships/hyperlink" Target="https://eur-lex.europa.eu/legal-content/FI/TXT/PDF/?uri=CELEX:32019L0790&amp;from=FI" TargetMode="External"/><Relationship Id="rId47" Type="http://schemas.openxmlformats.org/officeDocument/2006/relationships/hyperlink" Target="https://op.europa.eu/en/publication-detail/-/publication/f235d1e3-7c4d-11e9-9f05-01aa75ed71a1/language-en/format-PDF/source-108645429" TargetMode="External"/><Relationship Id="rId50" Type="http://schemas.openxmlformats.org/officeDocument/2006/relationships/hyperlink" Target="https://op.europa.eu/en/publication-detail/-/publication/f26dfd11-6288-11ea-b735-01aa75ed71a1/language-en/format-PDF/source-120515772"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consilium.europa.eu/en/eu-strategic-agenda-2019-2024/" TargetMode="External"/><Relationship Id="rId20" Type="http://schemas.openxmlformats.org/officeDocument/2006/relationships/hyperlink" Target="https://ec.europa.eu/info/strategy/priorities-2019-2024/economy-works-people_fi" TargetMode="External"/><Relationship Id="rId29" Type="http://schemas.openxmlformats.org/officeDocument/2006/relationships/hyperlink" Target="http://www.bluemed-initiative.eu/" TargetMode="External"/><Relationship Id="rId41" Type="http://schemas.openxmlformats.org/officeDocument/2006/relationships/hyperlink" Target="https://eur-lex.europa.eu/legal-content/FI/TXT/PDF/?uri=CELEX:32019L1024&amp;from=FI"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c.europa.eu/info/research-and-innovation/events/upcoming-events/european-research-and-innovation-days_en" TargetMode="External"/><Relationship Id="rId32" Type="http://schemas.openxmlformats.org/officeDocument/2006/relationships/hyperlink" Target="https://ec.europa.eu/info/publications/she-figures-2018_en" TargetMode="External"/><Relationship Id="rId37" Type="http://schemas.openxmlformats.org/officeDocument/2006/relationships/hyperlink" Target="https://ec.europa.eu/digital-single-market/en/high-level-expert-group-artificial-intelligence" TargetMode="External"/><Relationship Id="rId40" Type="http://schemas.openxmlformats.org/officeDocument/2006/relationships/hyperlink" Target="https://ec.europa.eu/research/openscience/index.cfm?pg=open-science-cloud" TargetMode="External"/><Relationship Id="rId45" Type="http://schemas.openxmlformats.org/officeDocument/2006/relationships/hyperlink" Target="https://ec.europa.eu/info/publications/2019-european-semester-country-reports_en" TargetMode="External"/><Relationship Id="rId53" Type="http://schemas.openxmlformats.org/officeDocument/2006/relationships/hyperlink" Target="https://ec.europa.eu/commission/presscorner/detail/fi/ip_20_89" TargetMode="Externa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ec.europa.eu/info/funding-tenders/opportunities/portal/screen/opportunities/horizon-dashboard" TargetMode="External"/><Relationship Id="rId23" Type="http://schemas.openxmlformats.org/officeDocument/2006/relationships/hyperlink" Target="https://ec.europa.eu/info/strategy/priorities-2019-2024/new-push-european-democracy_fi" TargetMode="External"/><Relationship Id="rId28" Type="http://schemas.openxmlformats.org/officeDocument/2006/relationships/hyperlink" Target="https://eur-lex.europa.eu/resource.html?uri=cellar:3473410d-b7de-11e6-9e3c-01aa75ed71a1.0016.02/DOC_1&amp;format=PDF" TargetMode="External"/><Relationship Id="rId36" Type="http://schemas.openxmlformats.org/officeDocument/2006/relationships/hyperlink" Target="https://eurohpc-ju.europa.eu/;%20https:/ec.europa.eu/digital-single-market/en/eurohpc-joint-undertaking" TargetMode="External"/><Relationship Id="rId49" Type="http://schemas.openxmlformats.org/officeDocument/2006/relationships/hyperlink" Target="https://ec.europa.eu/research/sam/pdf/sam_4years_b5_2020_web.pdf"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c.europa.eu/info/priorities/europe-fit-digital-age_fi" TargetMode="External"/><Relationship Id="rId31" Type="http://schemas.openxmlformats.org/officeDocument/2006/relationships/hyperlink" Target="https://ec.europa.eu/info/research-and-innovation/research-area/transport/stria_en" TargetMode="External"/><Relationship Id="rId44" Type="http://schemas.openxmlformats.org/officeDocument/2006/relationships/hyperlink" Target="https://ec.europa.eu/info/publications/era-progress-report-2018_en" TargetMode="External"/><Relationship Id="rId52" Type="http://schemas.openxmlformats.org/officeDocument/2006/relationships/hyperlink" Target="https://ec.europa.eu/jrc/en/facts4eufutur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c.europa.eu/info/strategy/priorities-2019-2024/stronger-europe-world_fi" TargetMode="External"/><Relationship Id="rId27" Type="http://schemas.openxmlformats.org/officeDocument/2006/relationships/hyperlink" Target="https://ec.europa.eu/info/horizon-europe-next-research-and-innovation-framework-programme/mission-oriented-policy-horizon-europe_en" TargetMode="External"/><Relationship Id="rId30" Type="http://schemas.openxmlformats.org/officeDocument/2006/relationships/hyperlink" Target="file:///C:\Users\vogleis\AppData\Local\Temp\1\black-sea-strategic-research_enpdf.pdf" TargetMode="External"/><Relationship Id="rId35" Type="http://schemas.openxmlformats.org/officeDocument/2006/relationships/hyperlink" Target="https://op.europa.eu/en/publication-detail/-/publication/0df85f8b-7b72-11e9-9f05-01aa75ed71a1" TargetMode="External"/><Relationship Id="rId43" Type="http://schemas.openxmlformats.org/officeDocument/2006/relationships/hyperlink" Target="https://ec.europa.eu/research/openscience/index.cfm?pg=altmetrics_eg" TargetMode="External"/><Relationship Id="rId48" Type="http://schemas.openxmlformats.org/officeDocument/2006/relationships/hyperlink" Target="https://op.europa.eu/en/web/eu-law-and-publications/publication-detail/-/publication/5cb9ca21-0500-11ea-8c1f-01aa75ed71a1" TargetMode="External"/><Relationship Id="rId56" Type="http://schemas.openxmlformats.org/officeDocument/2006/relationships/footer" Target="footer4.xml"/><Relationship Id="rId8" Type="http://schemas.openxmlformats.org/officeDocument/2006/relationships/image" Target="media/image1.emf"/><Relationship Id="rId51" Type="http://schemas.openxmlformats.org/officeDocument/2006/relationships/hyperlink" Target="https://ec.europa.eu/info/publications/unlocking-potential-industrial-human-robot-collaboration_en"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ec.europa.eu/commission/sites/beta-political/files/political-guidelines-next-commission_fi.pdf" TargetMode="External"/><Relationship Id="rId25" Type="http://schemas.openxmlformats.org/officeDocument/2006/relationships/hyperlink" Target="https://ec.europa.eu/info/files/orientations-towards-first-strategic-plan-horizon-europe_en" TargetMode="External"/><Relationship Id="rId33" Type="http://schemas.openxmlformats.org/officeDocument/2006/relationships/hyperlink" Target="https://op.europa.eu/en/publication-detail/-/publication/4bebf83d-60ba-11e9-b6eb-01aa75ed71a1" TargetMode="External"/><Relationship Id="rId38" Type="http://schemas.openxmlformats.org/officeDocument/2006/relationships/hyperlink" Target="https://ec.europa.eu/digital-single-market/en/news/ethics-guidelines-trustworthy-ai" TargetMode="External"/><Relationship Id="rId46" Type="http://schemas.openxmlformats.org/officeDocument/2006/relationships/hyperlink" Target="https://ec.europa.eu/info/publications/2019-european-semester-country-specific-recommendations-commission-recommendations_en"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rio.jrc.ec.europa.eu/en/policy-support-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4096</Words>
  <Characters>36092</Characters>
  <Application>Microsoft Office Word</Application>
  <DocSecurity>0</DocSecurity>
  <Lines>501</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16</cp:revision>
  <dcterms:created xsi:type="dcterms:W3CDTF">2020-06-12T12:13:00Z</dcterms:created>
  <dcterms:modified xsi:type="dcterms:W3CDTF">2020-07-13T16:06:00Z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