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0AA7B58-3116-454B-BD4F-C74077FCDFDE" style="width:450.8pt;height:307.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szCs w:val="24"/>
        </w:rPr>
        <w:lastRenderedPageBreak/>
        <w:t>1</w:t>
      </w:r>
      <w:r>
        <w:rPr>
          <w:noProof/>
        </w:rPr>
        <w:tab/>
      </w:r>
      <w:r>
        <w:rPr>
          <w:rFonts w:ascii="Times New Roman" w:hAnsi="Times New Roman"/>
          <w:b/>
          <w:smallCaps/>
          <w:noProof/>
          <w:sz w:val="24"/>
          <w:szCs w:val="24"/>
        </w:rPr>
        <w:t>Indledning</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I forbindelse med Det Forenede Kongeriges udtræden af Unionen valgte de øvrige 27 medlemsstater i tilknytning til Rådets samling Paris, Frankrig, som det nye hjemsted for Den Europæiske Banktilsynsmyndighed (EBA)</w:t>
      </w:r>
      <w:r>
        <w:rPr>
          <w:rFonts w:ascii="Times New Roman" w:eastAsia="Times New Roman" w:hAnsi="Times New Roman" w:cs="Times New Roman"/>
          <w:noProof/>
          <w:sz w:val="24"/>
          <w:vertAlign w:val="superscript"/>
          <w:lang w:val="en-GB" w:eastAsia="en-GB"/>
        </w:rPr>
        <w:footnoteReference w:id="1"/>
      </w:r>
      <w:r>
        <w:rPr>
          <w:rFonts w:ascii="Times New Roman" w:hAnsi="Times New Roman"/>
          <w:noProof/>
          <w:sz w:val="24"/>
        </w:rPr>
        <w:t xml:space="preserve">. </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Placeringen af EBA's hjemsted er fastsat i artikel 7 i forordningen om oprettelse af EBA</w:t>
      </w:r>
      <w:r>
        <w:rPr>
          <w:rFonts w:ascii="Times New Roman" w:eastAsia="Times New Roman" w:hAnsi="Times New Roman" w:cs="Times New Roman"/>
          <w:noProof/>
          <w:sz w:val="24"/>
          <w:vertAlign w:val="superscript"/>
          <w:lang w:val="en-GB" w:eastAsia="en-GB"/>
        </w:rPr>
        <w:footnoteReference w:id="2"/>
      </w:r>
      <w:r>
        <w:rPr>
          <w:rFonts w:ascii="Times New Roman" w:hAnsi="Times New Roman"/>
          <w:noProof/>
          <w:sz w:val="24"/>
        </w:rPr>
        <w:t xml:space="preserve"> (EBA-forordningen), som derfor skulle ændres</w:t>
      </w:r>
      <w:r>
        <w:rPr>
          <w:rFonts w:ascii="Times New Roman" w:eastAsia="Times New Roman" w:hAnsi="Times New Roman" w:cs="Times New Roman"/>
          <w:noProof/>
          <w:sz w:val="24"/>
          <w:szCs w:val="24"/>
          <w:vertAlign w:val="superscript"/>
          <w:lang w:val="en-GB"/>
        </w:rPr>
        <w:footnoteReference w:id="3"/>
      </w:r>
      <w:r>
        <w:rPr>
          <w:rFonts w:ascii="Times New Roman" w:hAnsi="Times New Roman"/>
          <w:noProof/>
          <w:sz w:val="24"/>
        </w:rPr>
        <w:t xml:space="preserve"> for at flytte hjemstedet fra London til Paris. Ud over flytningen af hjemsted blev der med ændringen af EBA-forordningen også indført visse nye krav vedrørende konsekvenserne af hjemstedets beliggenhed samt en forpligtelse for Kommissionen til at offentliggøre en rapport senest den 30. marts 2019 og hver 12. måned derefter om EBA's overholdelse af disse krav.</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Af EBA-forordningens artikel 7 fremgår følgende: "</w:t>
      </w:r>
      <w:r>
        <w:rPr>
          <w:rFonts w:ascii="Times New Roman" w:hAnsi="Times New Roman"/>
          <w:i/>
          <w:noProof/>
          <w:sz w:val="24"/>
        </w:rPr>
        <w:t>Placeringen af hjemstedet for myndigheden påvirker ikke myndighedens udførelse af sine opgaver og beføjelser, tilrettelæggelsen af dens forvaltningsstruktur, driften af dens primære organisation eller den vigtigste finansiering af dens aktiviteter og kan, hvor det er relevant, give mulighed for deling blandt Unionens agenturer af administrative støttetjenester og facility management services, som ikke er knyttet til myndighedens kerneaktiviteter</w:t>
      </w:r>
      <w:r>
        <w:rPr>
          <w:rFonts w:ascii="Times New Roman" w:hAnsi="Times New Roman"/>
          <w:noProof/>
          <w:sz w:val="24"/>
        </w:rPr>
        <w:t xml:space="preserve">". </w:t>
      </w:r>
    </w:p>
    <w:p>
      <w:pPr>
        <w:spacing w:before="120" w:after="100" w:afterAutospacing="1" w:line="240" w:lineRule="auto"/>
        <w:jc w:val="both"/>
        <w:rPr>
          <w:rFonts w:ascii="Times New Roman" w:eastAsia="Times New Roman" w:hAnsi="Times New Roman" w:cs="Times New Roman"/>
          <w:noProof/>
          <w:sz w:val="24"/>
        </w:rPr>
      </w:pPr>
      <w:r>
        <w:rPr>
          <w:rFonts w:ascii="Times New Roman" w:hAnsi="Times New Roman"/>
          <w:noProof/>
          <w:sz w:val="24"/>
        </w:rPr>
        <w:t>EBA har givet de input, der er nødvendige for at opfylde disse rapporteringskrav. Den første rapport blev offentliggjort i 2019</w:t>
      </w:r>
      <w:r>
        <w:rPr>
          <w:rStyle w:val="FootnoteReference"/>
          <w:rFonts w:ascii="Times New Roman" w:eastAsia="Times New Roman" w:hAnsi="Times New Roman" w:cs="Times New Roman"/>
          <w:noProof/>
          <w:sz w:val="24"/>
          <w:lang w:val="en-GB" w:eastAsia="en-GB"/>
        </w:rPr>
        <w:footnoteReference w:id="4"/>
      </w:r>
      <w:r>
        <w:rPr>
          <w:rFonts w:ascii="Times New Roman" w:hAnsi="Times New Roman"/>
          <w:noProof/>
          <w:sz w:val="24"/>
        </w:rPr>
        <w:t xml:space="preserve">. Dette er den anden rapport under den nye rapporteringsforpligtelse. </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2</w:t>
      </w:r>
      <w:r>
        <w:rPr>
          <w:noProof/>
        </w:rPr>
        <w:tab/>
      </w:r>
      <w:r>
        <w:rPr>
          <w:rFonts w:ascii="Times New Roman" w:hAnsi="Times New Roman"/>
          <w:b/>
          <w:smallCaps/>
          <w:noProof/>
          <w:sz w:val="24"/>
          <w:szCs w:val="24"/>
        </w:rPr>
        <w:t>EBA's hjemstedsaftale</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Der blev undertegnet en hjemstedsaftale (i det følgende benævnt HSA) med den franske regering i Paris den 6. marts 2019. EBA afventer bekræftelse af, at de procedurer, som i henhold til fransk lovgivning kræves, for at HSA kan træde i kraft, er afsluttet — dette omfatter ratificering i det franske parlament. Undertegnelsen af HSA'en har ikke påvirket EBA's aktiviteter og forvaltning.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Ud over at afspejle kravene i protokol nr. 7 vedrørende Den Europæiske Unions privilegier og immuniteter</w:t>
      </w:r>
      <w:r>
        <w:rPr>
          <w:rFonts w:ascii="Times New Roman" w:eastAsia="Times New Roman" w:hAnsi="Times New Roman" w:cs="Times New Roman"/>
          <w:noProof/>
          <w:sz w:val="24"/>
          <w:vertAlign w:val="superscript"/>
          <w:lang w:val="en-GB" w:eastAsia="en-GB"/>
        </w:rPr>
        <w:footnoteReference w:id="5"/>
      </w:r>
      <w:r>
        <w:rPr>
          <w:rFonts w:ascii="Times New Roman" w:hAnsi="Times New Roman"/>
          <w:noProof/>
          <w:sz w:val="24"/>
        </w:rPr>
        <w:t xml:space="preserve"> fastsætter HSA'en, at personale, der flytter fra London til Paris, kan købe en personbil afgiftsfrit inden for tolv måneder efter flytningen. Dette privilegium er blevet udvidet til at omfatte personale med fransk statsborgerskab. Indtil den 13. marts 2020 havde ti ud af de 175 ansatte, der var berettiget til at benytte sig af dette privilegium, indregistreret deres køretøjer i henhold til dette privilegium, og fire andre afventer procedurens afslutning.</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lastRenderedPageBreak/>
        <w:t>HSA'en forpligter også den franske regering til at indlede en proces med henblik på at etablere en Europaskole i Parisområdet. En type II-Europaskole blev åbnet i Courbevoie i september 2019 og er i øjeblikket i gang med en akkrediteringsproces. Der er oprettet et fuldt børnehaveklasse- og primærforløb for skolens engelske sektion. Der findes dog endnu ikke et fuldt sekundærforløb i den engelske sektion, idet klasser oprettes gradvist. Skolen sigter mod at have et fuldt sekundærforløb i september 2021. Den franske sektion er blevet åbnet for børnehaveklasser og delvist for primærforløbet. Sekundærforløbet åbner i september 2021.</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EBA er også i kontakt med protokolkontoret i det franske ministerium for europæiske anliggender og udenrigsanliggender og med de franske toldmyndigheder for at sikre, at processen for så vidt angår personalets og deres familiers ankomst i Frankrig, udstedelsen af særlige opholdstilladelser og anvendelsen af skattefordele for EBA forløber gnidningsfrit. Den 15. maj 2020 modtog 139 medarbejdere og 67 familiemedlemmer særlige opholdstilladelser.</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Ved protokol nr. 7 vedrørende Den Europæiske Unions privilegier og immuniteter indrømmes EBA momsfritagelse for køb af varer og tjenesteydelser, der er nødvendige for myndighedens virksomhed. EBA har indgivet krav til den franske regering om tilbagebetaling af moms, der er betalt for varer og tjenesteydelser leveret af franske enheder og for køb på internettet, og der er modtaget tilbagebetaling vedrørende tidligere krav.</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3</w:t>
      </w:r>
      <w:r>
        <w:rPr>
          <w:noProof/>
        </w:rPr>
        <w:tab/>
      </w:r>
      <w:r>
        <w:rPr>
          <w:rFonts w:ascii="Times New Roman" w:hAnsi="Times New Roman"/>
          <w:b/>
          <w:smallCaps/>
          <w:noProof/>
          <w:sz w:val="24"/>
          <w:szCs w:val="24"/>
        </w:rPr>
        <w:t>EBA's forvaltning, aktiviteter og udførelse af opgaver</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EBA's opgaver og beføjelser, opbygningen af dens forvaltningsstruktur, driften af dens primære organisation og dens vigtigste finansiering blev ikke påvirket af flytningen af EBA's hjemsted. EBA har været fuldt ud operationel i sine nye kontorer i Paris siden begyndelsen af juni 2019.</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EBA og Den Europæiske Værdipapir- og Markedstilsynsmyndighed (ESMA) koordinerer nøje deres udbudsprocedurer. EBA deltager i to rammekontrakter, der er resultatet af procedurer ledet af ESMA: for konsulenttjenester i forbindelse med informations- og kommunikationsteknologi (IKT) og for konsulenttjenester i forbindelse med facility management. ESMA har også opfordret EBA til at deltage i den kommende udbudsprocedure vedrørende midlertidigt personale, som EBA vil deltage i. ESMA tilsluttede sig EBA's udbudsprocedure for sprogundervisning, for hvilke der blev undertegnet rammekontrakter i januar 2020. EBA har opfordret ESMA (og Den Europæiske Tilsynsmyndighed for Forsikrings- og Arbejdsmarkedspensionsordninger) til at tilslutte sig den kommende udbudsprocedure vedrørende korrekturlæsning og redigering af dokumenter, for hvilke der forventes at blive undertegnet en rammekontrakt i 2020. De to agenturer drøfter i øjeblikket et fælles udbud med henblik på en forestående procedure vedrørende en lægetjeneste og en række andre fremtidige procedurer på det administrative område.  </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Den 8. juli 2019 godkendte Europa-Kommissionen de europæiske tilsynsmyndigheders anmodning om, at deres finansielle bestemmelser kan fravige visse bestemmelser i delegeret forordning (EU) 2019/715</w:t>
      </w:r>
      <w:r>
        <w:rPr>
          <w:rFonts w:ascii="Times New Roman" w:eastAsia="Times New Roman" w:hAnsi="Times New Roman" w:cs="Times New Roman"/>
          <w:noProof/>
          <w:sz w:val="24"/>
          <w:szCs w:val="24"/>
          <w:vertAlign w:val="superscript"/>
          <w:lang w:val="en-GB"/>
        </w:rPr>
        <w:footnoteReference w:id="6"/>
      </w:r>
      <w:r>
        <w:rPr>
          <w:rFonts w:ascii="Times New Roman" w:hAnsi="Times New Roman"/>
          <w:noProof/>
          <w:sz w:val="24"/>
          <w:szCs w:val="24"/>
        </w:rPr>
        <w:t>, således at de kan deltage i udbudsprocedurer, der gennemføres af Den Europæiske Centralbank og Eurosystemets Koordinationskontor for Indkøb (EPCO). EBA fungerer som forbindelsesled mellem EPCO og de to andre europæiske tilsynsmyndigheder og koordinerer drøftelserne med henblik på at identificere og deltage i udbudsprocedurer, der gennemføres af EPCO. EIOPA fungerer som forbindelsesled til ECB.</w:t>
      </w:r>
    </w:p>
    <w:p>
      <w:pPr>
        <w:spacing w:before="120" w:after="100" w:afterAutospacing="1"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EBA og ESMA deltager også i et netværk af udbudsansvarlige ved internationale organisationer med basis i Paris. På ESMA's initiativ overvejer de internationale organisationer også at indføre et regelmæssigt møde mellem administrationscheferne.</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szCs w:val="24"/>
        </w:rPr>
      </w:pPr>
      <w:bookmarkStart w:id="2" w:name="_Toc402519962"/>
      <w:bookmarkStart w:id="3" w:name="_Toc402520014"/>
      <w:bookmarkStart w:id="4" w:name="_Toc404257981"/>
      <w:bookmarkStart w:id="5" w:name="_Toc404260786"/>
      <w:bookmarkStart w:id="6" w:name="_Toc435435117"/>
      <w:bookmarkStart w:id="7" w:name="_Toc440442995"/>
      <w:r>
        <w:rPr>
          <w:rFonts w:ascii="Times New Roman" w:hAnsi="Times New Roman"/>
          <w:b/>
          <w:smallCaps/>
          <w:noProof/>
          <w:sz w:val="24"/>
          <w:szCs w:val="24"/>
        </w:rPr>
        <w:t>4</w:t>
      </w:r>
      <w:r>
        <w:rPr>
          <w:noProof/>
        </w:rPr>
        <w:tab/>
      </w:r>
      <w:bookmarkStart w:id="8" w:name="_Toc290283336"/>
      <w:r>
        <w:rPr>
          <w:rFonts w:ascii="Times New Roman" w:hAnsi="Times New Roman"/>
          <w:b/>
          <w:smallCaps/>
          <w:noProof/>
          <w:sz w:val="24"/>
          <w:szCs w:val="24"/>
        </w:rPr>
        <w:t>Konklusion</w:t>
      </w:r>
      <w:bookmarkEnd w:id="8"/>
      <w:bookmarkEnd w:id="2"/>
      <w:bookmarkEnd w:id="3"/>
      <w:r>
        <w:rPr>
          <w:rFonts w:ascii="Times New Roman" w:hAnsi="Times New Roman"/>
          <w:b/>
          <w:smallCaps/>
          <w:noProof/>
          <w:sz w:val="24"/>
          <w:szCs w:val="24"/>
        </w:rPr>
        <w:t>er</w:t>
      </w:r>
      <w:bookmarkEnd w:id="4"/>
      <w:bookmarkEnd w:id="5"/>
      <w:bookmarkEnd w:id="6"/>
      <w:bookmarkEnd w:id="7"/>
    </w:p>
    <w:p>
      <w:pPr>
        <w:spacing w:before="120" w:after="120" w:line="240" w:lineRule="auto"/>
        <w:jc w:val="both"/>
        <w:rPr>
          <w:rFonts w:ascii="Times New Roman" w:eastAsia="Times New Roman" w:hAnsi="Times New Roman" w:cs="Times New Roman"/>
          <w:noProof/>
        </w:rPr>
      </w:pPr>
      <w:r>
        <w:rPr>
          <w:rFonts w:ascii="Times New Roman" w:hAnsi="Times New Roman"/>
          <w:noProof/>
          <w:sz w:val="24"/>
          <w:szCs w:val="24"/>
        </w:rPr>
        <w:t>På grundlag af de foreliggende oplysninger er EBA's udførelse af sine opgaver og beføjelser, dens forvaltningsstruktur, dens primære organisation og finansieringen af dens aktiviteter ikke blevet påvirket af flytningen af EBA's hjemsted til Paris og af de ovennævnte administrative samarbejdsordninger med ESMA og EIOPA, som ikke er knyttet til EBA's kerneaktiviteter.</w:t>
      </w:r>
    </w:p>
    <w:p>
      <w:pPr>
        <w:spacing w:before="120" w:after="120" w:line="240" w:lineRule="auto"/>
        <w:jc w:val="both"/>
        <w:rPr>
          <w:rFonts w:ascii="Times New Roman" w:eastAsia="Times New Roman" w:hAnsi="Times New Roman" w:cs="Times New Roman"/>
          <w:noProof/>
          <w:sz w:val="24"/>
          <w:lang w:eastAsia="en-GB"/>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 xml:space="preserve">Rådet (almindelige anliggender (artikel 50)) den 20. november 2017: </w:t>
      </w:r>
      <w:r>
        <w:tab/>
        <w:t xml:space="preserve"> </w:t>
      </w:r>
      <w:hyperlink r:id="rId1" w:history="1">
        <w:r>
          <w:rPr>
            <w:rStyle w:val="Hyperlink1"/>
          </w:rPr>
          <w:t>https://www.consilium.europa.eu/en/press/press-releases/2017/11/20/european-banking-authority-to-be-relocated-to-city-country/</w:t>
        </w:r>
      </w:hyperlink>
      <w:r>
        <w:t>.</w:t>
      </w:r>
    </w:p>
  </w:footnote>
  <w:footnote w:id="2">
    <w:p>
      <w:pPr>
        <w:pStyle w:val="FootnoteText"/>
        <w:jc w:val="both"/>
      </w:pPr>
      <w:r>
        <w:rPr>
          <w:rStyle w:val="FootnoteReference"/>
        </w:rPr>
        <w:footnoteRef/>
      </w:r>
      <w:r>
        <w:tab/>
        <w:t>Europa-Parlamentets og Rådets forordning (EU) nr. 1093/2010 af 24. november 2010 om oprettelse af en europæisk tilsynsmyndighed (Den Europæiske Banktilsynsmyndighed) (EUT L 331 af 15.12.2010, s. 12).</w:t>
      </w:r>
    </w:p>
  </w:footnote>
  <w:footnote w:id="3">
    <w:p>
      <w:pPr>
        <w:pStyle w:val="FootnoteText"/>
        <w:jc w:val="both"/>
      </w:pPr>
      <w:r>
        <w:rPr>
          <w:rStyle w:val="FootnoteReference"/>
        </w:rPr>
        <w:footnoteRef/>
      </w:r>
      <w:r>
        <w:tab/>
        <w:t>Europa-Parlamentets og Rådets forordning (EU) 2018/1717 af 14. november 2018 om ændring af forordning (EU) nr. 1093/2010 for så vidt angår Den Europæiske Banktilsynsmyndigheds hjemsted (EUT L 291 af 16.11.2018, s. 1).</w:t>
      </w:r>
    </w:p>
  </w:footnote>
  <w:footnote w:id="4">
    <w:p>
      <w:pPr>
        <w:pStyle w:val="FootnoteText"/>
      </w:pPr>
      <w:r>
        <w:rPr>
          <w:rStyle w:val="FootnoteReference"/>
        </w:rPr>
        <w:footnoteRef/>
      </w:r>
      <w:r>
        <w:t xml:space="preserve"> </w:t>
      </w:r>
      <w:r>
        <w:tab/>
        <w:t>COM(2019) 451 final.</w:t>
      </w:r>
    </w:p>
  </w:footnote>
  <w:footnote w:id="5">
    <w:p>
      <w:pPr>
        <w:pStyle w:val="FootnoteText"/>
        <w:jc w:val="both"/>
      </w:pPr>
      <w:r>
        <w:rPr>
          <w:rStyle w:val="FootnoteReference"/>
        </w:rPr>
        <w:footnoteRef/>
      </w:r>
      <w:r>
        <w:tab/>
        <w:t>EUT C  202 af 7.6.2016, s. 266.</w:t>
      </w:r>
    </w:p>
  </w:footnote>
  <w:footnote w:id="6">
    <w:p>
      <w:pPr>
        <w:pStyle w:val="FootnoteText"/>
        <w:jc w:val="both"/>
        <w:rPr>
          <w:rFonts w:ascii="&amp;quot" w:eastAsia="Times New Roman" w:hAnsi="&amp;quot" w:cs="Times New Roman"/>
          <w:color w:val="444444"/>
        </w:rPr>
      </w:pPr>
      <w:r>
        <w:rPr>
          <w:rStyle w:val="FootnoteReference"/>
        </w:rPr>
        <w:footnoteRef/>
      </w:r>
      <w:r>
        <w:t xml:space="preserve">  </w:t>
      </w:r>
      <w:r>
        <w:tab/>
      </w:r>
      <w:r>
        <w:rPr>
          <w:rFonts w:ascii="&amp;quot" w:hAnsi="&amp;quot"/>
          <w:color w:val="444444"/>
        </w:rPr>
        <w:t>Kommissionens delegerede forordning (EU) 2019/715 af 18. december 2018 om rammefinansforordningen for de organer, der er nedsat i henhold til TEUF og Euratomtraktaten og omhandlet i artikel 70 i Europa-Parlamentets og Rådets forordning (EU, Euratom) 2018/1046 (EUT L 122 af 10.5.2019,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0AA7B58-3116-454B-BD4F-C74077FCDFDE"/>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3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Den Europæiske Banktilsynsmyndigheds overholdelse af kravene vedrørende placeringen af dens hjemsted"/>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character" w:customStyle="1" w:styleId="Hyperlink1">
    <w:name w:val="Hyperlink1"/>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rPr>
  </w:style>
  <w:style w:type="character" w:styleId="Hyperlink">
    <w:name w:val="Hyperlink"/>
    <w:basedOn w:val="DefaultParagraphFont"/>
    <w:uiPriority w:val="99"/>
    <w:semiHidden/>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uiPriority w:val="99"/>
    <w:rPr>
      <w:shd w:val="clear" w:color="auto" w:fill="auto"/>
      <w:vertAlign w:val="superscript"/>
    </w:rPr>
  </w:style>
  <w:style w:type="character" w:customStyle="1" w:styleId="Hyperlink1">
    <w:name w:val="Hyperlink1"/>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rPr>
  </w:style>
  <w:style w:type="character" w:styleId="Hyperlink">
    <w:name w:val="Hyperlink"/>
    <w:basedOn w:val="DefaultParagraphFont"/>
    <w:uiPriority w:val="99"/>
    <w:semiHidden/>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n/press/press-releases/2017/11/20/european-banking-authority-to-be-relocated-to-cit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8C6B-E97C-40FF-A423-63955918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923</Words>
  <Characters>5654</Characters>
  <Application>Microsoft Office Word</Application>
  <DocSecurity>0</DocSecurity>
  <Lines>92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17</cp:revision>
  <dcterms:created xsi:type="dcterms:W3CDTF">2020-06-20T17:24:00Z</dcterms:created>
  <dcterms:modified xsi:type="dcterms:W3CDTF">2020-07-13T07:56:00Z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