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DA7817C-60DE-4602-9EE8-B67ED420C646"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1</w:t>
      </w:r>
      <w:r>
        <w:rPr>
          <w:noProof/>
        </w:rPr>
        <w:tab/>
      </w:r>
      <w:r>
        <w:rPr>
          <w:rFonts w:ascii="Times New Roman" w:hAnsi="Times New Roman"/>
          <w:b/>
          <w:smallCaps/>
          <w:noProof/>
          <w:sz w:val="24"/>
          <w:szCs w:val="24"/>
        </w:rPr>
        <w:t>Inledning</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Med anledning av Förenade kungarikets utträde ur unionen beslutade de övriga 27 medlemsstaterna i anslutning till rådets möte att Europeiska bankmyndighetens (EBA) nya säte ska ligga i Paris, Frankrike</w:t>
      </w:r>
      <w:r>
        <w:rPr>
          <w:rFonts w:ascii="Times New Roman" w:eastAsia="Times New Roman" w:hAnsi="Times New Roman" w:cs="Times New Roman"/>
          <w:noProof/>
          <w:sz w:val="24"/>
          <w:vertAlign w:val="superscript"/>
          <w:lang w:val="en-GB" w:eastAsia="en-GB"/>
        </w:rPr>
        <w:footnoteReference w:id="1"/>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Platsen för EBA:s säte fastställs i artikel 7 i förordningen om EBA:s inrättande</w:t>
      </w:r>
      <w:r>
        <w:rPr>
          <w:rFonts w:ascii="Times New Roman" w:eastAsia="Times New Roman" w:hAnsi="Times New Roman" w:cs="Times New Roman"/>
          <w:noProof/>
          <w:sz w:val="24"/>
          <w:vertAlign w:val="superscript"/>
          <w:lang w:val="en-GB" w:eastAsia="en-GB"/>
        </w:rPr>
        <w:footnoteReference w:id="2"/>
      </w:r>
      <w:r>
        <w:rPr>
          <w:rFonts w:ascii="Times New Roman" w:hAnsi="Times New Roman"/>
          <w:noProof/>
          <w:sz w:val="24"/>
        </w:rPr>
        <w:t xml:space="preserve"> (EBA-förordningen), som därför behövde ändras</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rPr>
        <w:t xml:space="preserve"> för att flytta sätet från London till Paris. Förutom att sätet flyttas till en ny plats införs genom ändringen av EBA-förordningen även vissa nya krav som rör konsekvenserna av sätets lokalisering samt en skyldighet för kommissionen att senast den 30 mars 2019 och var tolfte månad därefter offentliggöra en rapport om EBA:s uppfyllande av dessa krav.</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 xml:space="preserve">I artikel 7 i EBA-förordningen sägs följande: </w:t>
      </w:r>
      <w:r>
        <w:rPr>
          <w:rFonts w:ascii="Times New Roman" w:hAnsi="Times New Roman"/>
          <w:i/>
          <w:noProof/>
          <w:sz w:val="24"/>
        </w:rPr>
        <w:t>”Lokaliseringen av myndighetens säte ska inte påverka hur myndigheten utför sina uppgifter och befogenheter, hur dess styrningsstruktur organiseras, hur dess huvudsakliga organisation drivs eller hur dess verksamhet i huvudsak finansieras, samtidigt som den ska göra det möjligt, i tillämpliga fall, att med unionens byråer dela sådana administrativa stödtjänster och lokalförvaltningstjänster som inte har någon anknytning till kärnverksamheten.”</w:t>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EBA har lämnat de nödvändiga uppgifterna för detta rapporteringskrav. Den första rapporten offentliggjordes 2019</w:t>
      </w:r>
      <w:r>
        <w:rPr>
          <w:rStyle w:val="FootnoteReference"/>
          <w:rFonts w:ascii="Times New Roman" w:eastAsia="Times New Roman" w:hAnsi="Times New Roman" w:cs="Times New Roman"/>
          <w:noProof/>
          <w:sz w:val="24"/>
          <w:lang w:val="en-GB" w:eastAsia="en-GB"/>
        </w:rPr>
        <w:footnoteReference w:id="4"/>
      </w:r>
      <w:r>
        <w:rPr>
          <w:rFonts w:ascii="Times New Roman" w:hAnsi="Times New Roman"/>
          <w:noProof/>
          <w:sz w:val="24"/>
        </w:rPr>
        <w:t xml:space="preserve">. Detta är den andra rapporten enligt den nya rapporteringsskyldigheten.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2</w:t>
      </w:r>
      <w:r>
        <w:rPr>
          <w:noProof/>
        </w:rPr>
        <w:tab/>
      </w:r>
      <w:r>
        <w:rPr>
          <w:rFonts w:ascii="Times New Roman" w:hAnsi="Times New Roman"/>
          <w:b/>
          <w:smallCaps/>
          <w:noProof/>
          <w:sz w:val="24"/>
          <w:szCs w:val="24"/>
        </w:rPr>
        <w:t>Överenskommelse om EBA:s säte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En överenskommelse om säte (nedan kallad </w:t>
      </w:r>
      <w:r>
        <w:rPr>
          <w:rFonts w:ascii="Times New Roman" w:hAnsi="Times New Roman"/>
          <w:i/>
          <w:iCs/>
          <w:noProof/>
          <w:sz w:val="24"/>
        </w:rPr>
        <w:t>överenskommelsen</w:t>
      </w:r>
      <w:r>
        <w:rPr>
          <w:rFonts w:ascii="Times New Roman" w:hAnsi="Times New Roman"/>
          <w:noProof/>
          <w:sz w:val="24"/>
        </w:rPr>
        <w:t xml:space="preserve">) med den franska regeringen undertecknades i Paris den 6 mars 2019. EBA väntar på en bekräftelse på att de förfaranden som krävs enligt fransk lag för att överenskommelsen ska träda i kraft har avslutats. Bland annat måste det franska parlamentet ratificera den. Undertecknandet av överenskommelsen har inte påverkat EBA:s verksamhet eller styrning.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Utöver att återspegla kraven i protokoll nr 7 om Europeiska unionens immunitet och privilegier</w:t>
      </w:r>
      <w:r>
        <w:rPr>
          <w:rFonts w:ascii="Times New Roman" w:eastAsia="Times New Roman" w:hAnsi="Times New Roman" w:cs="Times New Roman"/>
          <w:noProof/>
          <w:sz w:val="24"/>
          <w:vertAlign w:val="superscript"/>
          <w:lang w:val="en-GB" w:eastAsia="en-GB"/>
        </w:rPr>
        <w:footnoteReference w:id="5"/>
      </w:r>
      <w:r>
        <w:rPr>
          <w:rFonts w:ascii="Times New Roman" w:hAnsi="Times New Roman"/>
          <w:noProof/>
          <w:sz w:val="24"/>
        </w:rPr>
        <w:t xml:space="preserve"> ger överenskommelsen även personal som flyttar från London till Paris förmånen att köpa en bil skattefritt inom tolv månader från flytten och denna förmån har utvidgats till att även gälla personal med franskt medborgarskap. Fram till den 13 mars 2020 hade tio av de 175 anställda med rätt till denna förmån registrerat sina fordon enligt förmånen, och ytterligare fyra väntar på att förfarandet ska avslutas.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I överenskommelsen förbinder sig även den franska regeringen att starta en process för att etablera en Europaskola i Parisregionen. En Europaskola av typ II öppnades i Courbevoie i september 2019. Den genomgår för närvarande en ackrediteringsprocess. För den engelska sektionen i skolan erbjuds undervisning för alla åren på förskole- och primärnivå. Dock erbjuds ännu inte en fullständig sekundärnivå i den engelska sektionen eftersom klasserna upprättas gradvis. Skolan siktar på att ha en fullständig sekundärnivå senast i september 2021. Den franska sektionen har öppnats för förskolenivån och delvis för primärnivån. Undervisning på sekundärnivå kommer att erbjudas i september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har även haft kontakter med protokollavdelningen på det franska ministeriet för europeiska och utrikes frågor och med franska tullmyndigheter för att säkerställa en friktionsfri process i samband med att personalen och deras familjer anländer till Frankrike vad gäller särskilda uppehållstillstånd och tillämpningen av skatteprivilegier på EBA. Den 15 maj 2020 beviljades 139 anställda och 67 familjemedlemmar särskilda uppehållstillstånd.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Genom protokoll nr 7 om Europeiska unionens immunitet och privilegier beviljas EBA undantag från mervärdesskatt på inköp av varor och tjänster som är nödvändiga för myndighetens verksamhet. EBA har lämnat in krav på återbetalning av mervärdesskatt till den franska regeringen. Det gäller mervärdesskatt som betalats för varor och tjänster som tillhandahållits av franska enheter och för inköp via internet. Återbetalning till följd av tidigare krav har mottagits.</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noProof/>
        </w:rPr>
        <w:tab/>
      </w:r>
      <w:r>
        <w:rPr>
          <w:rFonts w:ascii="Times New Roman" w:hAnsi="Times New Roman"/>
          <w:b/>
          <w:smallCaps/>
          <w:noProof/>
          <w:sz w:val="24"/>
          <w:szCs w:val="24"/>
        </w:rPr>
        <w:t>EBA:s styrning, verksamhet och fullgörande av sitt uppdrag</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EBA:s uppdrag och befogenheter, dess styrningsstruktur, huvudorganisationens verksamhet och den huvudsakliga finansieringen påverkades inte av flytten av EBA:s säte. Myndigheten har varit fullt operativ i de nya kontoren i Paris sedan början av juni 2019.</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EBA och Europeiska värdepappers- och marknadsmyndigheten (Esma) arbetar i nära samordning när det gäller upphandling. EBA deltar i två ramavtal som har upprättats genom Esmas upphandlingsförfaranden – konsulttjänster för informations- och kommunikationsteknik och konsulttjänster för fastighetsförvaltning. Esma har också bjudit in EBA att delta i sitt nästa upphandlingsförfarande för tillfällig personal, och EBA kommer att ansluta sig till förfarandet. Esma anslöt sig till EBA:s upphandlingsförfarande för språkutbildning, där ett ramavtal undertecknades i januari 2020. EBA har bjudit in Esma (och Europeiska försäkrings- och tjänstepensionsmyndigheten – Eiopa) att ansluta sig till sitt kommande förfarande för att upphandla korrekturläsnings- och redigeringstjänster, där man siktar på att underteckna ett ramavtal under 2020. De två myndigheterna diskuterar för närvarande gemensam upphandling i ett nära förestående upphandlingsförfarande för hälsovårdstjänster och ett antal andra förfaranden för administrativa tjänster längre fram.  </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 8 juli 2019 godkände Europeiska kommissionen de europeiska tillsynsmyndigheternas begäran om ett undantag i sina finansiella regler från vissa bestämmelser i delegerad förordning (EU) 2019/715</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Detta för att göra det möjligt för dem att delta i upphandlingsförfaranden som anordnas av Europeiska centralbanken och samordningsbyrån för eurosystemets upphandlingar (EPCO). EBA fungerar som kontakt mellan EPCO och de två andra europeiska tillsynsmyndigheterna och samordnar samtalen för att identifiera och ansluta sig till upphandlingsförfaranden som anordnas av EPCO. Eiopa sköter kontakterna med ECB.</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och Esma deltar också i ett nätverk för personal som arbetar med upphandling i internationella organisationer med säte i Paris. På Esmas initiativ överväger de internationella organisationerna också att inrätta regelbundna möten mellan förvaltningscheferna.</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bookmarkStart w:id="2" w:name="_Toc402519962"/>
      <w:bookmarkStart w:id="3" w:name="_Toc402520014"/>
      <w:bookmarkStart w:id="4" w:name="_Toc404257981"/>
      <w:bookmarkStart w:id="5" w:name="_Toc404260786"/>
      <w:bookmarkStart w:id="6" w:name="_Toc435435117"/>
      <w:bookmarkStart w:id="7" w:name="_Toc440442995"/>
      <w:r>
        <w:rPr>
          <w:rFonts w:ascii="Times New Roman" w:hAnsi="Times New Roman"/>
          <w:b/>
          <w:smallCaps/>
          <w:noProof/>
          <w:sz w:val="24"/>
          <w:szCs w:val="24"/>
        </w:rPr>
        <w:t>4</w:t>
      </w:r>
      <w:r>
        <w:rPr>
          <w:noProof/>
        </w:rPr>
        <w:tab/>
      </w:r>
      <w:bookmarkStart w:id="8" w:name="_Toc290283336"/>
      <w:r>
        <w:rPr>
          <w:rFonts w:ascii="Times New Roman" w:hAnsi="Times New Roman"/>
          <w:b/>
          <w:smallCaps/>
          <w:noProof/>
          <w:sz w:val="24"/>
          <w:szCs w:val="24"/>
        </w:rPr>
        <w:t>Slutsat</w:t>
      </w:r>
      <w:bookmarkEnd w:id="8"/>
      <w:bookmarkEnd w:id="2"/>
      <w:bookmarkEnd w:id="3"/>
      <w:r>
        <w:rPr>
          <w:rFonts w:ascii="Times New Roman" w:hAnsi="Times New Roman"/>
          <w:b/>
          <w:smallCaps/>
          <w:noProof/>
          <w:sz w:val="24"/>
          <w:szCs w:val="24"/>
        </w:rPr>
        <w:t>s</w:t>
      </w:r>
      <w:bookmarkEnd w:id="4"/>
      <w:bookmarkEnd w:id="5"/>
      <w:bookmarkEnd w:id="6"/>
      <w:bookmarkEnd w:id="7"/>
    </w:p>
    <w:p>
      <w:pPr>
        <w:spacing w:before="120" w:after="120" w:line="240" w:lineRule="auto"/>
        <w:jc w:val="both"/>
        <w:rPr>
          <w:rFonts w:ascii="Times New Roman" w:eastAsia="Times New Roman" w:hAnsi="Times New Roman" w:cs="Times New Roman"/>
          <w:noProof/>
        </w:rPr>
      </w:pPr>
      <w:r>
        <w:rPr>
          <w:rFonts w:ascii="Times New Roman" w:hAnsi="Times New Roman"/>
          <w:noProof/>
          <w:sz w:val="24"/>
          <w:szCs w:val="24"/>
        </w:rPr>
        <w:t>Enligt tillgänglig information har EBA:s fullgörande av sitt uppdrag och utövande av sina befogenheter, myndighetens styrningsstruktur, huvudorganisation och finansieringen av dess verksamhet inte påverkats av att sätet har flyttat till Paris eller av det administrativa samarbete med Esma och Eiopa som beskrivs ovan och som inte rör EBA:s kärnverksamhet.</w:t>
      </w:r>
    </w:p>
    <w:p>
      <w:pPr>
        <w:spacing w:before="120" w:after="120" w:line="240" w:lineRule="auto"/>
        <w:jc w:val="both"/>
        <w:rPr>
          <w:rFonts w:ascii="Times New Roman" w:eastAsia="Times New Roman" w:hAnsi="Times New Roman" w:cs="Times New Roman"/>
          <w:noProof/>
          <w:sz w:val="24"/>
          <w:lang w:eastAsia="en-GB"/>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 xml:space="preserve">Rådet (allmänna frågor) (artikel 50), 20 november 2017: </w:t>
      </w:r>
      <w:r>
        <w:tab/>
        <w:t xml:space="preserve"> </w:t>
      </w:r>
      <w:hyperlink r:id="rId1" w:history="1">
        <w:r>
          <w:rPr>
            <w:rStyle w:val="Hyperlink1"/>
          </w:rPr>
          <w:t>https://www.consilium.europa.eu/en/press/press-releases/2017/11/20/european-banking-authority-to-be-relocated-to-city-country/</w:t>
        </w:r>
      </w:hyperlink>
      <w:r>
        <w:t xml:space="preserve"> </w:t>
      </w:r>
    </w:p>
  </w:footnote>
  <w:footnote w:id="2">
    <w:p>
      <w:pPr>
        <w:pStyle w:val="FootnoteText"/>
        <w:jc w:val="both"/>
      </w:pPr>
      <w:r>
        <w:rPr>
          <w:rStyle w:val="FootnoteReference"/>
        </w:rPr>
        <w:footnoteRef/>
      </w:r>
      <w:r>
        <w:tab/>
        <w:t>Europaparlamentets och rådets förordning (EU) nr 1093/2010 av den 24 november 2010 om inrättande av en europeisk tillsynsmyndighet (Europeiska bankmyndigheten) (EUT L 331, 15.12.2010, s. 12).</w:t>
      </w:r>
    </w:p>
  </w:footnote>
  <w:footnote w:id="3">
    <w:p>
      <w:pPr>
        <w:pStyle w:val="FootnoteText"/>
        <w:jc w:val="both"/>
      </w:pPr>
      <w:r>
        <w:rPr>
          <w:rStyle w:val="FootnoteReference"/>
        </w:rPr>
        <w:footnoteRef/>
      </w:r>
      <w:r>
        <w:tab/>
        <w:t>Europaparlamentets och rådets förordning (EU) 2018/1717 av den 14 november 2018 om ändring av förordning (EU) nr 1093/2010 vad gäller Europeiska bankmyndighetens säte (EUT L 291, 16.11.2018, s. 1).</w:t>
      </w:r>
    </w:p>
  </w:footnote>
  <w:footnote w:id="4">
    <w:p>
      <w:pPr>
        <w:pStyle w:val="FootnoteText"/>
        <w:rPr>
          <w:lang w:val="en-US"/>
        </w:rPr>
      </w:pPr>
      <w:r>
        <w:rPr>
          <w:rStyle w:val="FootnoteReference"/>
        </w:rPr>
        <w:footnoteRef/>
      </w:r>
      <w:r>
        <w:rPr>
          <w:lang w:val="en-US"/>
        </w:rPr>
        <w:t xml:space="preserve"> </w:t>
      </w:r>
      <w:r>
        <w:rPr>
          <w:lang w:val="en-US"/>
        </w:rPr>
        <w:tab/>
        <w:t>COM(2019) 451 final.</w:t>
      </w:r>
    </w:p>
  </w:footnote>
  <w:footnote w:id="5">
    <w:p>
      <w:pPr>
        <w:pStyle w:val="FootnoteText"/>
        <w:jc w:val="both"/>
        <w:rPr>
          <w:lang w:val="en-US"/>
        </w:rPr>
      </w:pPr>
      <w:r>
        <w:rPr>
          <w:rStyle w:val="FootnoteReference"/>
        </w:rPr>
        <w:footnoteRef/>
      </w:r>
      <w:r>
        <w:rPr>
          <w:lang w:val="en-US"/>
        </w:rPr>
        <w:tab/>
        <w:t>EUT C 202, 7.6.2016, s. 266.</w:t>
      </w:r>
    </w:p>
  </w:footnote>
  <w:footnote w:id="6">
    <w:p>
      <w:pPr>
        <w:pStyle w:val="FootnoteText"/>
        <w:jc w:val="both"/>
        <w:rPr>
          <w:rFonts w:ascii="&amp;quot" w:eastAsia="Times New Roman" w:hAnsi="&amp;quot" w:cs="Times New Roman"/>
          <w:color w:val="444444"/>
        </w:rPr>
      </w:pPr>
      <w:r>
        <w:rPr>
          <w:rStyle w:val="FootnoteReference"/>
        </w:rPr>
        <w:footnoteRef/>
      </w:r>
      <w:r>
        <w:tab/>
      </w:r>
      <w:r>
        <w:rPr>
          <w:rFonts w:ascii="&amp;quot" w:hAnsi="&amp;quot"/>
          <w:color w:val="444444"/>
        </w:rPr>
        <w:t>Kommissionens delegerade förordning (EU) 2019/715 av den 18 december 2018 med rambudgetförordning för de organ som inrättats enligt EUF-fördraget och Euratomfördraget och som avses i artikel 70 i Europaparlamentets och rådets förordning (EU, Euratom) 2018/1046 (EUT L 122, 10.5.2019,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DA7817C-60DE-4602-9EE8-B67ED420C646"/>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3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Europeiska bankmyndighetens uppfyllande av kraven gällande platsen för myndighetens säte"/>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v-SE"/>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v-SE"/>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605A-5AFD-4D7D-8F65-F7E68654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907</Words>
  <Characters>5624</Characters>
  <Application>Microsoft Office Word</Application>
  <DocSecurity>0</DocSecurity>
  <Lines>95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2020-06-20T17:24:00Z</dcterms:created>
  <dcterms:modified xsi:type="dcterms:W3CDTF">2020-07-13T07:57:00Z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