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4D43AD63-DFF2-47AE-B211-D4C4EFB8B713" style="width:450.75pt;height:293.2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rPr>
      </w:pPr>
      <w:bookmarkStart w:id="1" w:name="_GoBack"/>
      <w:bookmarkEnd w:id="1"/>
      <w:r>
        <w:rPr>
          <w:rFonts w:ascii="Times New Roman" w:hAnsi="Times New Roman"/>
          <w:b/>
          <w:smallCaps/>
          <w:noProof/>
          <w:sz w:val="24"/>
          <w:szCs w:val="24"/>
        </w:rPr>
        <w:lastRenderedPageBreak/>
        <w:t>1.</w:t>
      </w:r>
      <w:r>
        <w:rPr>
          <w:noProof/>
        </w:rPr>
        <w:tab/>
      </w:r>
      <w:r>
        <w:rPr>
          <w:rFonts w:ascii="Times New Roman" w:hAnsi="Times New Roman"/>
          <w:b/>
          <w:smallCaps/>
          <w:noProof/>
          <w:sz w:val="24"/>
          <w:szCs w:val="24"/>
        </w:rPr>
        <w:t>Uvod</w:t>
      </w:r>
    </w:p>
    <w:p>
      <w:pPr>
        <w:spacing w:before="120" w:after="100" w:afterAutospacing="1" w:line="240" w:lineRule="auto"/>
        <w:jc w:val="both"/>
        <w:rPr>
          <w:rFonts w:ascii="Times New Roman" w:eastAsia="Times New Roman" w:hAnsi="Times New Roman" w:cs="Times New Roman"/>
          <w:noProof/>
          <w:sz w:val="24"/>
        </w:rPr>
      </w:pPr>
      <w:r>
        <w:rPr>
          <w:rFonts w:ascii="Times New Roman" w:hAnsi="Times New Roman"/>
          <w:noProof/>
          <w:sz w:val="24"/>
        </w:rPr>
        <w:t>Glede na izstop Združenega kraljestva iz Unije je preostalih 27 držav članic, ki so se sestale ob robu seje Sveta, za novi sedež Evropskega bančnega organa (v nadaljnjem besedilu: EBA) izbralo francoski Pariz</w:t>
      </w:r>
      <w:r>
        <w:rPr>
          <w:rFonts w:ascii="Times New Roman" w:eastAsia="Times New Roman" w:hAnsi="Times New Roman" w:cs="Times New Roman"/>
          <w:noProof/>
          <w:sz w:val="24"/>
          <w:vertAlign w:val="superscript"/>
          <w:lang w:val="en-GB" w:eastAsia="en-GB"/>
        </w:rPr>
        <w:footnoteReference w:id="1"/>
      </w:r>
      <w:r>
        <w:rPr>
          <w:rFonts w:ascii="Times New Roman" w:hAnsi="Times New Roman"/>
          <w:noProof/>
          <w:sz w:val="24"/>
        </w:rPr>
        <w:t xml:space="preserve">. </w:t>
      </w:r>
    </w:p>
    <w:p>
      <w:pPr>
        <w:spacing w:before="120" w:after="100" w:afterAutospacing="1" w:line="240" w:lineRule="auto"/>
        <w:jc w:val="both"/>
        <w:rPr>
          <w:rFonts w:ascii="Times New Roman" w:eastAsia="Times New Roman" w:hAnsi="Times New Roman" w:cs="Times New Roman"/>
          <w:noProof/>
          <w:sz w:val="24"/>
        </w:rPr>
      </w:pPr>
      <w:r>
        <w:rPr>
          <w:rFonts w:ascii="Times New Roman" w:hAnsi="Times New Roman"/>
          <w:noProof/>
          <w:sz w:val="24"/>
        </w:rPr>
        <w:t>Kraj sedeža organa EBA je določen v členu 7 uredbe o ustanovitvi EBA</w:t>
      </w:r>
      <w:r>
        <w:rPr>
          <w:rFonts w:ascii="Times New Roman" w:eastAsia="Times New Roman" w:hAnsi="Times New Roman" w:cs="Times New Roman"/>
          <w:noProof/>
          <w:sz w:val="24"/>
          <w:vertAlign w:val="superscript"/>
          <w:lang w:val="en-GB" w:eastAsia="en-GB"/>
        </w:rPr>
        <w:footnoteReference w:id="2"/>
      </w:r>
      <w:r>
        <w:rPr>
          <w:rFonts w:ascii="Times New Roman" w:hAnsi="Times New Roman"/>
          <w:noProof/>
          <w:sz w:val="24"/>
        </w:rPr>
        <w:t xml:space="preserve"> (v nadaljnjem besedilu: uredba o EBA), ki jo je bilo zato treba spremeniti</w:t>
      </w:r>
      <w:r>
        <w:rPr>
          <w:rFonts w:ascii="Times New Roman" w:eastAsia="Times New Roman" w:hAnsi="Times New Roman" w:cs="Times New Roman"/>
          <w:noProof/>
          <w:sz w:val="24"/>
          <w:szCs w:val="24"/>
          <w:vertAlign w:val="superscript"/>
          <w:lang w:val="en-GB"/>
        </w:rPr>
        <w:footnoteReference w:id="3"/>
      </w:r>
      <w:r>
        <w:rPr>
          <w:rFonts w:ascii="Times New Roman" w:hAnsi="Times New Roman"/>
          <w:noProof/>
          <w:sz w:val="24"/>
        </w:rPr>
        <w:t>, da bi se lahko sedež preselil iz Londona v Pariz. Poleg spremembe sedeža so se s spremembo uredbe o EBA uvedle tudi nekatere nove zahteve v zvezi z lokacijo njegovega sedeža in obveznost Komisije, da do 30. marca 2019 in potem vsakih 12 mesecev objavi poročilo o izpolnjevanju teh zahtev s strani EBA.</w:t>
      </w:r>
    </w:p>
    <w:p>
      <w:pPr>
        <w:spacing w:before="120" w:after="100" w:afterAutospacing="1" w:line="240" w:lineRule="auto"/>
        <w:jc w:val="both"/>
        <w:rPr>
          <w:rFonts w:ascii="Times New Roman" w:eastAsia="Times New Roman" w:hAnsi="Times New Roman" w:cs="Times New Roman"/>
          <w:noProof/>
          <w:sz w:val="24"/>
        </w:rPr>
      </w:pPr>
      <w:r>
        <w:rPr>
          <w:rFonts w:ascii="Times New Roman" w:hAnsi="Times New Roman"/>
          <w:noProof/>
          <w:sz w:val="24"/>
        </w:rPr>
        <w:t xml:space="preserve">V členu 7 uredbe o EBA je določeno: „Lokacija sedeža Organa ne vpliva na izvajanje njegovih nalog in pooblastil, organizacijo njegove strukture upravljanja, delovanje njegove glavne organizacije ali na glavno financiranje njegovih dejavnosti, pri čemer lahko organ, kadar je to ustrezno, z agencijami Unije souporablja storitve za upravno podporo in upravljanje objektov, ki niso povezane z glavnimi dejavnostmi Organa.“ </w:t>
      </w:r>
    </w:p>
    <w:p>
      <w:pPr>
        <w:spacing w:before="120" w:after="100" w:afterAutospacing="1" w:line="240" w:lineRule="auto"/>
        <w:jc w:val="both"/>
        <w:rPr>
          <w:rFonts w:ascii="Times New Roman" w:eastAsia="Times New Roman" w:hAnsi="Times New Roman" w:cs="Times New Roman"/>
          <w:noProof/>
          <w:sz w:val="24"/>
        </w:rPr>
      </w:pPr>
      <w:r>
        <w:rPr>
          <w:rFonts w:ascii="Times New Roman" w:hAnsi="Times New Roman"/>
          <w:noProof/>
          <w:sz w:val="24"/>
        </w:rPr>
        <w:t>EBA je zagotovil potrebne informacije za izpolnitev te zahteve po poročanju. Prvo poročilo je bilo objavljeno leta 2019</w:t>
      </w:r>
      <w:r>
        <w:rPr>
          <w:rStyle w:val="FootnoteReference"/>
          <w:rFonts w:ascii="Times New Roman" w:eastAsia="Times New Roman" w:hAnsi="Times New Roman" w:cs="Times New Roman"/>
          <w:noProof/>
          <w:sz w:val="24"/>
          <w:lang w:val="en-GB" w:eastAsia="en-GB"/>
        </w:rPr>
        <w:footnoteReference w:id="4"/>
      </w:r>
      <w:r>
        <w:rPr>
          <w:rFonts w:ascii="Times New Roman" w:hAnsi="Times New Roman"/>
          <w:noProof/>
          <w:sz w:val="24"/>
        </w:rPr>
        <w:t xml:space="preserve">. To je drugo poročilo v okviru nove obveznosti poročanja. </w:t>
      </w: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2.</w:t>
      </w:r>
      <w:r>
        <w:rPr>
          <w:noProof/>
        </w:rPr>
        <w:tab/>
      </w:r>
      <w:r>
        <w:rPr>
          <w:rFonts w:ascii="Times New Roman" w:hAnsi="Times New Roman"/>
          <w:b/>
          <w:smallCaps/>
          <w:noProof/>
          <w:sz w:val="24"/>
          <w:szCs w:val="24"/>
        </w:rPr>
        <w:t>Sporazum o sedežu EBA</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Sporazum o sedežu je bil s francosko vlado podpisan 6. marca 2019 v Parizu. EBA čaka na potrditev dokončanja postopkov, ki jih francoska zakonodaja zahteva za začetek veljavnosti sporazuma o sedežu. Med drugim ga mora ratificirati francoski parlament. Podpis sporazuma o sedežu ni vplival na delovanje in upravljanje EBA.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V sporazumu o sedežu je poleg zahtev v zvezi s Protokolom št. 7 o privilegijih in imunitetah Evropske unije</w:t>
      </w:r>
      <w:r>
        <w:rPr>
          <w:rFonts w:ascii="Times New Roman" w:eastAsia="Times New Roman" w:hAnsi="Times New Roman" w:cs="Times New Roman"/>
          <w:noProof/>
          <w:sz w:val="24"/>
          <w:vertAlign w:val="superscript"/>
          <w:lang w:val="en-GB" w:eastAsia="en-GB"/>
        </w:rPr>
        <w:footnoteReference w:id="5"/>
      </w:r>
      <w:r>
        <w:rPr>
          <w:rFonts w:ascii="Times New Roman" w:hAnsi="Times New Roman"/>
          <w:noProof/>
          <w:sz w:val="24"/>
        </w:rPr>
        <w:t xml:space="preserve"> določena ugodnost za uslužbence, ki bodo premeščeni iz Londona v Pariz, da so dvanajst mesecev od premestitve pri nakupu osebnega vozila oproščeni plačila davka, ki je bila razširjena na uslužbence s francoskim državljanstvom. Do 13. marca 2020 je od 175 uslužbencev, ki so upravičeni do te ugodnosti, deset registriralo vozilo na njeni podlagi, še štirje pa trenutno čakajo na zaključek postopka.</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Sporazum o sedežu tudi zavezuje francosko vlado, da začne postopek za ustanovitev Evropske šole v pariški regiji. Septembra 2019 se je v Courbevoieju odprla Evropska šola tipa II, ki je trenutno v postopku akreditacije. Za angleški jezikovni oddelek šole je bil v celoti vzpostavljen cikel predšolske vzgoje in osnovnošolskega izobraževanja, medtem ko srednješolsko izobraževanje še ni v celoti na voljo in se razredi oblikujejo postopoma. Šola si prizadeva, da bi bil srednješolski cikel angleškega jezikovnega oddelka dokončno oblikovan do septembra 2021. Francoski jezikovni oddelek je vrata odprl za predšolsko vzgojo in za del cikla osnovnošolskega izobraževanja. Cikel srednješolskega izobraževanja bo na voljo septembra 2021.</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EBA se je povezal tudi z uradom za protokol pri francoskem ministrstvu za evropske in zunanje zadeve ter s francoskimi carinskimi organi, da bi zagotovil nemoten postopek v zvezi s prihodom uslužbencev in njihovih družinskih članov v Francijo, zagotavljanjem posebnih dovoljenj za prebivanje in uporabo davčnih ugodnosti za EBA. Do 15. maja 2020 je posebna dovoljenja za prebivanje prejelo 139 uslužbencev in 67 družinskih članov.</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Protokol št. 7 o privilegijih in imunitetah Evropske unije podeljuje EBA oprostitev DDV za nakupe blaga in storitev, potrebnih za delovanje organa. EBA je francoski vladi predložil zahtevke za vračilo DDV, plačanega za blago in storitve, ki so jih zagotovili francoski subjekti, in za spletne nakupe. Prejeto je bilo povračilo na podlagi prejšnjih zahtevkov.</w:t>
      </w: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3.</w:t>
      </w:r>
      <w:r>
        <w:rPr>
          <w:noProof/>
        </w:rPr>
        <w:tab/>
      </w:r>
      <w:r>
        <w:rPr>
          <w:rFonts w:ascii="Times New Roman" w:hAnsi="Times New Roman"/>
          <w:b/>
          <w:smallCaps/>
          <w:noProof/>
          <w:sz w:val="24"/>
          <w:szCs w:val="24"/>
        </w:rPr>
        <w:t>Upravljanje, poslovanje in izvajanje nalog EBA</w:t>
      </w:r>
    </w:p>
    <w:p>
      <w:pPr>
        <w:spacing w:before="120"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Preselitev sedeža EBA ni vplivala na njegove naloge in pristojnosti, organizacijo njegove strukture upravljanja, delovanje njegove glavne organizacije in glavno financiranje. EBA je začel v svojih novih pariških pisarnah v celoti delovati na začetku junija 2019.</w:t>
      </w:r>
    </w:p>
    <w:p>
      <w:pPr>
        <w:spacing w:before="120"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Skupaj z Evropskim organom za vrednostne papirje in trge (v nadaljnjem besedilu: ESMA) tesno sodelujeta pri postopkih za oddajo javnih naročil. EBA sodeluje v dveh okvirnih pogodbah, sklenjenih na podlagi postopkov, ki jih vodi ESMA: za svetovalne storitve na področju informacijskih in komunikacijskih tehnologij ter za storitve svetovanja na področju upravljanja objektov. ESMA je tudi pozval EBA, naj sodeluje pri prihodnjem javnem razpisu za začasne uslužbence, ki se mu bo EBA pridružil. ESMA se je pridružil postopku javnega naročanja za jezikovno usposabljanje, ki ga je izvedel EBA in za katerega so bile januarja 2020 podpisane okvirne pogodbe. EBA je pozval ESMA (in Evropski organ za zavarovanja in poklicne pokojnine), naj se pridružita njegovemu prihodnjemu postopku za naročilo storitev pregledovanja in jezikovnega urejanja dokumentov, za kar naj bi bila okvirna pogodba podpisana v letu 2020. Agenciji trenutno razpravljata o skupnem javnem naročilu skorajšnjem postopku za zagotavljanje zdravstvene službe in številnih drugih, postopkih na upravnem področju, ki bodo na vrsti pozneje.  </w:t>
      </w:r>
    </w:p>
    <w:p>
      <w:pPr>
        <w:spacing w:before="120"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Evropska komisija je 8. julija 2019 odobrila prošnjo evropskih nadzornih organov, da njihova finančna pravila odstopajo od nekaterih določb Delegirane uredbe (EU) 2019/715</w:t>
      </w:r>
      <w:r>
        <w:rPr>
          <w:rFonts w:ascii="Times New Roman" w:eastAsia="Times New Roman" w:hAnsi="Times New Roman" w:cs="Times New Roman"/>
          <w:noProof/>
          <w:sz w:val="24"/>
          <w:szCs w:val="24"/>
          <w:vertAlign w:val="superscript"/>
          <w:lang w:val="en-GB"/>
        </w:rPr>
        <w:footnoteReference w:id="6"/>
      </w:r>
      <w:r>
        <w:rPr>
          <w:rFonts w:ascii="Times New Roman" w:hAnsi="Times New Roman"/>
          <w:noProof/>
          <w:sz w:val="24"/>
          <w:szCs w:val="24"/>
        </w:rPr>
        <w:t>, da bi se lahko pridružili postopkom javnega naročanja, ki jih vodita Evropska centralna banka in Urad Eurosistema za usklajevanje naročil. EBA deluje kot povezava med uradom in drugima dvema evropskima nadzornima organoma ter usklajuje razprave za opredelitev in pridružitev k postopkom naročanja, ki jih vodi Urad Eurosistema za usklajevanje naročil. Evropski organ za zavarovanja in poklicne pokojnine (v nadaljnjem besedilu: EIOPA) deluje kot povezava z ECB.</w:t>
      </w:r>
    </w:p>
    <w:p>
      <w:pPr>
        <w:spacing w:before="120"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EBA in ESMA sodelujeta tudi v mreži uradnikov za javna naročila mednarodnih organizacij s sedežem v Parizu. Na pobudo organa ESMA mednarodne organizacije razmišljajo o organizaciji rednih sestankov vodij uprav.</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szCs w:val="24"/>
        </w:rPr>
      </w:pPr>
      <w:bookmarkStart w:id="2" w:name="_Toc402519962"/>
      <w:bookmarkStart w:id="3" w:name="_Toc402520014"/>
      <w:bookmarkStart w:id="4" w:name="_Toc404257981"/>
      <w:bookmarkStart w:id="5" w:name="_Toc404260786"/>
      <w:bookmarkStart w:id="6" w:name="_Toc435435117"/>
      <w:bookmarkStart w:id="7" w:name="_Toc440442995"/>
      <w:r>
        <w:rPr>
          <w:rFonts w:ascii="Times New Roman" w:hAnsi="Times New Roman"/>
          <w:b/>
          <w:smallCaps/>
          <w:noProof/>
          <w:sz w:val="24"/>
          <w:szCs w:val="24"/>
        </w:rPr>
        <w:t>4.</w:t>
      </w:r>
      <w:r>
        <w:rPr>
          <w:noProof/>
        </w:rPr>
        <w:tab/>
      </w:r>
      <w:bookmarkStart w:id="8" w:name="_Toc290283336"/>
      <w:r>
        <w:rPr>
          <w:rFonts w:ascii="Times New Roman" w:hAnsi="Times New Roman"/>
          <w:b/>
          <w:smallCaps/>
          <w:noProof/>
          <w:sz w:val="24"/>
          <w:szCs w:val="24"/>
        </w:rPr>
        <w:t>Sklep</w:t>
      </w:r>
      <w:bookmarkEnd w:id="8"/>
      <w:bookmarkEnd w:id="2"/>
      <w:bookmarkEnd w:id="3"/>
      <w:bookmarkEnd w:id="4"/>
      <w:bookmarkEnd w:id="5"/>
      <w:bookmarkEnd w:id="6"/>
      <w:bookmarkEnd w:id="7"/>
    </w:p>
    <w:p>
      <w:pPr>
        <w:spacing w:before="120" w:after="120" w:line="240" w:lineRule="auto"/>
        <w:jc w:val="both"/>
        <w:rPr>
          <w:rFonts w:ascii="Times New Roman" w:eastAsia="Times New Roman" w:hAnsi="Times New Roman" w:cs="Times New Roman"/>
          <w:noProof/>
        </w:rPr>
      </w:pPr>
      <w:r>
        <w:rPr>
          <w:rFonts w:ascii="Times New Roman" w:hAnsi="Times New Roman"/>
          <w:noProof/>
          <w:sz w:val="24"/>
          <w:szCs w:val="24"/>
        </w:rPr>
        <w:t>Glede na razpoložljive informacije preselitev sedeža EBA v Pariz in ureditvi upravnega sodelovanja z ESMA in EIOPA, opisani zgoraj, ki nista povezani z glavnimi dejavnostmi EBA, ne vplivajo na izvajanje nalog in pooblastil EBA, njegovo strukturo upravljanja, njegovo glavno organizacijo in financiranje njegovih dejavnosti.</w:t>
      </w:r>
    </w:p>
    <w:p>
      <w:pPr>
        <w:spacing w:before="120" w:after="120" w:line="240" w:lineRule="auto"/>
        <w:jc w:val="both"/>
        <w:rPr>
          <w:rFonts w:ascii="Times New Roman" w:eastAsia="Times New Roman" w:hAnsi="Times New Roman" w:cs="Times New Roman"/>
          <w:noProof/>
          <w:sz w:val="24"/>
          <w:lang w:val="en-GB" w:eastAsia="en-GB"/>
        </w:rPr>
      </w:pPr>
    </w:p>
    <w:p>
      <w:pPr>
        <w:rPr>
          <w:noProof/>
          <w:lang w:val="en-GB"/>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tab/>
        <w:t xml:space="preserve">Svet za splošne zadeve (člen 50), 20. november 2017: </w:t>
      </w:r>
      <w:r>
        <w:tab/>
        <w:t xml:space="preserve"> </w:t>
      </w:r>
      <w:hyperlink r:id="rId1" w:history="1">
        <w:r>
          <w:rPr>
            <w:rStyle w:val="Hyperlink1"/>
          </w:rPr>
          <w:t>https://www.consilium.europa.eu/sl/press/press-releases/2017/11/20/european-banking-authority-to-be-relocated-to-city-country/</w:t>
        </w:r>
      </w:hyperlink>
      <w:r>
        <w:t xml:space="preserve"> </w:t>
      </w:r>
    </w:p>
  </w:footnote>
  <w:footnote w:id="2">
    <w:p>
      <w:pPr>
        <w:pStyle w:val="FootnoteText"/>
        <w:jc w:val="both"/>
      </w:pPr>
      <w:r>
        <w:rPr>
          <w:rStyle w:val="FootnoteReference"/>
        </w:rPr>
        <w:footnoteRef/>
      </w:r>
      <w:r>
        <w:t xml:space="preserve"> </w:t>
      </w:r>
      <w:r>
        <w:tab/>
        <w:t>Uredba (EU) št. 1093/2010 Evropskega parlamenta in Sveta z dne 24. novembra 2010 o ustanovitvi Evropskega nadzornega organa (Evropski bančni organ) (UL L 331, 15.12.2010, str. 12).</w:t>
      </w:r>
    </w:p>
  </w:footnote>
  <w:footnote w:id="3">
    <w:p>
      <w:pPr>
        <w:pStyle w:val="FootnoteText"/>
        <w:jc w:val="both"/>
      </w:pPr>
      <w:r>
        <w:rPr>
          <w:rStyle w:val="FootnoteReference"/>
        </w:rPr>
        <w:footnoteRef/>
      </w:r>
      <w:r>
        <w:t xml:space="preserve"> </w:t>
      </w:r>
      <w:r>
        <w:tab/>
        <w:t>Uredba (EU) 2018/1717 Evropskega parlamenta in Sveta z dne 14. novembra 2018 o spremembi Uredbe (EU) št. 1093/2010, kar zadeva lokacijo sedeža Evropskega bančnega organa (UL L 291, 16.11.2018, str. 1).</w:t>
      </w:r>
    </w:p>
  </w:footnote>
  <w:footnote w:id="4">
    <w:p>
      <w:pPr>
        <w:pStyle w:val="FootnoteText"/>
      </w:pPr>
      <w:r>
        <w:rPr>
          <w:rStyle w:val="FootnoteReference"/>
        </w:rPr>
        <w:footnoteRef/>
      </w:r>
      <w:r>
        <w:t xml:space="preserve"> </w:t>
      </w:r>
      <w:r>
        <w:tab/>
        <w:t>COM(2019) 451 final.</w:t>
      </w:r>
    </w:p>
  </w:footnote>
  <w:footnote w:id="5">
    <w:p>
      <w:pPr>
        <w:pStyle w:val="FootnoteText"/>
        <w:jc w:val="both"/>
      </w:pPr>
      <w:r>
        <w:rPr>
          <w:rStyle w:val="FootnoteReference"/>
        </w:rPr>
        <w:footnoteRef/>
      </w:r>
      <w:r>
        <w:t xml:space="preserve"> </w:t>
      </w:r>
      <w:r>
        <w:tab/>
        <w:t>UL C 202, 7.6.2016, str. 266.</w:t>
      </w:r>
    </w:p>
  </w:footnote>
  <w:footnote w:id="6">
    <w:p>
      <w:pPr>
        <w:pStyle w:val="FootnoteText"/>
        <w:jc w:val="both"/>
        <w:rPr>
          <w:rFonts w:ascii="&amp;quot" w:eastAsia="Times New Roman" w:hAnsi="&amp;quot" w:cs="Times New Roman"/>
          <w:color w:val="444444"/>
        </w:rPr>
      </w:pPr>
      <w:r>
        <w:rPr>
          <w:rStyle w:val="FootnoteReference"/>
        </w:rPr>
        <w:footnoteRef/>
      </w:r>
      <w:r>
        <w:t xml:space="preserve">  </w:t>
      </w:r>
      <w:r>
        <w:tab/>
        <w:t>Delegirana uredba Komisije (EU) 2019/715 z dne 18. decembra 2018 o okvirni finančni uredbi za organe, ustanovljene na podlagi PDEU in Pogodbe Euratom, iz člena 70 Uredbe (EU, Euratom) 2018/1046 Evropskega parlamenta in Sveta (UL L 122, 10.5.2019,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D43AD63-DFF2-47AE-B211-D4C4EFB8B713"/>
    <w:docVar w:name="LW_COVERPAGE_TYPE" w:val="1"/>
    <w:docVar w:name="LW_CROSSREFERENCE" w:val="&lt;UNUSED&gt;"/>
    <w:docVar w:name="LW_DocType" w:val="NORMAL"/>
    <w:docVar w:name="LW_EMISSION" w:val="15.7.2020"/>
    <w:docVar w:name="LW_EMISSION_ISODATE" w:val="2020-07-15"/>
    <w:docVar w:name="LW_EMISSION_LOCATION" w:val="BRX"/>
    <w:docVar w:name="LW_EMISSION_PREFIX" w:val="Bruselj, "/>
    <w:docVar w:name="LW_EMISSION_SUFFIX" w:val=" "/>
    <w:docVar w:name="LW_ID_DOCTYPE_NONLW" w:val="CP-006"/>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20) 3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 izpolnjevanju zahtev glede kraja sede\u382?a s strani Evropskega ban\u269?nega organa"/>
    <w:docVar w:name="LW_TYPE.DOC.CP" w:val="PORO\u268?ILO KOMISIJE EVROPSKEMU PARLAMENTU IN SVETU"/>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uiPriority w:val="99"/>
    <w:rPr>
      <w:shd w:val="clear" w:color="auto" w:fill="auto"/>
      <w:vertAlign w:val="superscript"/>
    </w:rPr>
  </w:style>
  <w:style w:type="character" w:customStyle="1" w:styleId="Hyperlink1">
    <w:name w:val="Hyperlink1"/>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sl-SI"/>
    </w:rPr>
  </w:style>
  <w:style w:type="character" w:styleId="Hyperlink">
    <w:name w:val="Hyperlink"/>
    <w:basedOn w:val="DefaultParagraphFont"/>
    <w:uiPriority w:val="99"/>
    <w:semiHidden/>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before="0"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uiPriority w:val="99"/>
    <w:rPr>
      <w:shd w:val="clear" w:color="auto" w:fill="auto"/>
      <w:vertAlign w:val="superscript"/>
    </w:rPr>
  </w:style>
  <w:style w:type="character" w:customStyle="1" w:styleId="Hyperlink1">
    <w:name w:val="Hyperlink1"/>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sl-SI"/>
    </w:rPr>
  </w:style>
  <w:style w:type="character" w:styleId="Hyperlink">
    <w:name w:val="Hyperlink"/>
    <w:basedOn w:val="DefaultParagraphFont"/>
    <w:uiPriority w:val="99"/>
    <w:semiHidden/>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before="0"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sl/press/press-releases/2017/11/20/european-banking-authority-to-be-relocated-to-city-cou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0B682-7CF2-4DBE-9951-4C7B334A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930</Words>
  <Characters>5323</Characters>
  <Application>Microsoft Office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16</cp:revision>
  <dcterms:created xsi:type="dcterms:W3CDTF">2020-06-20T17:24:00Z</dcterms:created>
  <dcterms:modified xsi:type="dcterms:W3CDTF">2020-07-13T07:57:00Z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7.0.1, Build 20190916</vt:lpwstr>
  </property>
</Properties>
</file>