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9D671B9-DE70-4753-896E-233FBAAAA10B"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pStyle w:val="Annexetitreexpos"/>
        <w:rPr>
          <w:noProof/>
        </w:rPr>
      </w:pPr>
      <w:r>
        <w:rPr>
          <w:noProof/>
        </w:rPr>
        <w:t>Linii directoare financiare pentru gestionarea activelor CECO în lichidare și, după încheierea lichidării, a activelor Fondului de cercetare pentru cărbune și oțel</w:t>
      </w:r>
    </w:p>
    <w:p>
      <w:pPr>
        <w:rPr>
          <w:noProof/>
        </w:rPr>
      </w:pPr>
    </w:p>
    <w:p>
      <w:pPr>
        <w:pStyle w:val="NumPar1"/>
        <w:numPr>
          <w:ilvl w:val="0"/>
          <w:numId w:val="1"/>
        </w:numPr>
        <w:rPr>
          <w:rStyle w:val="boldface"/>
          <w:noProof/>
        </w:rPr>
      </w:pPr>
      <w:r>
        <w:rPr>
          <w:rStyle w:val="boldface"/>
          <w:noProof/>
        </w:rPr>
        <w:t>UTILIZAREA FONDURILOR</w:t>
      </w:r>
    </w:p>
    <w:p>
      <w:pPr>
        <w:rPr>
          <w:noProof/>
        </w:rPr>
      </w:pPr>
      <w:r>
        <w:rPr>
          <w:noProof/>
        </w:rPr>
        <w:t>Activele CECO în lichidare, inclusiv portofoliul de împrumuturi și investițiile sale, se folosesc după cum este necesar pentru a îndeplini obligațiile restante ale CECO, în ceea ce privește împrumuturile în curs, angajamentele sale care rezultă din bugetele de funcționare anterioare și orice alte obligații.</w:t>
      </w:r>
    </w:p>
    <w:p>
      <w:pPr>
        <w:rPr>
          <w:noProof/>
        </w:rPr>
      </w:pPr>
      <w:r>
        <w:rPr>
          <w:noProof/>
        </w:rPr>
        <w:t>În măsura în care activele CECO în lichidare și, după încheierea lichidării, activele Fondului de cercetare pentru cărbune și oțel nu sunt necesare pentru a îndeplini obligațiile descrise la primul paragraf, activele respective sunt investite prudent, în conformitate cu orizontul de investiții ales, pentru a obține venituri care pot fi utilizate pentru a continua finanțarea cercetării în sectoarele legate de industria cărbunelui și a oțelului.</w:t>
      </w:r>
    </w:p>
    <w:p>
      <w:pPr>
        <w:rPr>
          <w:noProof/>
        </w:rPr>
      </w:pPr>
      <w:r>
        <w:rPr>
          <w:noProof/>
        </w:rPr>
        <w:t>Activele CECO în lichidare și, după încheierea lichidării, activele Fondului de cercetare pentru cărbune și oțel sunt utilizate pentru a furniza plăți anuale în limitele alocării anuale de [111 milioane] EUR, pentru cercetarea în sectoarele legate de industria cărbunelui și a oțelului. Aceste plăți trebuie să fie efectuate din veniturile nete obținute din investiții. În cazul în care aceste venituri nete nu acoperă suma necesară pentru alocarea anuală, ele sunt completate cu venituri obținute prin vânzarea unei părți din activele CECO în lichidare și, după încheierea lichidării, din activele Fondului de cercetare pentru cărbune și oțel. După anul 2027, activele Fondului de cercetare pentru cărbune și oțel se investesc astfel încât să producă venituri care să poată fi utilizate la finanțarea continuării cercetării în sectoarele legate de industria cărbunelui și a oțelului.</w:t>
      </w:r>
    </w:p>
    <w:p>
      <w:pPr>
        <w:pStyle w:val="NumPar1"/>
        <w:rPr>
          <w:noProof/>
          <w:color w:val="000000" w:themeColor="text1"/>
        </w:rPr>
      </w:pPr>
      <w:r>
        <w:rPr>
          <w:noProof/>
          <w:color w:val="000000" w:themeColor="text1"/>
        </w:rPr>
        <w:t>ORIZONTUL ȘI OBIECTIVELE INVESTIȚIILOR ȘI TOLERANȚA LA RISC</w:t>
      </w:r>
    </w:p>
    <w:p>
      <w:pPr>
        <w:rPr>
          <w:noProof/>
        </w:rPr>
      </w:pPr>
      <w:r>
        <w:rPr>
          <w:noProof/>
        </w:rPr>
        <w:t>Activele CECO în lichidare și, după încheierea lichidării, activele Fondului de cercetare pentru cărbune și oțel sunt investite cu obiectivul de a conserva și, dacă este posibil, de a le mări valoarea („obiectivul de investiții”). Obiectivul de investiții este urmărit pe parcursul orizontului de investiții și este realizat cu un nivel ridicat de încredere.</w:t>
      </w:r>
    </w:p>
    <w:p>
      <w:pPr>
        <w:rPr>
          <w:noProof/>
        </w:rPr>
      </w:pPr>
      <w:r>
        <w:rPr>
          <w:noProof/>
        </w:rPr>
        <w:t>Activele sunt gestionate în conformitate cu normele prudențiale și cu principiile bunei gestiuni financiare și în conformitate cu normele și procedurile stabilite de contabilul Comisiei.</w:t>
      </w:r>
    </w:p>
    <w:p>
      <w:pPr>
        <w:rPr>
          <w:noProof/>
        </w:rPr>
      </w:pPr>
      <w:r>
        <w:rPr>
          <w:noProof/>
        </w:rPr>
        <w:t>Obiectivul de investiții este urmărit prin punerea în aplicare a unei strategii de investiții prudente, bazată pe un grad ridicat de diversificare între clasele de active, zonele geografice, emitenții și scadențele eligibile („strategia de investiții”). Strategia de investiții se stabilește luând în considerare orizontul de investiții și astfel încât să se garanteze disponibilitatea fondurilor necesare într-o formă suficient de lichidă, dacă și atunci când este necesar.</w:t>
      </w:r>
    </w:p>
    <w:p>
      <w:pPr>
        <w:rPr>
          <w:noProof/>
        </w:rPr>
      </w:pPr>
      <w:r>
        <w:rPr>
          <w:noProof/>
        </w:rPr>
        <w:t>Această strategie de investiții este exprimată sub forma unei alocări strategice a activelor, care stabilește valori-țintă orientative ale alocărilor pentru diferite categorii de active financiare eligibile.</w:t>
      </w:r>
    </w:p>
    <w:p>
      <w:pPr>
        <w:rPr>
          <w:noProof/>
        </w:rPr>
      </w:pPr>
      <w:r>
        <w:rPr>
          <w:noProof/>
        </w:rPr>
        <w:t>Comisia reflectă această alocare strategică a activelor într-un criteriu de referință strategic (denumit în continuare „criteriul de referință”), pe baza căruia se compară performanța activelor CECO în lichidare și, după încheierea lichidării, a activelor Fondului de cercetare pentru cărbune și oțel.</w:t>
      </w:r>
    </w:p>
    <w:p>
      <w:pPr>
        <w:rPr>
          <w:noProof/>
        </w:rPr>
      </w:pPr>
      <w:r>
        <w:rPr>
          <w:noProof/>
        </w:rPr>
        <w:lastRenderedPageBreak/>
        <w:t>Strategia de investiții și criteriul de referință sunt propuse de Comisie și convenite de comun acord cu contabilul Comisiei, după consultarea ordonatorilor de credite delegați ai Comisiei.</w:t>
      </w:r>
    </w:p>
    <w:p>
      <w:pPr>
        <w:rPr>
          <w:noProof/>
        </w:rPr>
      </w:pPr>
      <w:r>
        <w:rPr>
          <w:noProof/>
        </w:rPr>
        <w:t>Strategia de investiții și criteriul de referință pot fi modificate de Comisie în cazul unei modificări documentate și motivate în mod adecvat a condițiilor economice, în cazul unei modificări substanțiale a nevoilor și a situației instrumentelor contribuitoare sau în cazul unei modificări semnificative a estimărilor intrărilor/ieșirilor. Procedura de modificare a strategiei de investiții este aceeași cu cea aplicată la adoptarea inițială.</w:t>
      </w:r>
    </w:p>
    <w:p>
      <w:pPr>
        <w:rPr>
          <w:noProof/>
        </w:rPr>
      </w:pPr>
      <w:r>
        <w:rPr>
          <w:noProof/>
        </w:rPr>
        <w:t>Strategia de investiții este definită ținând seama de orizontul de investiții și de toleranța la risc a activelor CECO în lichidare și, după încheierea lichidării, a activelor Fondului de cercetare pentru cărbune și oțel.</w:t>
      </w:r>
    </w:p>
    <w:p>
      <w:pPr>
        <w:pStyle w:val="NumPar1"/>
        <w:rPr>
          <w:noProof/>
          <w:color w:val="000000" w:themeColor="text1"/>
        </w:rPr>
      </w:pPr>
      <w:r>
        <w:rPr>
          <w:noProof/>
          <w:color w:val="000000" w:themeColor="text1"/>
        </w:rPr>
        <w:t xml:space="preserve">PRINCIPIILE DE ALOCARE A </w:t>
      </w:r>
      <w:r>
        <w:rPr>
          <w:rStyle w:val="boldface"/>
          <w:noProof/>
          <w:color w:val="000000" w:themeColor="text1"/>
        </w:rPr>
        <w:t>ACTIVELOR</w:t>
      </w:r>
      <w:r>
        <w:rPr>
          <w:noProof/>
          <w:color w:val="000000" w:themeColor="text1"/>
        </w:rPr>
        <w:t xml:space="preserve"> ȘI INVESTIȚIILE ELIGIBILE</w:t>
      </w:r>
    </w:p>
    <w:p>
      <w:pPr>
        <w:rPr>
          <w:noProof/>
        </w:rPr>
      </w:pPr>
      <w:r>
        <w:rPr>
          <w:noProof/>
        </w:rPr>
        <w:t>Se asigură o diversificare suficientă între toate clasele de active și în interiorul acestora pentru a se reduce riscurile de investiție. În principiu, cu cât un activ este mai riscant și/sau mai puțin lichid, cu atât mai puțin ar trebui să fie concentrată expunerea.</w:t>
      </w:r>
    </w:p>
    <w:p>
      <w:pPr>
        <w:rPr>
          <w:noProof/>
        </w:rPr>
      </w:pPr>
      <w:r>
        <w:rPr>
          <w:noProof/>
        </w:rPr>
        <w:t>Expunerea la diferite clase de active și diversificarea se pot realiza, de asemenea, prin intermediul unor investiții în organisme de plasament colectiv sau în produse tranzacționate la bursă.</w:t>
      </w:r>
    </w:p>
    <w:p>
      <w:pPr>
        <w:rPr>
          <w:noProof/>
        </w:rPr>
      </w:pPr>
      <w:r>
        <w:rPr>
          <w:noProof/>
        </w:rPr>
        <w:t>Activele CECO în lichidare și, după încheierea lichidării, activele Fondului de cercetare pentru cărbune și oțel sunt investite exclusiv în:</w:t>
      </w:r>
    </w:p>
    <w:p>
      <w:pPr>
        <w:pStyle w:val="Text2"/>
        <w:rPr>
          <w:noProof/>
        </w:rPr>
      </w:pPr>
      <w:r>
        <w:rPr>
          <w:noProof/>
        </w:rPr>
        <w:t>(a)</w:t>
      </w:r>
      <w:r>
        <w:rPr>
          <w:noProof/>
        </w:rPr>
        <w:tab/>
        <w:t>active de pe piața monetară denominate în euro;</w:t>
      </w:r>
    </w:p>
    <w:p>
      <w:pPr>
        <w:pStyle w:val="Text2"/>
        <w:rPr>
          <w:noProof/>
          <w:color w:val="000000" w:themeColor="text1"/>
        </w:rPr>
      </w:pPr>
      <w:r>
        <w:rPr>
          <w:noProof/>
          <w:color w:val="000000" w:themeColor="text1"/>
        </w:rPr>
        <w:t>(b)</w:t>
      </w:r>
      <w:r>
        <w:rPr>
          <w:noProof/>
        </w:rPr>
        <w:tab/>
      </w:r>
      <w:r>
        <w:rPr>
          <w:noProof/>
          <w:color w:val="000000" w:themeColor="text1"/>
        </w:rPr>
        <w:t>titluri cu venit fix și</w:t>
      </w:r>
    </w:p>
    <w:p>
      <w:pPr>
        <w:pStyle w:val="Text2"/>
        <w:rPr>
          <w:noProof/>
          <w:color w:val="000000" w:themeColor="text1"/>
        </w:rPr>
      </w:pPr>
      <w:r>
        <w:rPr>
          <w:noProof/>
          <w:color w:val="000000" w:themeColor="text1"/>
        </w:rPr>
        <w:t>(c)</w:t>
      </w:r>
      <w:r>
        <w:rPr>
          <w:noProof/>
        </w:rPr>
        <w:tab/>
      </w:r>
      <w:r>
        <w:rPr>
          <w:noProof/>
          <w:color w:val="000000" w:themeColor="text1"/>
        </w:rPr>
        <w:t>investiții colective reglementate în instrumente de datorie și de capital.</w:t>
      </w:r>
    </w:p>
    <w:p>
      <w:pPr>
        <w:rPr>
          <w:noProof/>
        </w:rPr>
      </w:pPr>
      <w:r>
        <w:rPr>
          <w:noProof/>
        </w:rPr>
        <w:t>Activele CECO în lichidare și, după încheierea lichidării, activele Fondului de cercetare pentru cărbune și oțel sunt expuse la clasele de active menționate în paragraful anterior prin investiții în următoarele instrumente sau prin intermediul următoarelor operațiuni:</w:t>
      </w:r>
    </w:p>
    <w:p>
      <w:pPr>
        <w:pStyle w:val="Text2"/>
        <w:rPr>
          <w:noProof/>
        </w:rPr>
      </w:pPr>
      <w:r>
        <w:rPr>
          <w:noProof/>
        </w:rPr>
        <w:t>(a)</w:t>
      </w:r>
      <w:r>
        <w:rPr>
          <w:noProof/>
        </w:rPr>
        <w:tab/>
        <w:t>depozite;</w:t>
      </w:r>
    </w:p>
    <w:p>
      <w:pPr>
        <w:pStyle w:val="Text2"/>
        <w:rPr>
          <w:noProof/>
        </w:rPr>
      </w:pPr>
      <w:r>
        <w:rPr>
          <w:noProof/>
        </w:rPr>
        <w:t>(b)</w:t>
      </w:r>
      <w:r>
        <w:rPr>
          <w:noProof/>
        </w:rPr>
        <w:tab/>
        <w:t>instrumente ale pieței monetare și fonduri ale pieței monetare care oferă lichidități zilnice, reglementate de Regulamentul (UE) 2017/1131 al Parlamentului European și al Consiliului</w:t>
      </w:r>
      <w:r>
        <w:rPr>
          <w:rStyle w:val="FootnoteReference"/>
          <w:noProof/>
        </w:rPr>
        <w:footnoteReference w:id="1"/>
      </w:r>
      <w:r>
        <w:rPr>
          <w:noProof/>
        </w:rPr>
        <w:t>;</w:t>
      </w:r>
    </w:p>
    <w:p>
      <w:pPr>
        <w:pStyle w:val="Text2"/>
        <w:rPr>
          <w:noProof/>
        </w:rPr>
      </w:pPr>
      <w:r>
        <w:rPr>
          <w:noProof/>
        </w:rPr>
        <w:t>(c)</w:t>
      </w:r>
      <w:r>
        <w:rPr>
          <w:noProof/>
        </w:rPr>
        <w:tab/>
        <w:t>instrumente de datorie, precum obligațiuni, titluri de stat pe termen scurt și mediu și instrumente securitizate în conformitate cu criteriile în materie de simplitate, transparență și standardizare (STS) prevăzute în Regulamentul (UE) 2017/2402 al Parlamentului European și al Consiliului</w:t>
      </w:r>
      <w:r>
        <w:rPr>
          <w:rStyle w:val="FootnoteReference"/>
          <w:noProof/>
        </w:rPr>
        <w:footnoteReference w:id="2"/>
      </w:r>
      <w:r>
        <w:rPr>
          <w:noProof/>
        </w:rPr>
        <w:t>;</w:t>
      </w:r>
    </w:p>
    <w:p>
      <w:pPr>
        <w:pStyle w:val="Text2"/>
        <w:rPr>
          <w:noProof/>
        </w:rPr>
      </w:pPr>
      <w:r>
        <w:rPr>
          <w:noProof/>
        </w:rPr>
        <w:t>(d)</w:t>
      </w:r>
      <w:r>
        <w:rPr>
          <w:noProof/>
        </w:rPr>
        <w:tab/>
        <w:t>organisme de plasament colectiv reglementate de Directiva 2009/65/CE a Parlamentului European și a Consiliului</w:t>
      </w:r>
      <w:r>
        <w:rPr>
          <w:rStyle w:val="FootnoteReference"/>
          <w:noProof/>
        </w:rPr>
        <w:footnoteReference w:id="3"/>
      </w:r>
      <w:r>
        <w:rPr>
          <w:noProof/>
        </w:rPr>
        <w:t>, inclusiv fonduri tranzacționate la bursă care investesc în instrumente de capital sau de datorie în cazul cărora pierderile maxime nu pot depăși sumele investite;</w:t>
      </w:r>
    </w:p>
    <w:p>
      <w:pPr>
        <w:pStyle w:val="Text2"/>
        <w:rPr>
          <w:noProof/>
        </w:rPr>
      </w:pPr>
      <w:r>
        <w:rPr>
          <w:noProof/>
        </w:rPr>
        <w:t>(e)</w:t>
      </w:r>
      <w:r>
        <w:rPr>
          <w:noProof/>
        </w:rPr>
        <w:tab/>
        <w:t>acorduri repo, în conformitate cu principiul stabilit la articolul 212 alineatul (2) din Regulamentul financiar</w:t>
      </w:r>
      <w:r>
        <w:rPr>
          <w:rStyle w:val="FootnoteReference"/>
          <w:noProof/>
        </w:rPr>
        <w:footnoteReference w:id="4"/>
      </w:r>
      <w:r>
        <w:rPr>
          <w:noProof/>
        </w:rPr>
        <w:t>;</w:t>
      </w:r>
    </w:p>
    <w:p>
      <w:pPr>
        <w:pStyle w:val="Text2"/>
        <w:rPr>
          <w:noProof/>
        </w:rPr>
      </w:pPr>
      <w:r>
        <w:rPr>
          <w:noProof/>
        </w:rPr>
        <w:t>(f)</w:t>
      </w:r>
      <w:r>
        <w:rPr>
          <w:noProof/>
        </w:rPr>
        <w:tab/>
        <w:t xml:space="preserve">acorduri reverse repo; </w:t>
      </w:r>
    </w:p>
    <w:p>
      <w:pPr>
        <w:pStyle w:val="Text2"/>
        <w:rPr>
          <w:noProof/>
        </w:rPr>
      </w:pPr>
      <w:r>
        <w:rPr>
          <w:noProof/>
        </w:rPr>
        <w:t>(g)</w:t>
      </w:r>
      <w:r>
        <w:rPr>
          <w:noProof/>
        </w:rPr>
        <w:tab/>
        <w:t>operațiuni de dare cu împrumut a titlurilor de valoare cu sisteme de compensare recunoscute precum Clearstream și Euroclear sau cu instituții financiare de top specializate în acest tip de operațiuni.</w:t>
      </w:r>
    </w:p>
    <w:p>
      <w:pPr>
        <w:rPr>
          <w:noProof/>
        </w:rPr>
      </w:pPr>
      <w:r>
        <w:rPr>
          <w:noProof/>
        </w:rPr>
        <w:t>Instrumentele derivate, sub formă de contracte la termen de tip forward și futures și sub formă de swap-uri, se utilizează exclusiv în scopul gestionării eficiente a portofoliului, și nu în scop speculativ sau de optimizare a pozițiilor. Aceste instrumente derivate pot fi utilizate pentru ajustarea duratei, atenuarea riscului de credit sau a altor riscuri relevante sau pentru modificări ale alocării activelor coerente cu politica de investiții.</w:t>
      </w:r>
    </w:p>
    <w:p>
      <w:pPr>
        <w:rPr>
          <w:noProof/>
        </w:rPr>
      </w:pPr>
      <w:r>
        <w:rPr>
          <w:noProof/>
        </w:rPr>
        <w:t xml:space="preserve">Activele CECO în lichidare și, după încheierea lichidării, activele Fondului de cercetare pentru cărbune și oțel pot fi investite în obligațiuni foarte lichide denominate în dolari americani, emise de entități suverane și supranaționale, exclusiv în scopul diversificării și al expunerii la o altă curbă a ratei dobânzii. Orice risc valutar este acoperit prin utilizarea adecvată a swap-urilor sau a altor instrumente de acoperire a riscului asociat valutelor străine, astfel cum se specifică în paragraful anterior. </w:t>
      </w:r>
    </w:p>
    <w:p>
      <w:pPr>
        <w:rPr>
          <w:noProof/>
        </w:rPr>
      </w:pPr>
      <w:r>
        <w:rPr>
          <w:noProof/>
        </w:rPr>
        <w:t>Comisia poate, sub rezerva acordului contabilului, să extindă sfera investițiilor eligibile pentru a include și alte clase de active și operațiuni de investiții coerente cu strategia și obiectivele de investiții, precum și valutele altor economii avansate, astfel cum sunt publicate periodic în lista întocmită de Fondul Monetar Internațional, cu condiția acoperirii riscului valutar. Orice decizie de a include noi clase de active, operațiuni de investiții sau valute ale economiilor avansate trebuie însoțită de o justificare argumentată – pentru fiecare clasă de active, operațiune sau valută – a modului în care posibilitățile de investiții extinse vor îmbunătăți raportul risc/randament al activelor CECO în lichidare și, după încheierea lichidării, al activelor Fondului de cercetare pentru cărbune și oțel. Această justificare include o evaluare a capacităților operaționale necesare pentru a sprijini aceste noi posibilități de investiție.</w:t>
      </w:r>
    </w:p>
    <w:p>
      <w:pPr>
        <w:pStyle w:val="NumPar1"/>
        <w:rPr>
          <w:noProof/>
          <w:color w:val="000000" w:themeColor="text1"/>
        </w:rPr>
      </w:pPr>
      <w:r>
        <w:rPr>
          <w:noProof/>
          <w:color w:val="000000" w:themeColor="text1"/>
        </w:rPr>
        <w:t>CONSIDERAȚII DE MEDIU, SOCIALE, DE GUVERNANȚĂ ȘI MORALE</w:t>
      </w:r>
    </w:p>
    <w:p>
      <w:pPr>
        <w:rPr>
          <w:noProof/>
        </w:rPr>
      </w:pPr>
      <w:r>
        <w:rPr>
          <w:noProof/>
        </w:rPr>
        <w:t>Se aplică următoarele criterii de mediu, sociale și de guvernanță:</w:t>
      </w:r>
    </w:p>
    <w:p>
      <w:pPr>
        <w:pStyle w:val="Text2"/>
        <w:rPr>
          <w:noProof/>
        </w:rPr>
      </w:pPr>
      <w:r>
        <w:rPr>
          <w:noProof/>
        </w:rPr>
        <w:t>(a)</w:t>
      </w:r>
      <w:r>
        <w:rPr>
          <w:noProof/>
        </w:rPr>
        <w:tab/>
        <w:t>activele CECO în lichidare și, după încheierea lichidării, activele Fondului de cercetare pentru cărbune și oțel sunt investite în conformitate cu obiectivul de promovare a finanțării durabile și a echității sociale vizat de politicile Uniunii, în măsura în care acest lucru este compatibil cu conservarea capitalului activelor;</w:t>
      </w:r>
    </w:p>
    <w:p>
      <w:pPr>
        <w:pStyle w:val="Text2"/>
        <w:rPr>
          <w:noProof/>
        </w:rPr>
      </w:pPr>
      <w:r>
        <w:rPr>
          <w:noProof/>
        </w:rPr>
        <w:t>(b)</w:t>
      </w:r>
      <w:r>
        <w:rPr>
          <w:noProof/>
        </w:rPr>
        <w:tab/>
        <w:t>punerea în aplicare a politicii de investiții respectă toate reglementările relevante care promovează instrumentele financiare de mediu, sociale și de guvernanță (ESG) și respectă, de asemenea, standardele, sistemele, criteriile și procesele relevante stabilite în cadrul de reglementare al Uniunii;</w:t>
      </w:r>
    </w:p>
    <w:p>
      <w:pPr>
        <w:pStyle w:val="Text2"/>
        <w:rPr>
          <w:noProof/>
        </w:rPr>
      </w:pPr>
      <w:r>
        <w:rPr>
          <w:noProof/>
        </w:rPr>
        <w:t>(c)</w:t>
      </w:r>
      <w:r>
        <w:rPr>
          <w:noProof/>
        </w:rPr>
        <w:tab/>
        <w:t>Comisia poate consulta grupul tehnic de experți al UE privind finanțarea durabilă sau succesorul acestuia în ceea ce privește implementarea factorilor ESG în strategia de investiții pentru activele CECO în lichidare și, după încheierea lichidării, pentru activele Fondului de cercetare pentru cărbune și oțel.</w:t>
      </w:r>
    </w:p>
    <w:p>
      <w:pPr>
        <w:pStyle w:val="Text2"/>
        <w:rPr>
          <w:noProof/>
        </w:rPr>
      </w:pPr>
      <w:r>
        <w:rPr>
          <w:noProof/>
        </w:rPr>
        <w:t>(d)</w:t>
      </w:r>
      <w:r>
        <w:rPr>
          <w:noProof/>
        </w:rPr>
        <w:tab/>
        <w:t>Comisia monitorizează profilul ESG al activelor CECO în lichidare și, după încheierea lichidării, al activelor Fondului de cercetare pentru cărbune și oțel și prezintă rapoarte cu privire la acesta, inclusiv în cadrul raportului anual menționat la punctul 7 (Proceduri de gestionare).</w:t>
      </w:r>
    </w:p>
    <w:p>
      <w:pPr>
        <w:rPr>
          <w:noProof/>
        </w:rPr>
      </w:pPr>
      <w:r>
        <w:rPr>
          <w:noProof/>
        </w:rPr>
        <w:t>Sunt excluse, din motive etice sau morale, investițiile în activitățile care figurează pe următoarea listă:</w:t>
      </w:r>
    </w:p>
    <w:p>
      <w:pPr>
        <w:pStyle w:val="Text2"/>
        <w:rPr>
          <w:noProof/>
        </w:rPr>
      </w:pPr>
      <w:r>
        <w:rPr>
          <w:noProof/>
        </w:rPr>
        <w:t xml:space="preserve">(a) </w:t>
      </w:r>
      <w:r>
        <w:rPr>
          <w:noProof/>
        </w:rPr>
        <w:tab/>
        <w:t>investiții în titluri emise de entități cu privire la care, conform informațiilor deținute de Comisie, s-a constatat, printr-o hotărâre judecătorească sau printr-o decizie administrativă definitivă, că practicau una dintre următoarele activități:</w:t>
      </w:r>
    </w:p>
    <w:p>
      <w:pPr>
        <w:pStyle w:val="Text3"/>
        <w:rPr>
          <w:noProof/>
        </w:rPr>
      </w:pPr>
      <w:r>
        <w:rPr>
          <w:noProof/>
        </w:rPr>
        <w:t>(i) activități considerate ilegale sau interzise din motive etice sau morale în temeiul cadrului de reglementare al Uniunii și al convențiilor și acordurilor internaționale;</w:t>
      </w:r>
    </w:p>
    <w:p>
      <w:pPr>
        <w:pStyle w:val="Text3"/>
        <w:rPr>
          <w:noProof/>
        </w:rPr>
      </w:pPr>
      <w:r>
        <w:rPr>
          <w:noProof/>
        </w:rPr>
        <w:t>(ii) activități legate de dezvoltarea, producția și comerțul cu muniție sau armament care sunt interzise de dreptul internațional aplicabil.</w:t>
      </w:r>
    </w:p>
    <w:p>
      <w:pPr>
        <w:pStyle w:val="Text2"/>
        <w:rPr>
          <w:noProof/>
        </w:rPr>
      </w:pPr>
      <w:r>
        <w:rPr>
          <w:noProof/>
        </w:rPr>
        <w:t xml:space="preserve">(b) </w:t>
      </w:r>
      <w:r>
        <w:rPr>
          <w:noProof/>
        </w:rPr>
        <w:tab/>
        <w:t>investiții în titluri de valoare emise de societăți care, conform informațiilor deținute de Comisie, generează peste 25 % din veniturile lor anuale totale desfășurând activitățile enumerate mai jos:</w:t>
      </w:r>
    </w:p>
    <w:p>
      <w:pPr>
        <w:pStyle w:val="Text3"/>
        <w:rPr>
          <w:noProof/>
        </w:rPr>
      </w:pPr>
      <w:r>
        <w:rPr>
          <w:noProof/>
        </w:rPr>
        <w:t>(i). jocuri de noroc (activități legate de producție, construcție, distribuție, prelucrare, comercializare sau software);</w:t>
      </w:r>
    </w:p>
    <w:p>
      <w:pPr>
        <w:pStyle w:val="Text3"/>
        <w:rPr>
          <w:noProof/>
        </w:rPr>
      </w:pPr>
      <w:r>
        <w:rPr>
          <w:noProof/>
        </w:rPr>
        <w:t>(ii). produse și activități legate de tutun (producție, distribuție, prelucrare și comercializare);</w:t>
      </w:r>
    </w:p>
    <w:p>
      <w:pPr>
        <w:pStyle w:val="Text3"/>
        <w:rPr>
          <w:noProof/>
        </w:rPr>
      </w:pPr>
      <w:r>
        <w:rPr>
          <w:noProof/>
        </w:rPr>
        <w:t xml:space="preserve">(iii). comerțul cu sex și infrastructura, serviciile și media legate de acesta. </w:t>
      </w:r>
      <w:r>
        <w:rPr>
          <w:noProof/>
        </w:rPr>
        <w:tab/>
      </w:r>
    </w:p>
    <w:p>
      <w:pPr>
        <w:pStyle w:val="NumPar1"/>
        <w:rPr>
          <w:noProof/>
          <w:color w:val="000000" w:themeColor="text1"/>
        </w:rPr>
      </w:pPr>
      <w:r>
        <w:rPr>
          <w:rStyle w:val="boldface"/>
          <w:noProof/>
          <w:color w:val="000000" w:themeColor="text1"/>
        </w:rPr>
        <w:t>TRANSFERUL LA BUGETUL UNIUNII EUROPENE</w:t>
      </w:r>
    </w:p>
    <w:p>
      <w:pPr>
        <w:rPr>
          <w:noProof/>
          <w:color w:val="000000" w:themeColor="text1"/>
        </w:rPr>
      </w:pPr>
      <w:r>
        <w:rPr>
          <w:noProof/>
          <w:color w:val="000000" w:themeColor="text1"/>
        </w:rPr>
        <w:t>Veniturile nete obținute din investițiile activelor CECO în lichidare și, după încheierea lichidării, ale activelor Fondului de cercetare pentru cărbune și oțel, precum și veniturile obținute prin vânzarea unei părți din active, vor fi angajate în bugetul general al Uniunii Europene ca venituri dedicate și vor fi transferate din CECO în lichidare și, după încheierea lichidării, din activele Fondului de cercetare pentru cărbune și oțel în cazul în care este necesar să se îndeplinească obligațiile liniei bugetare destinate programelor de cercetare pentru sectoare în legătură cu industria cărbunelui și oțelului.</w:t>
      </w:r>
    </w:p>
    <w:p>
      <w:pPr>
        <w:pStyle w:val="NumPar1"/>
        <w:rPr>
          <w:noProof/>
          <w:color w:val="000000" w:themeColor="text1"/>
        </w:rPr>
      </w:pPr>
      <w:r>
        <w:rPr>
          <w:rStyle w:val="boldface"/>
          <w:noProof/>
          <w:color w:val="000000" w:themeColor="text1"/>
        </w:rPr>
        <w:t>CONTABILITATE</w:t>
      </w:r>
      <w:r>
        <w:rPr>
          <w:noProof/>
          <w:color w:val="000000" w:themeColor="text1"/>
        </w:rPr>
        <w:t xml:space="preserve"> </w:t>
      </w:r>
    </w:p>
    <w:p>
      <w:pPr>
        <w:rPr>
          <w:noProof/>
          <w:color w:val="000000" w:themeColor="text1"/>
        </w:rPr>
      </w:pPr>
      <w:r>
        <w:rPr>
          <w:noProof/>
          <w:color w:val="000000" w:themeColor="text1"/>
        </w:rPr>
        <w:t>Gestionarea fondurilor se contabilizează în conturile anuale pentru CECO în lichidare și, după încheierea lichidării, pentru activele Fondului de cercetare pentru cărbune și oțel. Aceste operațiuni sunt efectuate și prezentate în conformitate cu normele de contabilitate ale Comisiei adoptate de contabilul Comisiei, luându-se în considerare natura specifică a CECO în lichidare și, după încheierea lichidării, a activelor Fondului de cercetare pentru cărbune și oțel. Conturile sunt aprobate de Comisie și verificate de Curtea de Conturi. Comisia angajează firme externe pentru a efectua auditul anual al conturilor sale.</w:t>
      </w:r>
    </w:p>
    <w:p>
      <w:pPr>
        <w:pStyle w:val="NumPar1"/>
        <w:rPr>
          <w:noProof/>
          <w:color w:val="000000" w:themeColor="text1"/>
        </w:rPr>
      </w:pPr>
      <w:r>
        <w:rPr>
          <w:rStyle w:val="boldface"/>
          <w:noProof/>
          <w:color w:val="000000" w:themeColor="text1"/>
        </w:rPr>
        <w:t>PROCEDURI DE GESTIONARE</w:t>
      </w:r>
    </w:p>
    <w:p>
      <w:pPr>
        <w:rPr>
          <w:noProof/>
          <w:color w:val="000000" w:themeColor="text1"/>
        </w:rPr>
      </w:pPr>
      <w:r>
        <w:rPr>
          <w:noProof/>
          <w:color w:val="000000" w:themeColor="text1"/>
        </w:rPr>
        <w:t>Comisia efectuează, în legătură cu CECO în lichidare și, după încheierea lichidării, cu activele Fondului de cercetare pentru cărbune și oțel, operațiile menționate anterior în conformitate cu prezentele orientări și conform reglementărilor și procedurilor sale interne în vigoare pentru CECO în momentul desființării sale sau după modificările ulterioare.</w:t>
      </w:r>
    </w:p>
    <w:p>
      <w:pPr>
        <w:rPr>
          <w:noProof/>
          <w:color w:val="000000" w:themeColor="text1"/>
        </w:rPr>
      </w:pPr>
      <w:r>
        <w:rPr>
          <w:noProof/>
          <w:color w:val="000000" w:themeColor="text1"/>
        </w:rPr>
        <w:t>Comisia elaborează anual un raport detaliat privind gestionarea operațiilor efectuate conform prezentelor orientări financiare, care este trimis statelor membre. În raportul anual, Comisia include informații cu privire la utilizarea diferitelor clase de active, la motivele care stau la baza alegerii sale de a investi în anumite clase de active și la performanțele observate pentru fiecare clasă de active.</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2017/1131 al Parlamentului European și al Consiliului din 14 iunie 2017 privind fondurile de piață monetară (JO L 169, 30.6.2017, p. 8).</w:t>
      </w:r>
    </w:p>
  </w:footnote>
  <w:footnote w:id="2">
    <w:p>
      <w:pPr>
        <w:pStyle w:val="FootnoteText"/>
      </w:pPr>
      <w:r>
        <w:rPr>
          <w:rStyle w:val="FootnoteReference"/>
        </w:rPr>
        <w:footnoteRef/>
      </w:r>
      <w:r>
        <w:tab/>
        <w:t>Regulamentul (UE) 2017/2402 al Parlamentului European și al Consiliului din 12 decembrie 2017 de stabilire a unui cadru general privind securitizarea și de creare a unui cadru specific pentru o securitizare simplă, transparentă și standardizată, și de modificare a Directivelor 2009/65/CE, 2009/138/CE și 2011/61/UE, precum și a Regulamentelor (CE) nr. 1060/2009 și (UE) nr. 648/2012 (JO L 347, 28.12.2017, p. 35).</w:t>
      </w:r>
    </w:p>
  </w:footnote>
  <w:footnote w:id="3">
    <w:p>
      <w:pPr>
        <w:pStyle w:val="FootnoteText"/>
      </w:pPr>
      <w:r>
        <w:rPr>
          <w:rStyle w:val="FootnoteReference"/>
        </w:rPr>
        <w:footnoteRef/>
      </w:r>
      <w:r>
        <w:tab/>
        <w:t>Directiva 2009/65/CE a Parlamentului European și a Consiliului din 13 iulie 2009 de coordonare a actelor cu putere de lege și a actelor administrative privind organismele de plasament colectiv în valori mobiliare (OPCVM) (reformare) (JO L 302, 17.11.2009, p. 32), astfel cum a fost modificată ulterior.</w:t>
      </w:r>
    </w:p>
  </w:footnote>
  <w:footnote w:id="4">
    <w:p>
      <w:pPr>
        <w:pStyle w:val="FootnoteText"/>
      </w:pPr>
      <w:r>
        <w:rPr>
          <w:rStyle w:val="FootnoteReference"/>
        </w:rPr>
        <w:footnoteRef/>
      </w:r>
      <w:r>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92F7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9AD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C68356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C2E43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DD610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C0844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208F542"/>
    <w:lvl w:ilvl="0">
      <w:start w:val="1"/>
      <w:numFmt w:val="decimal"/>
      <w:pStyle w:val="ListNumber"/>
      <w:lvlText w:val="%1."/>
      <w:lvlJc w:val="left"/>
      <w:pPr>
        <w:tabs>
          <w:tab w:val="num" w:pos="360"/>
        </w:tabs>
        <w:ind w:left="360" w:hanging="360"/>
      </w:pPr>
    </w:lvl>
  </w:abstractNum>
  <w:abstractNum w:abstractNumId="7">
    <w:nsid w:val="FFFFFF89"/>
    <w:multiLevelType w:val="singleLevel"/>
    <w:tmpl w:val="98A222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3 15:3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B9D671B9-DE70-4753-896E-233FBAAAA10B"/>
    <w:docVar w:name="LW_COVERPAGE_TYPE" w:val="1"/>
    <w:docVar w:name="LW_CROSSREFERENCE" w:val="&lt;UNUSED&gt;"/>
    <w:docVar w:name="LW_DocType" w:val="ANNEX"/>
    <w:docVar w:name="LW_EMISSION" w:val="16.7.2020"/>
    <w:docVar w:name="LW_EMISSION_ISODATE" w:val="2020-07-16"/>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e modificare a Deciziei 2003/77/CE de stabilire a orient\u259?rilor financiare multianuale pentru gestionarea activelor Comunit\u259?\u539?ii Europene a C\u259?rbunelui \u537?i O\u539?elului (CECO) în lichidare \u537?i, dup\u259? încheierea lichid\u259?rii, a activelor Fondului de cercetare pentru c\u259?rbune \u537?i o\u539?el"/>
    <w:docVar w:name="LW_OBJETACTEPRINCIPAL.CP" w:val="de modificare a Deciziei 2003/77/CE de stabilire a orient\u259?rilor financiare multianuale pentru gestionarea activelor Comunit\u259?\u539?ii Europene a C\u259?rbunelui \u537?i O\u539?elului (CECO) în lichidare \u537?i, dup\u259? încheierea lichid\u259?rii, a activelor Fondului de cercetare pentru c\u259?rbune \u537?i o\u539?el"/>
    <w:docVar w:name="LW_PART_NBR" w:val="1"/>
    <w:docVar w:name="LW_PART_NBR_TOTAL" w:val="1"/>
    <w:docVar w:name="LW_REF.INST.NEW" w:val="COM"/>
    <w:docVar w:name="LW_REF.INST.NEW_ADOPTED" w:val="final"/>
    <w:docVar w:name="LW_REF.INST.NEW_TEXT" w:val="(2020) 3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DECIZIA CONSILIULUI"/>
    <w:docVar w:name="LW_TYPEACTEPRINCIPAL.CP" w:val="DECIZI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face"/>
    <w:basedOn w:val="DefaultParagraphFont"/>
  </w:style>
  <w:style w:type="paragraph" w:styleId="ListBullet3">
    <w:name w:val="List Bullet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face">
    <w:name w:val="boldface"/>
    <w:basedOn w:val="DefaultParagraphFont"/>
  </w:style>
  <w:style w:type="paragraph" w:styleId="ListBullet3">
    <w:name w:val="List Bullet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6</Pages>
  <Words>1851</Words>
  <Characters>11200</Characters>
  <Application>Microsoft Office Word</Application>
  <DocSecurity>0</DocSecurity>
  <Lines>177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STOSKUTE Loreta (BUDG)</dc:creator>
  <cp:keywords/>
  <dc:description/>
  <cp:lastModifiedBy>WES PDFC Administrator</cp:lastModifiedBy>
  <cp:revision>9</cp:revision>
  <dcterms:created xsi:type="dcterms:W3CDTF">2020-07-01T11:35:00Z</dcterms:created>
  <dcterms:modified xsi:type="dcterms:W3CDTF">2020-07-13T13:33:00Z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