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746DAB6A-72AB-45F7-B4ED-5F7436E73BF6" style="width:450.45pt;height:347.9pt">
            <v:imagedata r:id="rId9" o:title=""/>
          </v:shape>
        </w:pict>
      </w:r>
    </w:p>
    <w:bookmarkEnd w:id="0"/>
    <w:p>
      <w:pPr>
        <w:spacing w:before="0" w:after="0"/>
        <w:jc w:val="left"/>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aperSrc w:first="15" w:other="15"/>
          <w:pgNumType w:start="1"/>
          <w:cols w:space="720"/>
          <w:docGrid w:linePitch="326"/>
        </w:sectPr>
      </w:pPr>
    </w:p>
    <w:p>
      <w:pPr>
        <w:pStyle w:val="TOCHeading"/>
        <w:rPr>
          <w:noProof/>
        </w:rPr>
      </w:pPr>
      <w:bookmarkStart w:id="1" w:name="_GoBack"/>
      <w:bookmarkEnd w:id="1"/>
      <w:r>
        <w:rPr>
          <w:noProof/>
        </w:rPr>
        <w:lastRenderedPageBreak/>
        <w:t>Kazalo</w:t>
      </w:r>
    </w:p>
    <w:p>
      <w:pPr>
        <w:pStyle w:val="TOC1"/>
        <w:rPr>
          <w:rFonts w:asciiTheme="minorHAnsi" w:eastAsiaTheme="minorEastAsia" w:hAnsiTheme="minorHAnsi" w:cstheme="minorBidi"/>
          <w:noProof/>
          <w:sz w:val="22"/>
          <w:szCs w:val="22"/>
          <w:lang w:val="en-US"/>
        </w:rPr>
      </w:pPr>
      <w:r>
        <w:rPr>
          <w:noProof/>
        </w:rPr>
        <w:fldChar w:fldCharType="begin"/>
      </w:r>
      <w:r>
        <w:rPr>
          <w:noProof/>
        </w:rPr>
        <w:instrText xml:space="preserve"> TOC \o "1-3" \h \z \u </w:instrText>
      </w:r>
      <w:r>
        <w:rPr>
          <w:noProof/>
        </w:rPr>
        <w:fldChar w:fldCharType="separate"/>
      </w:r>
      <w:hyperlink w:anchor="_Toc45275161" w:history="1">
        <w:r>
          <w:rPr>
            <w:rStyle w:val="Hyperlink"/>
            <w:noProof/>
          </w:rPr>
          <w:t>1.</w:t>
        </w:r>
        <w:r>
          <w:rPr>
            <w:rFonts w:asciiTheme="minorHAnsi" w:eastAsiaTheme="minorEastAsia" w:hAnsiTheme="minorHAnsi" w:cstheme="minorBidi"/>
            <w:noProof/>
            <w:sz w:val="22"/>
            <w:szCs w:val="22"/>
            <w:lang w:val="en-US"/>
          </w:rPr>
          <w:tab/>
        </w:r>
        <w:r>
          <w:rPr>
            <w:rStyle w:val="Hyperlink"/>
            <w:noProof/>
          </w:rPr>
          <w:t>Uvod</w:t>
        </w:r>
        <w:r>
          <w:rPr>
            <w:noProof/>
            <w:webHidden/>
          </w:rPr>
          <w:tab/>
        </w:r>
        <w:r>
          <w:rPr>
            <w:noProof/>
            <w:webHidden/>
          </w:rPr>
          <w:fldChar w:fldCharType="begin"/>
        </w:r>
        <w:r>
          <w:rPr>
            <w:noProof/>
            <w:webHidden/>
          </w:rPr>
          <w:instrText xml:space="preserve"> PAGEREF _Toc45275161 \h </w:instrText>
        </w:r>
        <w:r>
          <w:rPr>
            <w:noProof/>
            <w:webHidden/>
          </w:rPr>
        </w:r>
        <w:r>
          <w:rPr>
            <w:noProof/>
            <w:webHidden/>
          </w:rPr>
          <w:fldChar w:fldCharType="separate"/>
        </w:r>
        <w:r>
          <w:rPr>
            <w:noProof/>
            <w:webHidden/>
          </w:rPr>
          <w:t>2</w:t>
        </w:r>
        <w:r>
          <w:rPr>
            <w:noProof/>
            <w:webHidden/>
          </w:rPr>
          <w:fldChar w:fldCharType="end"/>
        </w:r>
      </w:hyperlink>
    </w:p>
    <w:p>
      <w:pPr>
        <w:pStyle w:val="TOC1"/>
        <w:rPr>
          <w:rFonts w:asciiTheme="minorHAnsi" w:eastAsiaTheme="minorEastAsia" w:hAnsiTheme="minorHAnsi" w:cstheme="minorBidi"/>
          <w:noProof/>
          <w:sz w:val="22"/>
          <w:szCs w:val="22"/>
          <w:lang w:val="en-US"/>
        </w:rPr>
      </w:pPr>
      <w:hyperlink w:anchor="_Toc45275162" w:history="1">
        <w:r>
          <w:rPr>
            <w:rStyle w:val="Hyperlink"/>
            <w:noProof/>
          </w:rPr>
          <w:t>2.</w:t>
        </w:r>
        <w:r>
          <w:rPr>
            <w:rFonts w:asciiTheme="minorHAnsi" w:eastAsiaTheme="minorEastAsia" w:hAnsiTheme="minorHAnsi" w:cstheme="minorBidi"/>
            <w:noProof/>
            <w:sz w:val="22"/>
            <w:szCs w:val="22"/>
            <w:lang w:val="en-US"/>
          </w:rPr>
          <w:tab/>
        </w:r>
        <w:r>
          <w:rPr>
            <w:rStyle w:val="Hyperlink"/>
            <w:noProof/>
          </w:rPr>
          <w:t>Finančno stanje in pomembne transakcije Jamstvenega sklada</w:t>
        </w:r>
        <w:r>
          <w:rPr>
            <w:noProof/>
            <w:webHidden/>
          </w:rPr>
          <w:tab/>
        </w:r>
        <w:r>
          <w:rPr>
            <w:noProof/>
            <w:webHidden/>
          </w:rPr>
          <w:fldChar w:fldCharType="begin"/>
        </w:r>
        <w:r>
          <w:rPr>
            <w:noProof/>
            <w:webHidden/>
          </w:rPr>
          <w:instrText xml:space="preserve"> PAGEREF _Toc45275162 \h </w:instrText>
        </w:r>
        <w:r>
          <w:rPr>
            <w:noProof/>
            <w:webHidden/>
          </w:rPr>
        </w:r>
        <w:r>
          <w:rPr>
            <w:noProof/>
            <w:webHidden/>
          </w:rPr>
          <w:fldChar w:fldCharType="separate"/>
        </w:r>
        <w:r>
          <w:rPr>
            <w:noProof/>
            <w:webHidden/>
          </w:rPr>
          <w:t>2</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45275163" w:history="1">
        <w:r>
          <w:rPr>
            <w:rStyle w:val="Hyperlink"/>
            <w:noProof/>
          </w:rPr>
          <w:t>2.1</w:t>
        </w:r>
        <w:r>
          <w:rPr>
            <w:rFonts w:asciiTheme="minorHAnsi" w:eastAsiaTheme="minorEastAsia" w:hAnsiTheme="minorHAnsi" w:cstheme="minorBidi"/>
            <w:noProof/>
            <w:sz w:val="22"/>
            <w:szCs w:val="22"/>
            <w:lang w:val="en-US"/>
          </w:rPr>
          <w:tab/>
        </w:r>
        <w:r>
          <w:rPr>
            <w:rStyle w:val="Hyperlink"/>
            <w:noProof/>
          </w:rPr>
          <w:t>Finančni položaj Jamstvenega sklada 31. decembra 2019</w:t>
        </w:r>
        <w:r>
          <w:rPr>
            <w:noProof/>
            <w:webHidden/>
          </w:rPr>
          <w:tab/>
        </w:r>
        <w:r>
          <w:rPr>
            <w:noProof/>
            <w:webHidden/>
          </w:rPr>
          <w:fldChar w:fldCharType="begin"/>
        </w:r>
        <w:r>
          <w:rPr>
            <w:noProof/>
            <w:webHidden/>
          </w:rPr>
          <w:instrText xml:space="preserve"> PAGEREF _Toc45275163 \h </w:instrText>
        </w:r>
        <w:r>
          <w:rPr>
            <w:noProof/>
            <w:webHidden/>
          </w:rPr>
        </w:r>
        <w:r>
          <w:rPr>
            <w:noProof/>
            <w:webHidden/>
          </w:rPr>
          <w:fldChar w:fldCharType="separate"/>
        </w:r>
        <w:r>
          <w:rPr>
            <w:noProof/>
            <w:webHidden/>
          </w:rPr>
          <w:t>2</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45275164" w:history="1">
        <w:r>
          <w:rPr>
            <w:rStyle w:val="Hyperlink"/>
            <w:noProof/>
          </w:rPr>
          <w:t>2.2</w:t>
        </w:r>
        <w:r>
          <w:rPr>
            <w:rFonts w:asciiTheme="minorHAnsi" w:eastAsiaTheme="minorEastAsia" w:hAnsiTheme="minorHAnsi" w:cstheme="minorBidi"/>
            <w:noProof/>
            <w:sz w:val="22"/>
            <w:szCs w:val="22"/>
            <w:lang w:val="en-US"/>
          </w:rPr>
          <w:tab/>
        </w:r>
        <w:r>
          <w:rPr>
            <w:rStyle w:val="Hyperlink"/>
            <w:noProof/>
          </w:rPr>
          <w:t>Pomembne transakcije Sklada v letu 2019</w:t>
        </w:r>
        <w:r>
          <w:rPr>
            <w:noProof/>
            <w:webHidden/>
          </w:rPr>
          <w:tab/>
        </w:r>
        <w:r>
          <w:rPr>
            <w:noProof/>
            <w:webHidden/>
          </w:rPr>
          <w:fldChar w:fldCharType="begin"/>
        </w:r>
        <w:r>
          <w:rPr>
            <w:noProof/>
            <w:webHidden/>
          </w:rPr>
          <w:instrText xml:space="preserve"> PAGEREF _Toc45275164 \h </w:instrText>
        </w:r>
        <w:r>
          <w:rPr>
            <w:noProof/>
            <w:webHidden/>
          </w:rPr>
        </w:r>
        <w:r>
          <w:rPr>
            <w:noProof/>
            <w:webHidden/>
          </w:rPr>
          <w:fldChar w:fldCharType="separate"/>
        </w:r>
        <w:r>
          <w:rPr>
            <w:noProof/>
            <w:webHidden/>
          </w:rPr>
          <w:t>3</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45275165" w:history="1">
        <w:r>
          <w:rPr>
            <w:rStyle w:val="Hyperlink"/>
            <w:noProof/>
          </w:rPr>
          <w:t>2.2.1</w:t>
        </w:r>
        <w:r>
          <w:rPr>
            <w:rFonts w:asciiTheme="minorHAnsi" w:eastAsiaTheme="minorEastAsia" w:hAnsiTheme="minorHAnsi" w:cstheme="minorBidi"/>
            <w:noProof/>
            <w:sz w:val="22"/>
            <w:szCs w:val="22"/>
            <w:lang w:val="en-US"/>
          </w:rPr>
          <w:tab/>
        </w:r>
        <w:r>
          <w:rPr>
            <w:rStyle w:val="Hyperlink"/>
            <w:noProof/>
          </w:rPr>
          <w:t>Unovčitev jamstev iz Jamstvenega sklada v letu 2019</w:t>
        </w:r>
        <w:r>
          <w:rPr>
            <w:noProof/>
            <w:webHidden/>
          </w:rPr>
          <w:tab/>
        </w:r>
        <w:r>
          <w:rPr>
            <w:noProof/>
            <w:webHidden/>
          </w:rPr>
          <w:fldChar w:fldCharType="begin"/>
        </w:r>
        <w:r>
          <w:rPr>
            <w:noProof/>
            <w:webHidden/>
          </w:rPr>
          <w:instrText xml:space="preserve"> PAGEREF _Toc45275165 \h </w:instrText>
        </w:r>
        <w:r>
          <w:rPr>
            <w:noProof/>
            <w:webHidden/>
          </w:rPr>
        </w:r>
        <w:r>
          <w:rPr>
            <w:noProof/>
            <w:webHidden/>
          </w:rPr>
          <w:fldChar w:fldCharType="separate"/>
        </w:r>
        <w:r>
          <w:rPr>
            <w:noProof/>
            <w:webHidden/>
          </w:rPr>
          <w:t>3</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45275166" w:history="1">
        <w:r>
          <w:rPr>
            <w:rStyle w:val="Hyperlink"/>
            <w:noProof/>
          </w:rPr>
          <w:t>2.2.2</w:t>
        </w:r>
        <w:r>
          <w:rPr>
            <w:rFonts w:asciiTheme="minorHAnsi" w:eastAsiaTheme="minorEastAsia" w:hAnsiTheme="minorHAnsi" w:cstheme="minorBidi"/>
            <w:noProof/>
            <w:sz w:val="22"/>
            <w:szCs w:val="22"/>
            <w:lang w:val="en-US"/>
          </w:rPr>
          <w:tab/>
        </w:r>
        <w:r>
          <w:rPr>
            <w:rStyle w:val="Hyperlink"/>
            <w:noProof/>
          </w:rPr>
          <w:t>Oblikovanje rezervacij Jamstvenega sklada v letu 2019</w:t>
        </w:r>
        <w:r>
          <w:rPr>
            <w:noProof/>
            <w:webHidden/>
          </w:rPr>
          <w:tab/>
        </w:r>
        <w:r>
          <w:rPr>
            <w:noProof/>
            <w:webHidden/>
          </w:rPr>
          <w:fldChar w:fldCharType="begin"/>
        </w:r>
        <w:r>
          <w:rPr>
            <w:noProof/>
            <w:webHidden/>
          </w:rPr>
          <w:instrText xml:space="preserve"> PAGEREF _Toc45275166 \h </w:instrText>
        </w:r>
        <w:r>
          <w:rPr>
            <w:noProof/>
            <w:webHidden/>
          </w:rPr>
        </w:r>
        <w:r>
          <w:rPr>
            <w:noProof/>
            <w:webHidden/>
          </w:rPr>
          <w:fldChar w:fldCharType="separate"/>
        </w:r>
        <w:r>
          <w:rPr>
            <w:noProof/>
            <w:webHidden/>
          </w:rPr>
          <w:t>3</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45275167" w:history="1">
        <w:r>
          <w:rPr>
            <w:rStyle w:val="Hyperlink"/>
            <w:noProof/>
          </w:rPr>
          <w:t>2.3</w:t>
        </w:r>
        <w:r>
          <w:rPr>
            <w:rFonts w:asciiTheme="minorHAnsi" w:eastAsiaTheme="minorEastAsia" w:hAnsiTheme="minorHAnsi" w:cstheme="minorBidi"/>
            <w:noProof/>
            <w:sz w:val="22"/>
            <w:szCs w:val="22"/>
            <w:lang w:val="en-US"/>
          </w:rPr>
          <w:tab/>
        </w:r>
        <w:r>
          <w:rPr>
            <w:rStyle w:val="Hyperlink"/>
            <w:noProof/>
          </w:rPr>
          <w:t>Pomembne transakcije po datumu poročanja (po koncu marca 2020)</w:t>
        </w:r>
        <w:r>
          <w:rPr>
            <w:noProof/>
            <w:webHidden/>
          </w:rPr>
          <w:tab/>
        </w:r>
        <w:r>
          <w:rPr>
            <w:noProof/>
            <w:webHidden/>
          </w:rPr>
          <w:fldChar w:fldCharType="begin"/>
        </w:r>
        <w:r>
          <w:rPr>
            <w:noProof/>
            <w:webHidden/>
          </w:rPr>
          <w:instrText xml:space="preserve"> PAGEREF _Toc45275167 \h </w:instrText>
        </w:r>
        <w:r>
          <w:rPr>
            <w:noProof/>
            <w:webHidden/>
          </w:rPr>
        </w:r>
        <w:r>
          <w:rPr>
            <w:noProof/>
            <w:webHidden/>
          </w:rPr>
          <w:fldChar w:fldCharType="separate"/>
        </w:r>
        <w:r>
          <w:rPr>
            <w:noProof/>
            <w:webHidden/>
          </w:rPr>
          <w:t>3</w:t>
        </w:r>
        <w:r>
          <w:rPr>
            <w:noProof/>
            <w:webHidden/>
          </w:rPr>
          <w:fldChar w:fldCharType="end"/>
        </w:r>
      </w:hyperlink>
    </w:p>
    <w:p>
      <w:pPr>
        <w:pStyle w:val="TOC1"/>
        <w:rPr>
          <w:rFonts w:asciiTheme="minorHAnsi" w:eastAsiaTheme="minorEastAsia" w:hAnsiTheme="minorHAnsi" w:cstheme="minorBidi"/>
          <w:noProof/>
          <w:sz w:val="22"/>
          <w:szCs w:val="22"/>
          <w:lang w:val="en-US"/>
        </w:rPr>
      </w:pPr>
      <w:hyperlink w:anchor="_Toc45275168" w:history="1">
        <w:r>
          <w:rPr>
            <w:rStyle w:val="Hyperlink"/>
            <w:noProof/>
          </w:rPr>
          <w:t>3.</w:t>
        </w:r>
        <w:r>
          <w:rPr>
            <w:rFonts w:asciiTheme="minorHAnsi" w:eastAsiaTheme="minorEastAsia" w:hAnsiTheme="minorHAnsi" w:cstheme="minorBidi"/>
            <w:noProof/>
            <w:sz w:val="22"/>
            <w:szCs w:val="22"/>
            <w:lang w:val="en-US"/>
          </w:rPr>
          <w:tab/>
        </w:r>
        <w:r>
          <w:rPr>
            <w:rStyle w:val="Hyperlink"/>
            <w:noProof/>
          </w:rPr>
          <w:t>Predkonsolidirani računovodski izkazi Sklada</w:t>
        </w:r>
        <w:r>
          <w:rPr>
            <w:noProof/>
            <w:webHidden/>
          </w:rPr>
          <w:tab/>
        </w:r>
        <w:r>
          <w:rPr>
            <w:noProof/>
            <w:webHidden/>
          </w:rPr>
          <w:fldChar w:fldCharType="begin"/>
        </w:r>
        <w:r>
          <w:rPr>
            <w:noProof/>
            <w:webHidden/>
          </w:rPr>
          <w:instrText xml:space="preserve"> PAGEREF _Toc45275168 \h </w:instrText>
        </w:r>
        <w:r>
          <w:rPr>
            <w:noProof/>
            <w:webHidden/>
          </w:rPr>
        </w:r>
        <w:r>
          <w:rPr>
            <w:noProof/>
            <w:webHidden/>
          </w:rPr>
          <w:fldChar w:fldCharType="separate"/>
        </w:r>
        <w:r>
          <w:rPr>
            <w:noProof/>
            <w:webHidden/>
          </w:rPr>
          <w:t>3</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45275169" w:history="1">
        <w:r>
          <w:rPr>
            <w:rStyle w:val="Hyperlink"/>
            <w:noProof/>
          </w:rPr>
          <w:t>3.1</w:t>
        </w:r>
        <w:r>
          <w:rPr>
            <w:rFonts w:asciiTheme="minorHAnsi" w:eastAsiaTheme="minorEastAsia" w:hAnsiTheme="minorHAnsi" w:cstheme="minorBidi"/>
            <w:noProof/>
            <w:sz w:val="22"/>
            <w:szCs w:val="22"/>
            <w:lang w:val="en-US"/>
          </w:rPr>
          <w:tab/>
        </w:r>
        <w:r>
          <w:rPr>
            <w:rStyle w:val="Hyperlink"/>
            <w:noProof/>
          </w:rPr>
          <w:t>Predkonsolidirani finančni položaj na dan 31. decembra 2019</w:t>
        </w:r>
        <w:r>
          <w:rPr>
            <w:noProof/>
            <w:webHidden/>
          </w:rPr>
          <w:tab/>
        </w:r>
        <w:r>
          <w:rPr>
            <w:noProof/>
            <w:webHidden/>
          </w:rPr>
          <w:fldChar w:fldCharType="begin"/>
        </w:r>
        <w:r>
          <w:rPr>
            <w:noProof/>
            <w:webHidden/>
          </w:rPr>
          <w:instrText xml:space="preserve"> PAGEREF _Toc45275169 \h </w:instrText>
        </w:r>
        <w:r>
          <w:rPr>
            <w:noProof/>
            <w:webHidden/>
          </w:rPr>
        </w:r>
        <w:r>
          <w:rPr>
            <w:noProof/>
            <w:webHidden/>
          </w:rPr>
          <w:fldChar w:fldCharType="separate"/>
        </w:r>
        <w:r>
          <w:rPr>
            <w:noProof/>
            <w:webHidden/>
          </w:rPr>
          <w:t>4</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45275170" w:history="1">
        <w:r>
          <w:rPr>
            <w:rStyle w:val="Hyperlink"/>
            <w:noProof/>
          </w:rPr>
          <w:t>3.2</w:t>
        </w:r>
        <w:r>
          <w:rPr>
            <w:rFonts w:asciiTheme="minorHAnsi" w:eastAsiaTheme="minorEastAsia" w:hAnsiTheme="minorHAnsi" w:cstheme="minorBidi"/>
            <w:noProof/>
            <w:sz w:val="22"/>
            <w:szCs w:val="22"/>
            <w:lang w:val="en-US"/>
          </w:rPr>
          <w:tab/>
        </w:r>
        <w:r>
          <w:rPr>
            <w:rStyle w:val="Hyperlink"/>
            <w:noProof/>
          </w:rPr>
          <w:t>Predkonsolidirani izkaz poslovnega izida</w:t>
        </w:r>
        <w:r>
          <w:rPr>
            <w:noProof/>
            <w:webHidden/>
          </w:rPr>
          <w:tab/>
        </w:r>
        <w:r>
          <w:rPr>
            <w:noProof/>
            <w:webHidden/>
          </w:rPr>
          <w:fldChar w:fldCharType="begin"/>
        </w:r>
        <w:r>
          <w:rPr>
            <w:noProof/>
            <w:webHidden/>
          </w:rPr>
          <w:instrText xml:space="preserve"> PAGEREF _Toc45275170 \h </w:instrText>
        </w:r>
        <w:r>
          <w:rPr>
            <w:noProof/>
            <w:webHidden/>
          </w:rPr>
        </w:r>
        <w:r>
          <w:rPr>
            <w:noProof/>
            <w:webHidden/>
          </w:rPr>
          <w:fldChar w:fldCharType="separate"/>
        </w:r>
        <w:r>
          <w:rPr>
            <w:noProof/>
            <w:webHidden/>
          </w:rPr>
          <w:t>5</w:t>
        </w:r>
        <w:r>
          <w:rPr>
            <w:noProof/>
            <w:webHidden/>
          </w:rPr>
          <w:fldChar w:fldCharType="end"/>
        </w:r>
      </w:hyperlink>
    </w:p>
    <w:p>
      <w:pPr>
        <w:pStyle w:val="TOC1"/>
        <w:rPr>
          <w:rFonts w:asciiTheme="minorHAnsi" w:eastAsiaTheme="minorEastAsia" w:hAnsiTheme="minorHAnsi" w:cstheme="minorBidi"/>
          <w:noProof/>
          <w:sz w:val="22"/>
          <w:szCs w:val="22"/>
          <w:lang w:val="en-US"/>
        </w:rPr>
      </w:pPr>
      <w:hyperlink w:anchor="_Toc45275171" w:history="1">
        <w:r>
          <w:rPr>
            <w:rStyle w:val="Hyperlink"/>
            <w:noProof/>
          </w:rPr>
          <w:t>4</w:t>
        </w:r>
        <w:r>
          <w:rPr>
            <w:rFonts w:asciiTheme="minorHAnsi" w:eastAsiaTheme="minorEastAsia" w:hAnsiTheme="minorHAnsi" w:cstheme="minorBidi"/>
            <w:noProof/>
            <w:sz w:val="22"/>
            <w:szCs w:val="22"/>
            <w:lang w:val="en-US"/>
          </w:rPr>
          <w:tab/>
        </w:r>
        <w:r>
          <w:rPr>
            <w:rStyle w:val="Hyperlink"/>
            <w:noProof/>
          </w:rPr>
          <w:t>Upravljanje denarnih sredstev Jamstvenega sklada</w:t>
        </w:r>
        <w:r>
          <w:rPr>
            <w:noProof/>
            <w:webHidden/>
          </w:rPr>
          <w:tab/>
        </w:r>
        <w:r>
          <w:rPr>
            <w:noProof/>
            <w:webHidden/>
          </w:rPr>
          <w:fldChar w:fldCharType="begin"/>
        </w:r>
        <w:r>
          <w:rPr>
            <w:noProof/>
            <w:webHidden/>
          </w:rPr>
          <w:instrText xml:space="preserve"> PAGEREF _Toc45275171 \h </w:instrText>
        </w:r>
        <w:r>
          <w:rPr>
            <w:noProof/>
            <w:webHidden/>
          </w:rPr>
        </w:r>
        <w:r>
          <w:rPr>
            <w:noProof/>
            <w:webHidden/>
          </w:rPr>
          <w:fldChar w:fldCharType="separate"/>
        </w:r>
        <w:r>
          <w:rPr>
            <w:noProof/>
            <w:webHidden/>
          </w:rPr>
          <w:t>6</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45275172" w:history="1">
        <w:r>
          <w:rPr>
            <w:rStyle w:val="Hyperlink"/>
            <w:noProof/>
          </w:rPr>
          <w:t>4.1</w:t>
        </w:r>
        <w:r>
          <w:rPr>
            <w:rFonts w:asciiTheme="minorHAnsi" w:eastAsiaTheme="minorEastAsia" w:hAnsiTheme="minorHAnsi" w:cstheme="minorBidi"/>
            <w:noProof/>
            <w:sz w:val="22"/>
            <w:szCs w:val="22"/>
            <w:lang w:val="en-US"/>
          </w:rPr>
          <w:tab/>
        </w:r>
        <w:r>
          <w:rPr>
            <w:rStyle w:val="Hyperlink"/>
            <w:noProof/>
          </w:rPr>
          <w:t>Naložbena politika</w:t>
        </w:r>
        <w:r>
          <w:rPr>
            <w:noProof/>
            <w:webHidden/>
          </w:rPr>
          <w:tab/>
        </w:r>
        <w:r>
          <w:rPr>
            <w:noProof/>
            <w:webHidden/>
          </w:rPr>
          <w:fldChar w:fldCharType="begin"/>
        </w:r>
        <w:r>
          <w:rPr>
            <w:noProof/>
            <w:webHidden/>
          </w:rPr>
          <w:instrText xml:space="preserve"> PAGEREF _Toc45275172 \h </w:instrText>
        </w:r>
        <w:r>
          <w:rPr>
            <w:noProof/>
            <w:webHidden/>
          </w:rPr>
        </w:r>
        <w:r>
          <w:rPr>
            <w:noProof/>
            <w:webHidden/>
          </w:rPr>
          <w:fldChar w:fldCharType="separate"/>
        </w:r>
        <w:r>
          <w:rPr>
            <w:noProof/>
            <w:webHidden/>
          </w:rPr>
          <w:t>6</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45275173" w:history="1">
        <w:r>
          <w:rPr>
            <w:rStyle w:val="Hyperlink"/>
            <w:noProof/>
          </w:rPr>
          <w:t>4.2</w:t>
        </w:r>
        <w:r>
          <w:rPr>
            <w:rFonts w:asciiTheme="minorHAnsi" w:eastAsiaTheme="minorEastAsia" w:hAnsiTheme="minorHAnsi" w:cstheme="minorBidi"/>
            <w:noProof/>
            <w:sz w:val="22"/>
            <w:szCs w:val="22"/>
            <w:lang w:val="en-US"/>
          </w:rPr>
          <w:tab/>
        </w:r>
        <w:r>
          <w:rPr>
            <w:rStyle w:val="Hyperlink"/>
            <w:noProof/>
          </w:rPr>
          <w:t xml:space="preserve"> Uspešnost in razvoj trga v letu 2019</w:t>
        </w:r>
        <w:r>
          <w:rPr>
            <w:noProof/>
            <w:webHidden/>
          </w:rPr>
          <w:tab/>
        </w:r>
        <w:r>
          <w:rPr>
            <w:noProof/>
            <w:webHidden/>
          </w:rPr>
          <w:fldChar w:fldCharType="begin"/>
        </w:r>
        <w:r>
          <w:rPr>
            <w:noProof/>
            <w:webHidden/>
          </w:rPr>
          <w:instrText xml:space="preserve"> PAGEREF _Toc45275173 \h </w:instrText>
        </w:r>
        <w:r>
          <w:rPr>
            <w:noProof/>
            <w:webHidden/>
          </w:rPr>
        </w:r>
        <w:r>
          <w:rPr>
            <w:noProof/>
            <w:webHidden/>
          </w:rPr>
          <w:fldChar w:fldCharType="separate"/>
        </w:r>
        <w:r>
          <w:rPr>
            <w:noProof/>
            <w:webHidden/>
          </w:rPr>
          <w:t>6</w:t>
        </w:r>
        <w:r>
          <w:rPr>
            <w:noProof/>
            <w:webHidden/>
          </w:rPr>
          <w:fldChar w:fldCharType="end"/>
        </w:r>
      </w:hyperlink>
    </w:p>
    <w:p>
      <w:pPr>
        <w:pStyle w:val="TOC1"/>
        <w:rPr>
          <w:rFonts w:asciiTheme="minorHAnsi" w:eastAsiaTheme="minorEastAsia" w:hAnsiTheme="minorHAnsi" w:cstheme="minorBidi"/>
          <w:noProof/>
          <w:sz w:val="22"/>
          <w:szCs w:val="22"/>
          <w:lang w:val="en-US"/>
        </w:rPr>
      </w:pPr>
      <w:hyperlink w:anchor="_Toc45275174" w:history="1">
        <w:r>
          <w:rPr>
            <w:rStyle w:val="Hyperlink"/>
            <w:noProof/>
          </w:rPr>
          <w:t>5.</w:t>
        </w:r>
        <w:r>
          <w:rPr>
            <w:rFonts w:asciiTheme="minorHAnsi" w:eastAsiaTheme="minorEastAsia" w:hAnsiTheme="minorHAnsi" w:cstheme="minorBidi"/>
            <w:noProof/>
            <w:sz w:val="22"/>
            <w:szCs w:val="22"/>
            <w:lang w:val="en-US"/>
          </w:rPr>
          <w:tab/>
        </w:r>
        <w:r>
          <w:rPr>
            <w:rStyle w:val="Hyperlink"/>
            <w:noProof/>
          </w:rPr>
          <w:t>Unovčitev jamstev iz Jamstvenega sklada</w:t>
        </w:r>
        <w:r>
          <w:rPr>
            <w:noProof/>
            <w:webHidden/>
          </w:rPr>
          <w:tab/>
        </w:r>
        <w:r>
          <w:rPr>
            <w:noProof/>
            <w:webHidden/>
          </w:rPr>
          <w:fldChar w:fldCharType="begin"/>
        </w:r>
        <w:r>
          <w:rPr>
            <w:noProof/>
            <w:webHidden/>
          </w:rPr>
          <w:instrText xml:space="preserve"> PAGEREF _Toc45275174 \h </w:instrText>
        </w:r>
        <w:r>
          <w:rPr>
            <w:noProof/>
            <w:webHidden/>
          </w:rPr>
        </w:r>
        <w:r>
          <w:rPr>
            <w:noProof/>
            <w:webHidden/>
          </w:rPr>
          <w:fldChar w:fldCharType="separate"/>
        </w:r>
        <w:r>
          <w:rPr>
            <w:noProof/>
            <w:webHidden/>
          </w:rPr>
          <w:t>7</w:t>
        </w:r>
        <w:r>
          <w:rPr>
            <w:noProof/>
            <w:webHidden/>
          </w:rPr>
          <w:fldChar w:fldCharType="end"/>
        </w:r>
      </w:hyperlink>
    </w:p>
    <w:p>
      <w:pPr>
        <w:pStyle w:val="TOC1"/>
        <w:rPr>
          <w:rFonts w:asciiTheme="minorHAnsi" w:eastAsiaTheme="minorEastAsia" w:hAnsiTheme="minorHAnsi" w:cstheme="minorBidi"/>
          <w:noProof/>
          <w:sz w:val="22"/>
          <w:szCs w:val="22"/>
          <w:lang w:val="en-US"/>
        </w:rPr>
      </w:pPr>
      <w:hyperlink w:anchor="_Toc45275175" w:history="1">
        <w:r>
          <w:rPr>
            <w:rStyle w:val="Hyperlink"/>
            <w:noProof/>
          </w:rPr>
          <w:t>6.</w:t>
        </w:r>
        <w:r>
          <w:rPr>
            <w:rFonts w:asciiTheme="minorHAnsi" w:eastAsiaTheme="minorEastAsia" w:hAnsiTheme="minorHAnsi" w:cstheme="minorBidi"/>
            <w:noProof/>
            <w:sz w:val="22"/>
            <w:szCs w:val="22"/>
            <w:lang w:val="en-US"/>
          </w:rPr>
          <w:tab/>
        </w:r>
        <w:r>
          <w:rPr>
            <w:rStyle w:val="Hyperlink"/>
            <w:noProof/>
          </w:rPr>
          <w:t>Prejemek EIB</w:t>
        </w:r>
        <w:r>
          <w:rPr>
            <w:noProof/>
            <w:webHidden/>
          </w:rPr>
          <w:tab/>
        </w:r>
        <w:r>
          <w:rPr>
            <w:noProof/>
            <w:webHidden/>
          </w:rPr>
          <w:fldChar w:fldCharType="begin"/>
        </w:r>
        <w:r>
          <w:rPr>
            <w:noProof/>
            <w:webHidden/>
          </w:rPr>
          <w:instrText xml:space="preserve"> PAGEREF _Toc45275175 \h </w:instrText>
        </w:r>
        <w:r>
          <w:rPr>
            <w:noProof/>
            <w:webHidden/>
          </w:rPr>
        </w:r>
        <w:r>
          <w:rPr>
            <w:noProof/>
            <w:webHidden/>
          </w:rPr>
          <w:fldChar w:fldCharType="separate"/>
        </w:r>
        <w:r>
          <w:rPr>
            <w:noProof/>
            <w:webHidden/>
          </w:rPr>
          <w:t>7</w:t>
        </w:r>
        <w:r>
          <w:rPr>
            <w:noProof/>
            <w:webHidden/>
          </w:rPr>
          <w:fldChar w:fldCharType="end"/>
        </w:r>
      </w:hyperlink>
    </w:p>
    <w:p>
      <w:pPr>
        <w:pStyle w:val="ManualHeading1"/>
        <w:rPr>
          <w:b w:val="0"/>
          <w:bCs/>
          <w:noProof/>
        </w:rPr>
      </w:pPr>
      <w:r>
        <w:rPr>
          <w:b w:val="0"/>
          <w:bCs/>
          <w:noProof/>
        </w:rPr>
        <w:fldChar w:fldCharType="end"/>
      </w:r>
      <w:bookmarkStart w:id="2" w:name="_Toc323019492"/>
      <w:bookmarkStart w:id="3" w:name="_Toc354050118"/>
      <w:bookmarkStart w:id="4" w:name="_Toc358294843"/>
      <w:bookmarkStart w:id="5" w:name="_Toc415838340"/>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pStyle w:val="ManualHeading1"/>
        <w:rPr>
          <w:b w:val="0"/>
          <w:smallCaps w:val="0"/>
          <w:noProof/>
        </w:rPr>
      </w:pPr>
    </w:p>
    <w:p>
      <w:pPr>
        <w:rPr>
          <w:noProof/>
        </w:rPr>
      </w:pPr>
    </w:p>
    <w:p>
      <w:pPr>
        <w:pStyle w:val="ManualHeading1"/>
        <w:rPr>
          <w:noProof/>
        </w:rPr>
      </w:pPr>
      <w:bookmarkStart w:id="6" w:name="_Toc45275161"/>
      <w:r>
        <w:rPr>
          <w:noProof/>
        </w:rPr>
        <w:t>1.</w:t>
      </w:r>
      <w:r>
        <w:rPr>
          <w:noProof/>
        </w:rPr>
        <w:tab/>
        <w:t>Uvod</w:t>
      </w:r>
      <w:bookmarkEnd w:id="2"/>
      <w:bookmarkEnd w:id="3"/>
      <w:bookmarkEnd w:id="4"/>
      <w:bookmarkEnd w:id="5"/>
      <w:bookmarkEnd w:id="6"/>
    </w:p>
    <w:p>
      <w:pPr>
        <w:rPr>
          <w:noProof/>
        </w:rPr>
      </w:pPr>
      <w:r>
        <w:rPr>
          <w:noProof/>
        </w:rPr>
        <w:t>Z Uredbo Sveta (ES, Euratom) št. 480/2009 z dne 25. maja 2009 (v nadaljnjem besedilu: Uredba)</w:t>
      </w:r>
      <w:r>
        <w:rPr>
          <w:rStyle w:val="FootnoteReference"/>
          <w:noProof/>
        </w:rPr>
        <w:footnoteReference w:id="1"/>
      </w:r>
      <w:r>
        <w:rPr>
          <w:noProof/>
        </w:rPr>
        <w:t xml:space="preserve"> je bil ustanovljen Jamstveni sklad za zunanje ukrepe (v nadaljnjem besedilu: Sklad) za poplačilo upnikov Unije v primeru zamude porabnikov posojil, ki jih odobri ali zanje da jamstvo Evropska unija. V skladu s členom 7 Uredbe je Komisija finančno poslovodenje Sklada zaupala Evropski investicijski banki (EIB) na podlagi sporazuma, ki sta ga podpisali Evropska unija in EIB 25. novembra 1994 ter ki je bil nato spremenjen 23. septembra 1996, 8. maja 2002, 25. februarja 2008, 9. novembra 2010 in 28. septembra 2018</w:t>
      </w:r>
      <w:r>
        <w:rPr>
          <w:rStyle w:val="FootnoteReference"/>
          <w:noProof/>
        </w:rPr>
        <w:footnoteReference w:id="2"/>
      </w:r>
      <w:r>
        <w:rPr>
          <w:noProof/>
        </w:rPr>
        <w:t xml:space="preserve"> (v nadaljnjem besedilu: Sporazum).</w:t>
      </w:r>
    </w:p>
    <w:p>
      <w:pPr>
        <w:rPr>
          <w:noProof/>
        </w:rPr>
      </w:pPr>
      <w:r>
        <w:rPr>
          <w:noProof/>
        </w:rPr>
        <w:t xml:space="preserve">Na podlagi člena 8 Uredbe mora Komisija za vsako proračunsko leto Evropskemu parlamentu, Svetu in Računskemu sodišču do 31. maja poslati poročilo o stanju Sklada in njegovem poslovodenju ob koncu preteklega koledarskega leta. </w:t>
      </w:r>
    </w:p>
    <w:p>
      <w:pPr>
        <w:rPr>
          <w:noProof/>
        </w:rPr>
      </w:pPr>
      <w:r>
        <w:rPr>
          <w:noProof/>
        </w:rPr>
        <w:t>To poročilo skupaj z delovnim dokumentom služb Komisije vsebuje te informacije. Temelji na podatkih, prejetih od EIB v skladu s Sporazumom.</w:t>
      </w:r>
    </w:p>
    <w:p>
      <w:pPr>
        <w:pStyle w:val="ManualHeading1"/>
        <w:ind w:left="0" w:firstLine="0"/>
        <w:rPr>
          <w:noProof/>
        </w:rPr>
      </w:pPr>
      <w:bookmarkStart w:id="7" w:name="_Toc323019493"/>
      <w:bookmarkStart w:id="8" w:name="_Toc354050119"/>
      <w:bookmarkStart w:id="9" w:name="_Toc358294844"/>
      <w:bookmarkStart w:id="10" w:name="_Toc415838341"/>
      <w:bookmarkStart w:id="11" w:name="_Toc45275162"/>
      <w:r>
        <w:rPr>
          <w:noProof/>
        </w:rPr>
        <w:t>2.</w:t>
      </w:r>
      <w:r>
        <w:rPr>
          <w:noProof/>
        </w:rPr>
        <w:tab/>
        <w:t>Finančno stanje in pomembne transakcije Jamstvenega sklada</w:t>
      </w:r>
      <w:bookmarkEnd w:id="7"/>
      <w:bookmarkEnd w:id="8"/>
      <w:bookmarkEnd w:id="9"/>
      <w:bookmarkEnd w:id="10"/>
      <w:bookmarkEnd w:id="11"/>
    </w:p>
    <w:p>
      <w:pPr>
        <w:pStyle w:val="ManualHeading2"/>
        <w:spacing w:before="360"/>
        <w:ind w:left="851" w:hanging="851"/>
        <w:rPr>
          <w:noProof/>
        </w:rPr>
      </w:pPr>
      <w:bookmarkStart w:id="12" w:name="_Toc45275163"/>
      <w:r>
        <w:rPr>
          <w:noProof/>
        </w:rPr>
        <w:t>2.1</w:t>
      </w:r>
      <w:r>
        <w:rPr>
          <w:noProof/>
        </w:rPr>
        <w:tab/>
        <w:t>Finančni položaj Jamstvenega sklada 31. decembra 2019</w:t>
      </w:r>
      <w:bookmarkEnd w:id="12"/>
    </w:p>
    <w:p>
      <w:pPr>
        <w:rPr>
          <w:noProof/>
        </w:rPr>
      </w:pPr>
      <w:r>
        <w:rPr>
          <w:noProof/>
        </w:rPr>
        <w:t>Vrednost Jamstvenega sklada je 31. decembra 2019 znašala 2 828 738 292,88 EUR (31. decembra 2018 je znašala 2 609 881 747,51 EUR) (glej Prilogo k delovnemu dokumentu služb Komisije: Računovodski izkazi Jamstvenega sklada po podatkih EIB).</w:t>
      </w:r>
    </w:p>
    <w:p>
      <w:pPr>
        <w:rPr>
          <w:noProof/>
        </w:rPr>
      </w:pPr>
      <w:r>
        <w:rPr>
          <w:noProof/>
        </w:rPr>
        <w:t>Skupna bilančna vsota Sklada se je leta 2019 povečala za približno 218,86 milijona EUR. To je predvsem posledica naslednjega:</w:t>
      </w:r>
    </w:p>
    <w:p>
      <w:pPr>
        <w:rPr>
          <w:noProof/>
          <w:u w:val="single"/>
        </w:rPr>
      </w:pPr>
      <w:r>
        <w:rPr>
          <w:noProof/>
          <w:u w:val="single"/>
        </w:rPr>
        <w:t>Povečanja:</w:t>
      </w:r>
    </w:p>
    <w:p>
      <w:pPr>
        <w:pStyle w:val="Bullet0"/>
        <w:numPr>
          <w:ilvl w:val="0"/>
          <w:numId w:val="14"/>
        </w:numPr>
        <w:rPr>
          <w:noProof/>
        </w:rPr>
      </w:pPr>
      <w:r>
        <w:rPr>
          <w:noProof/>
        </w:rPr>
        <w:t>Prispevek iz proračuna EU (znesek oblikovanja rezervacij) v višini 240,15 milijona EUR za prilagoditev Sklada njegovemu ciljnemu znesku v višini 9 % skupnih neporavnanih obveznosti;</w:t>
      </w:r>
    </w:p>
    <w:p>
      <w:pPr>
        <w:pStyle w:val="Bullet0"/>
        <w:numPr>
          <w:ilvl w:val="0"/>
          <w:numId w:val="14"/>
        </w:numPr>
        <w:rPr>
          <w:noProof/>
        </w:rPr>
      </w:pPr>
      <w:r>
        <w:rPr>
          <w:noProof/>
        </w:rPr>
        <w:t>poslovni izid iz finančnih poslov je znašal 25,13 milijona EUR;</w:t>
      </w:r>
    </w:p>
    <w:p>
      <w:pPr>
        <w:pStyle w:val="Bullet0"/>
        <w:numPr>
          <w:ilvl w:val="0"/>
          <w:numId w:val="14"/>
        </w:numPr>
        <w:rPr>
          <w:noProof/>
        </w:rPr>
      </w:pPr>
      <w:r>
        <w:rPr>
          <w:noProof/>
        </w:rPr>
        <w:t>vrednost portfelja se je povečala za 8,6 milijona EUR zaradi prilagoditve njegove vrednosti glede na tržne razmere.</w:t>
      </w:r>
    </w:p>
    <w:p>
      <w:pPr>
        <w:rPr>
          <w:noProof/>
          <w:u w:val="single"/>
        </w:rPr>
      </w:pPr>
      <w:r>
        <w:rPr>
          <w:noProof/>
          <w:u w:val="single"/>
        </w:rPr>
        <w:t>Zmanjšanja:</w:t>
      </w:r>
    </w:p>
    <w:p>
      <w:pPr>
        <w:pStyle w:val="Bullet0"/>
        <w:numPr>
          <w:ilvl w:val="0"/>
          <w:numId w:val="14"/>
        </w:numPr>
        <w:rPr>
          <w:noProof/>
        </w:rPr>
      </w:pPr>
      <w:r>
        <w:rPr>
          <w:noProof/>
        </w:rPr>
        <w:t>Posredovanja Sklada za kritje neplačil v skupnem znesku 54,9 milijona EUR.</w:t>
      </w:r>
    </w:p>
    <w:p>
      <w:pPr>
        <w:pStyle w:val="ManualHeading2"/>
        <w:spacing w:before="360"/>
        <w:ind w:left="851" w:hanging="851"/>
        <w:rPr>
          <w:noProof/>
        </w:rPr>
      </w:pPr>
      <w:bookmarkStart w:id="13" w:name="_Toc45275164"/>
      <w:r>
        <w:rPr>
          <w:noProof/>
        </w:rPr>
        <w:t>2.2</w:t>
      </w:r>
      <w:r>
        <w:rPr>
          <w:noProof/>
        </w:rPr>
        <w:tab/>
      </w:r>
      <w:bookmarkStart w:id="14" w:name="_Toc415838343"/>
      <w:r>
        <w:rPr>
          <w:noProof/>
        </w:rPr>
        <w:t xml:space="preserve">Pomembne </w:t>
      </w:r>
      <w:bookmarkEnd w:id="14"/>
      <w:r>
        <w:rPr>
          <w:noProof/>
        </w:rPr>
        <w:t>transakcije Sklada v letu 2019</w:t>
      </w:r>
      <w:bookmarkEnd w:id="13"/>
    </w:p>
    <w:p>
      <w:pPr>
        <w:pStyle w:val="ManualHeading2"/>
        <w:tabs>
          <w:tab w:val="clear" w:pos="850"/>
          <w:tab w:val="left" w:pos="426"/>
        </w:tabs>
        <w:spacing w:before="240"/>
        <w:ind w:left="425" w:firstLine="0"/>
        <w:rPr>
          <w:noProof/>
        </w:rPr>
      </w:pPr>
      <w:bookmarkStart w:id="15" w:name="_Toc45275165"/>
      <w:r>
        <w:rPr>
          <w:noProof/>
        </w:rPr>
        <w:t>2.2.1</w:t>
      </w:r>
      <w:r>
        <w:rPr>
          <w:noProof/>
        </w:rPr>
        <w:tab/>
        <w:t>Unovčitev jamstev iz Jamstvenega sklada v letu 2019</w:t>
      </w:r>
      <w:bookmarkEnd w:id="15"/>
    </w:p>
    <w:p>
      <w:pPr>
        <w:tabs>
          <w:tab w:val="left" w:pos="426"/>
        </w:tabs>
        <w:spacing w:after="0"/>
        <w:ind w:left="426"/>
        <w:rPr>
          <w:b/>
          <w:noProof/>
        </w:rPr>
      </w:pPr>
      <w:r>
        <w:rPr>
          <w:b/>
          <w:noProof/>
        </w:rPr>
        <w:t>Sirija</w:t>
      </w:r>
    </w:p>
    <w:p>
      <w:pPr>
        <w:pStyle w:val="Point0number"/>
        <w:tabs>
          <w:tab w:val="left" w:pos="426"/>
        </w:tabs>
        <w:ind w:left="426"/>
        <w:rPr>
          <w:noProof/>
        </w:rPr>
      </w:pPr>
      <w:r>
        <w:rPr>
          <w:noProof/>
        </w:rPr>
        <w:t>V letu 2019 se je EIB še naprej soočala z zamudami pri odplačevanju sirskih državnih posojil. EIB je posledično in v skladu z jamstvenim sporazumom med EU in EIB pri Jamstvenem skladu EU do 31. decembra 2019 dodatno unovčila 14 jamstev v skupnem znesku 54,91 milijona EUR (glej točko 5).</w:t>
      </w:r>
    </w:p>
    <w:p>
      <w:pPr>
        <w:pStyle w:val="ManualHeading2"/>
        <w:tabs>
          <w:tab w:val="clear" w:pos="850"/>
          <w:tab w:val="left" w:pos="426"/>
        </w:tabs>
        <w:spacing w:before="360"/>
        <w:ind w:left="425" w:firstLine="0"/>
        <w:rPr>
          <w:noProof/>
        </w:rPr>
      </w:pPr>
      <w:bookmarkStart w:id="16" w:name="_Toc45275166"/>
      <w:r>
        <w:rPr>
          <w:noProof/>
        </w:rPr>
        <w:t>2.2.2</w:t>
      </w:r>
      <w:r>
        <w:rPr>
          <w:noProof/>
        </w:rPr>
        <w:tab/>
        <w:t>Oblikovanje rezervacij Jamstvenega sklada v letu 2019</w:t>
      </w:r>
      <w:bookmarkEnd w:id="16"/>
    </w:p>
    <w:p>
      <w:pPr>
        <w:pStyle w:val="Point0number"/>
        <w:tabs>
          <w:tab w:val="left" w:pos="426"/>
        </w:tabs>
        <w:ind w:left="426"/>
        <w:rPr>
          <w:noProof/>
        </w:rPr>
      </w:pPr>
      <w:r>
        <w:rPr>
          <w:noProof/>
        </w:rPr>
        <w:t>Februarja 2019 je bil iz proračuna v Sklad prenesen znesek v višini 103,2 milijona EUR, kar ustreza znesku oblikovanja rezervacij za leto 2018.</w:t>
      </w:r>
    </w:p>
    <w:p>
      <w:pPr>
        <w:pStyle w:val="Point0number"/>
        <w:tabs>
          <w:tab w:val="left" w:pos="426"/>
        </w:tabs>
        <w:ind w:left="426"/>
        <w:rPr>
          <w:noProof/>
        </w:rPr>
      </w:pPr>
      <w:r>
        <w:rPr>
          <w:noProof/>
        </w:rPr>
        <w:t>Februarja 2019 je bil izračunan tudi prispevek proračuna EU v Sklad za leto 2020 in na podlagi tega izračuna je bilo februarja 2020 prenesenega 240,15 milijona EUR. Znesek je bil izračunan na podlagi členov 3 in 5 Uredbe:</w:t>
      </w:r>
    </w:p>
    <w:p>
      <w:pPr>
        <w:pStyle w:val="Point0number"/>
        <w:tabs>
          <w:tab w:val="left" w:pos="426"/>
        </w:tabs>
        <w:ind w:left="426"/>
        <w:rPr>
          <w:noProof/>
        </w:rPr>
      </w:pPr>
      <w:r>
        <w:rPr>
          <w:noProof/>
        </w:rPr>
        <w:t xml:space="preserve">Člen 3 Uredbe določa ciljni znesek Sklada v višini 9 % skupnih neplačanih obveznosti do virov sredstev iz vsakega posla, povečanih za neplačane obračunane zapadle obresti. </w:t>
      </w:r>
    </w:p>
    <w:p>
      <w:pPr>
        <w:pStyle w:val="Point0number"/>
        <w:tabs>
          <w:tab w:val="left" w:pos="426"/>
        </w:tabs>
        <w:ind w:left="426"/>
        <w:rPr>
          <w:noProof/>
        </w:rPr>
      </w:pPr>
      <w:r>
        <w:rPr>
          <w:noProof/>
        </w:rPr>
        <w:t>Člen 5 Uredbe navaja, da se znesek, ki se prenese iz proračuna v Sklad v letu n + 1, izračuna na osnovi razlike ob koncu leta n – 1 med ciljnim zneskom in vrednostjo neto premoženja Sklada, kot je izračunana na začetku leta n.</w:t>
      </w:r>
    </w:p>
    <w:p>
      <w:pPr>
        <w:pStyle w:val="Point0number"/>
        <w:tabs>
          <w:tab w:val="left" w:pos="426"/>
        </w:tabs>
        <w:ind w:left="426"/>
        <w:rPr>
          <w:noProof/>
        </w:rPr>
      </w:pPr>
      <w:r>
        <w:rPr>
          <w:noProof/>
        </w:rPr>
        <w:t>Za prilagoditev Sklada na 9 % skupnih neplačanih obveznosti do virov sredstev je bilo na podlagi izračuna glede zajamčenih poslov, ki na dan 31. decembra 2018 še niso bili plačani, v proračunu EU za leto 2020 za oblikovanje rezervacij Sklada namenjenega 240,15 milijona EUR. Znesek sta odobrila Svet in Evropski parlament, v bilanci stanja z dne 31. decembra 2019 pa je bil pripoznan kot sredstvo (terjatev) Sklada.</w:t>
      </w:r>
    </w:p>
    <w:p>
      <w:pPr>
        <w:pStyle w:val="ManualHeading2"/>
        <w:spacing w:before="360"/>
        <w:ind w:left="851" w:hanging="851"/>
        <w:rPr>
          <w:noProof/>
        </w:rPr>
      </w:pPr>
      <w:bookmarkStart w:id="17" w:name="_Toc354050122"/>
      <w:bookmarkStart w:id="18" w:name="_Toc358294847"/>
      <w:bookmarkStart w:id="19" w:name="_Toc415838344"/>
      <w:bookmarkStart w:id="20" w:name="_Toc45275167"/>
      <w:r>
        <w:rPr>
          <w:noProof/>
        </w:rPr>
        <w:t>2.3</w:t>
      </w:r>
      <w:r>
        <w:rPr>
          <w:noProof/>
        </w:rPr>
        <w:tab/>
      </w:r>
      <w:bookmarkStart w:id="21" w:name="_Toc323019496"/>
      <w:r>
        <w:rPr>
          <w:noProof/>
        </w:rPr>
        <w:t>Pomembne transakcije po datumu poročanja</w:t>
      </w:r>
      <w:bookmarkEnd w:id="21"/>
      <w:bookmarkEnd w:id="17"/>
      <w:bookmarkEnd w:id="18"/>
      <w:bookmarkEnd w:id="19"/>
      <w:r>
        <w:rPr>
          <w:noProof/>
        </w:rPr>
        <w:t xml:space="preserve"> (po koncu marca 2020)</w:t>
      </w:r>
      <w:bookmarkEnd w:id="20"/>
    </w:p>
    <w:p>
      <w:pPr>
        <w:ind w:left="850"/>
        <w:rPr>
          <w:noProof/>
        </w:rPr>
      </w:pPr>
      <w:r>
        <w:rPr>
          <w:noProof/>
        </w:rPr>
        <w:t>Februarja 2020 je bil zgornji znesek oblikovanja rezervacij v višini 240,15 milijona EUR prenesen iz proračuna EU v Sklad.</w:t>
      </w:r>
    </w:p>
    <w:p>
      <w:pPr>
        <w:ind w:left="851"/>
        <w:rPr>
          <w:noProof/>
        </w:rPr>
      </w:pPr>
      <w:r>
        <w:rPr>
          <w:noProof/>
        </w:rPr>
        <w:t>Januarja in marca 2020 je bilo na podlagi dveh zahtevkov za unovčitev jamstev za neplačila Sirije izplačanega skupaj 10,6 milijona EUR (3,2 milijona EUR in 7,4 milijona EUR, vključno s kaznimi, ki jih je naložila EIB).</w:t>
      </w:r>
    </w:p>
    <w:p>
      <w:pPr>
        <w:pStyle w:val="ManualHeading1"/>
        <w:ind w:left="851" w:hanging="851"/>
        <w:rPr>
          <w:noProof/>
        </w:rPr>
      </w:pPr>
      <w:bookmarkStart w:id="22" w:name="_Toc45275168"/>
      <w:bookmarkStart w:id="23" w:name="_Toc323019497"/>
      <w:bookmarkStart w:id="24" w:name="_Toc354050123"/>
      <w:bookmarkStart w:id="25" w:name="_Toc358294848"/>
      <w:bookmarkStart w:id="26" w:name="_Toc415838345"/>
      <w:r>
        <w:rPr>
          <w:noProof/>
        </w:rPr>
        <w:t>3.</w:t>
      </w:r>
      <w:r>
        <w:rPr>
          <w:noProof/>
        </w:rPr>
        <w:tab/>
        <w:t>Predkonsolidirani računovodski izkazi Sklada</w:t>
      </w:r>
      <w:bookmarkEnd w:id="22"/>
    </w:p>
    <w:p>
      <w:pPr>
        <w:rPr>
          <w:noProof/>
        </w:rPr>
      </w:pPr>
      <w:r>
        <w:rPr>
          <w:noProof/>
        </w:rPr>
        <w:t>Predkonsolidirani računovodski izkazi Sklada se pripravijo zato, da se vključijo računovodske operacije, ki niso vključene v računovodske izkaze Sklada, ki jih pripravi EIB (glej delovni dokument služb Komisije). Vključeni so v konsolidirane finančne izkaze EU.</w:t>
      </w:r>
    </w:p>
    <w:p>
      <w:pPr>
        <w:pStyle w:val="ManualHeading2"/>
        <w:ind w:left="0" w:firstLine="0"/>
        <w:rPr>
          <w:noProof/>
        </w:rPr>
      </w:pPr>
      <w:bookmarkStart w:id="27" w:name="_Toc415838347"/>
      <w:bookmarkStart w:id="28" w:name="_Toc45275169"/>
      <w:bookmarkStart w:id="29" w:name="_Toc323019499"/>
      <w:bookmarkStart w:id="30" w:name="_Toc354050125"/>
      <w:bookmarkEnd w:id="23"/>
      <w:bookmarkEnd w:id="24"/>
      <w:bookmarkEnd w:id="25"/>
      <w:bookmarkEnd w:id="26"/>
      <w:r>
        <w:rPr>
          <w:noProof/>
        </w:rPr>
        <w:t>3.1</w:t>
      </w:r>
      <w:bookmarkStart w:id="31" w:name="_Toc358294850"/>
      <w:r>
        <w:rPr>
          <w:noProof/>
        </w:rPr>
        <w:tab/>
      </w:r>
      <w:bookmarkEnd w:id="31"/>
      <w:r>
        <w:rPr>
          <w:noProof/>
        </w:rPr>
        <w:t>Predkonsolidirani finančni položaj na dan 31. decembra </w:t>
      </w:r>
      <w:bookmarkEnd w:id="27"/>
      <w:r>
        <w:rPr>
          <w:noProof/>
        </w:rPr>
        <w:t>2019</w:t>
      </w:r>
      <w:bookmarkEnd w:id="28"/>
    </w:p>
    <w:p>
      <w:pPr>
        <w:rPr>
          <w:noProof/>
        </w:rPr>
      </w:pPr>
      <w:r>
        <w:rPr>
          <w:noProof/>
        </w:rPr>
        <w:t>Bilanca stanja – sredstva</w:t>
      </w:r>
    </w:p>
    <w:tbl>
      <w:tblPr>
        <w:tblW w:w="8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2126"/>
        <w:gridCol w:w="2120"/>
      </w:tblGrid>
      <w:tr>
        <w:tc>
          <w:tcPr>
            <w:tcW w:w="4219" w:type="dxa"/>
            <w:tcBorders>
              <w:bottom w:val="single" w:sz="4" w:space="0" w:color="auto"/>
            </w:tcBorders>
            <w:shd w:val="clear" w:color="auto" w:fill="auto"/>
          </w:tcPr>
          <w:p>
            <w:pPr>
              <w:jc w:val="center"/>
              <w:rPr>
                <w:noProof/>
              </w:rPr>
            </w:pPr>
          </w:p>
        </w:tc>
        <w:tc>
          <w:tcPr>
            <w:tcW w:w="2126" w:type="dxa"/>
            <w:tcBorders>
              <w:bottom w:val="single" w:sz="4" w:space="0" w:color="auto"/>
            </w:tcBorders>
            <w:shd w:val="clear" w:color="auto" w:fill="auto"/>
          </w:tcPr>
          <w:p>
            <w:pPr>
              <w:jc w:val="center"/>
              <w:rPr>
                <w:noProof/>
              </w:rPr>
            </w:pPr>
            <w:r>
              <w:rPr>
                <w:noProof/>
              </w:rPr>
              <w:t>31. december 2019</w:t>
            </w:r>
          </w:p>
        </w:tc>
        <w:tc>
          <w:tcPr>
            <w:tcW w:w="2120" w:type="dxa"/>
            <w:tcBorders>
              <w:bottom w:val="single" w:sz="4" w:space="0" w:color="auto"/>
            </w:tcBorders>
          </w:tcPr>
          <w:p>
            <w:pPr>
              <w:jc w:val="center"/>
              <w:rPr>
                <w:noProof/>
              </w:rPr>
            </w:pPr>
            <w:r>
              <w:rPr>
                <w:noProof/>
              </w:rPr>
              <w:t>ponedeljek, 31. december 2018</w:t>
            </w:r>
          </w:p>
        </w:tc>
      </w:tr>
      <w:tr>
        <w:tc>
          <w:tcPr>
            <w:tcW w:w="4219" w:type="dxa"/>
            <w:shd w:val="pct20" w:color="auto" w:fill="auto"/>
          </w:tcPr>
          <w:p>
            <w:pPr>
              <w:rPr>
                <w:noProof/>
                <w14:shadow w14:blurRad="50800" w14:dist="38100" w14:dir="2700000" w14:sx="100000" w14:sy="100000" w14:kx="0" w14:ky="0" w14:algn="tl">
                  <w14:srgbClr w14:val="000000">
                    <w14:alpha w14:val="60000"/>
                  </w14:srgbClr>
                </w14:shadow>
              </w:rPr>
            </w:pPr>
            <w:r>
              <w:rPr>
                <w:noProof/>
                <w14:shadow w14:blurRad="50800" w14:dist="38100" w14:dir="2700000" w14:sx="100000" w14:sy="100000" w14:kx="0" w14:ky="0" w14:algn="tl">
                  <w14:srgbClr w14:val="000000">
                    <w14:alpha w14:val="60000"/>
                  </w14:srgbClr>
                </w14:shadow>
              </w:rPr>
              <w:t>NEKRATKOROČNA SREDSTVA</w:t>
            </w:r>
          </w:p>
        </w:tc>
        <w:tc>
          <w:tcPr>
            <w:tcW w:w="2126" w:type="dxa"/>
            <w:shd w:val="pct20" w:color="auto" w:fill="auto"/>
          </w:tcPr>
          <w:p>
            <w:pPr>
              <w:jc w:val="right"/>
              <w:rPr>
                <w:noProof/>
                <w14:shadow w14:blurRad="50800" w14:dist="38100" w14:dir="2700000" w14:sx="100000" w14:sy="100000" w14:kx="0" w14:ky="0" w14:algn="tl">
                  <w14:srgbClr w14:val="000000">
                    <w14:alpha w14:val="60000"/>
                  </w14:srgbClr>
                </w14:shadow>
              </w:rPr>
            </w:pPr>
            <w:r>
              <w:rPr>
                <w:noProof/>
                <w14:shadow w14:blurRad="50800" w14:dist="38100" w14:dir="2700000" w14:sx="100000" w14:sy="100000" w14:kx="0" w14:ky="0" w14:algn="tl">
                  <w14:srgbClr w14:val="000000">
                    <w14:alpha w14:val="60000"/>
                  </w14:srgbClr>
                </w14:shadow>
              </w:rPr>
              <w:t>2 312 151 734</w:t>
            </w:r>
          </w:p>
        </w:tc>
        <w:tc>
          <w:tcPr>
            <w:tcW w:w="2120" w:type="dxa"/>
            <w:shd w:val="pct20" w:color="auto" w:fill="auto"/>
          </w:tcPr>
          <w:p>
            <w:pPr>
              <w:jc w:val="right"/>
              <w:rPr>
                <w:noProof/>
                <w14:shadow w14:blurRad="50800" w14:dist="38100" w14:dir="2700000" w14:sx="100000" w14:sy="100000" w14:kx="0" w14:ky="0" w14:algn="tl">
                  <w14:srgbClr w14:val="000000">
                    <w14:alpha w14:val="60000"/>
                  </w14:srgbClr>
                </w14:shadow>
              </w:rPr>
            </w:pPr>
            <w:r>
              <w:rPr>
                <w:noProof/>
              </w:rPr>
              <w:t>2 275 342 664</w:t>
            </w:r>
          </w:p>
        </w:tc>
      </w:tr>
      <w:tr>
        <w:tc>
          <w:tcPr>
            <w:tcW w:w="4219" w:type="dxa"/>
            <w:tcBorders>
              <w:bottom w:val="single" w:sz="4" w:space="0" w:color="auto"/>
            </w:tcBorders>
            <w:shd w:val="clear" w:color="auto" w:fill="auto"/>
          </w:tcPr>
          <w:p>
            <w:pPr>
              <w:rPr>
                <w:noProof/>
              </w:rPr>
            </w:pPr>
            <w:r>
              <w:rPr>
                <w:noProof/>
              </w:rPr>
              <w:t>Finančna sredstva</w:t>
            </w:r>
          </w:p>
        </w:tc>
        <w:tc>
          <w:tcPr>
            <w:tcW w:w="2126" w:type="dxa"/>
            <w:tcBorders>
              <w:bottom w:val="single" w:sz="4" w:space="0" w:color="auto"/>
            </w:tcBorders>
            <w:shd w:val="clear" w:color="auto" w:fill="auto"/>
          </w:tcPr>
          <w:p>
            <w:pPr>
              <w:jc w:val="right"/>
              <w:rPr>
                <w:noProof/>
              </w:rPr>
            </w:pPr>
            <w:r>
              <w:rPr>
                <w:noProof/>
                <w14:shadow w14:blurRad="50800" w14:dist="38100" w14:dir="2700000" w14:sx="100000" w14:sy="100000" w14:kx="0" w14:ky="0" w14:algn="tl">
                  <w14:srgbClr w14:val="000000">
                    <w14:alpha w14:val="60000"/>
                  </w14:srgbClr>
                </w14:shadow>
              </w:rPr>
              <w:t>2 312 151 734</w:t>
            </w:r>
          </w:p>
        </w:tc>
        <w:tc>
          <w:tcPr>
            <w:tcW w:w="2120" w:type="dxa"/>
            <w:tcBorders>
              <w:bottom w:val="single" w:sz="4" w:space="0" w:color="auto"/>
            </w:tcBorders>
          </w:tcPr>
          <w:p>
            <w:pPr>
              <w:jc w:val="right"/>
              <w:rPr>
                <w:noProof/>
              </w:rPr>
            </w:pPr>
            <w:r>
              <w:rPr>
                <w:noProof/>
              </w:rPr>
              <w:t>2 275 342 664</w:t>
            </w:r>
          </w:p>
        </w:tc>
      </w:tr>
      <w:tr>
        <w:tc>
          <w:tcPr>
            <w:tcW w:w="4219" w:type="dxa"/>
            <w:shd w:val="pct20" w:color="auto" w:fill="auto"/>
          </w:tcPr>
          <w:p>
            <w:pPr>
              <w:rPr>
                <w:noProof/>
              </w:rPr>
            </w:pPr>
            <w:r>
              <w:rPr>
                <w:noProof/>
              </w:rPr>
              <w:t>KRATKOROČNA SREDSTVA</w:t>
            </w:r>
          </w:p>
        </w:tc>
        <w:tc>
          <w:tcPr>
            <w:tcW w:w="2126" w:type="dxa"/>
            <w:shd w:val="pct20" w:color="auto" w:fill="auto"/>
          </w:tcPr>
          <w:p>
            <w:pPr>
              <w:jc w:val="right"/>
              <w:rPr>
                <w:noProof/>
              </w:rPr>
            </w:pPr>
            <w:r>
              <w:rPr>
                <w:noProof/>
              </w:rPr>
              <w:t>277 139 064</w:t>
            </w:r>
          </w:p>
        </w:tc>
        <w:tc>
          <w:tcPr>
            <w:tcW w:w="2120" w:type="dxa"/>
            <w:shd w:val="pct20" w:color="auto" w:fill="auto"/>
          </w:tcPr>
          <w:p>
            <w:pPr>
              <w:jc w:val="right"/>
              <w:rPr>
                <w:noProof/>
              </w:rPr>
            </w:pPr>
            <w:r>
              <w:rPr>
                <w:noProof/>
              </w:rPr>
              <w:t>231 316 149</w:t>
            </w:r>
          </w:p>
        </w:tc>
      </w:tr>
      <w:tr>
        <w:tc>
          <w:tcPr>
            <w:tcW w:w="4219" w:type="dxa"/>
            <w:shd w:val="clear" w:color="auto" w:fill="auto"/>
          </w:tcPr>
          <w:p>
            <w:pPr>
              <w:rPr>
                <w:noProof/>
              </w:rPr>
            </w:pPr>
            <w:r>
              <w:rPr>
                <w:noProof/>
              </w:rPr>
              <w:t>Finančna sredstva</w:t>
            </w:r>
          </w:p>
        </w:tc>
        <w:tc>
          <w:tcPr>
            <w:tcW w:w="2126" w:type="dxa"/>
            <w:shd w:val="clear" w:color="auto" w:fill="auto"/>
          </w:tcPr>
          <w:p>
            <w:pPr>
              <w:jc w:val="right"/>
              <w:rPr>
                <w:noProof/>
              </w:rPr>
            </w:pPr>
            <w:r>
              <w:rPr>
                <w:noProof/>
              </w:rPr>
              <w:t>233 048 865</w:t>
            </w:r>
          </w:p>
        </w:tc>
        <w:tc>
          <w:tcPr>
            <w:tcW w:w="2120" w:type="dxa"/>
          </w:tcPr>
          <w:p>
            <w:pPr>
              <w:jc w:val="right"/>
              <w:rPr>
                <w:noProof/>
              </w:rPr>
            </w:pPr>
            <w:r>
              <w:rPr>
                <w:noProof/>
              </w:rPr>
              <w:t>189 758 096</w:t>
            </w:r>
          </w:p>
        </w:tc>
      </w:tr>
      <w:tr>
        <w:tc>
          <w:tcPr>
            <w:tcW w:w="4219" w:type="dxa"/>
            <w:shd w:val="clear" w:color="auto" w:fill="auto"/>
          </w:tcPr>
          <w:p>
            <w:pPr>
              <w:rPr>
                <w:noProof/>
              </w:rPr>
            </w:pPr>
            <w:r>
              <w:rPr>
                <w:noProof/>
              </w:rPr>
              <w:t>Terjatve</w:t>
            </w:r>
          </w:p>
        </w:tc>
        <w:tc>
          <w:tcPr>
            <w:tcW w:w="2126" w:type="dxa"/>
            <w:shd w:val="clear" w:color="auto" w:fill="auto"/>
          </w:tcPr>
          <w:p>
            <w:pPr>
              <w:jc w:val="right"/>
              <w:rPr>
                <w:noProof/>
              </w:rPr>
            </w:pPr>
            <w:r>
              <w:rPr>
                <w:noProof/>
              </w:rPr>
              <w:t>1 290 863</w:t>
            </w:r>
          </w:p>
        </w:tc>
        <w:tc>
          <w:tcPr>
            <w:tcW w:w="2120" w:type="dxa"/>
          </w:tcPr>
          <w:p>
            <w:pPr>
              <w:jc w:val="right"/>
              <w:rPr>
                <w:noProof/>
              </w:rPr>
            </w:pPr>
            <w:r>
              <w:rPr>
                <w:noProof/>
              </w:rPr>
              <w:t>–</w:t>
            </w:r>
          </w:p>
        </w:tc>
      </w:tr>
      <w:tr>
        <w:tc>
          <w:tcPr>
            <w:tcW w:w="4219" w:type="dxa"/>
            <w:tcBorders>
              <w:bottom w:val="single" w:sz="4" w:space="0" w:color="auto"/>
            </w:tcBorders>
            <w:shd w:val="clear" w:color="auto" w:fill="auto"/>
          </w:tcPr>
          <w:p>
            <w:pPr>
              <w:rPr>
                <w:noProof/>
              </w:rPr>
            </w:pPr>
            <w:r>
              <w:rPr>
                <w:noProof/>
              </w:rPr>
              <w:t>Denarna sredstva in njihovi ustrezniki</w:t>
            </w:r>
          </w:p>
        </w:tc>
        <w:tc>
          <w:tcPr>
            <w:tcW w:w="2126" w:type="dxa"/>
            <w:tcBorders>
              <w:bottom w:val="single" w:sz="4" w:space="0" w:color="auto"/>
            </w:tcBorders>
            <w:shd w:val="clear" w:color="auto" w:fill="auto"/>
          </w:tcPr>
          <w:p>
            <w:pPr>
              <w:jc w:val="right"/>
              <w:rPr>
                <w:noProof/>
              </w:rPr>
            </w:pPr>
            <w:r>
              <w:rPr>
                <w:noProof/>
              </w:rPr>
              <w:t>42 799 336</w:t>
            </w:r>
          </w:p>
        </w:tc>
        <w:tc>
          <w:tcPr>
            <w:tcW w:w="2120" w:type="dxa"/>
            <w:tcBorders>
              <w:bottom w:val="single" w:sz="4" w:space="0" w:color="auto"/>
            </w:tcBorders>
          </w:tcPr>
          <w:p>
            <w:pPr>
              <w:jc w:val="right"/>
              <w:rPr>
                <w:noProof/>
              </w:rPr>
            </w:pPr>
            <w:r>
              <w:rPr>
                <w:noProof/>
              </w:rPr>
              <w:t>41 558 053</w:t>
            </w:r>
          </w:p>
        </w:tc>
      </w:tr>
      <w:tr>
        <w:tc>
          <w:tcPr>
            <w:tcW w:w="4219" w:type="dxa"/>
            <w:shd w:val="pct20" w:color="auto" w:fill="auto"/>
          </w:tcPr>
          <w:p>
            <w:pPr>
              <w:rPr>
                <w:noProof/>
              </w:rPr>
            </w:pPr>
            <w:r>
              <w:rPr>
                <w:noProof/>
              </w:rPr>
              <w:t>SKUPNA SREDSTVA</w:t>
            </w:r>
          </w:p>
        </w:tc>
        <w:tc>
          <w:tcPr>
            <w:tcW w:w="2126" w:type="dxa"/>
            <w:shd w:val="pct20" w:color="auto" w:fill="auto"/>
          </w:tcPr>
          <w:p>
            <w:pPr>
              <w:jc w:val="right"/>
              <w:rPr>
                <w:noProof/>
              </w:rPr>
            </w:pPr>
            <w:r>
              <w:rPr>
                <w:noProof/>
              </w:rPr>
              <w:t>2 589 290 798</w:t>
            </w:r>
          </w:p>
        </w:tc>
        <w:tc>
          <w:tcPr>
            <w:tcW w:w="2120" w:type="dxa"/>
            <w:shd w:val="pct20" w:color="auto" w:fill="auto"/>
          </w:tcPr>
          <w:p>
            <w:pPr>
              <w:jc w:val="right"/>
              <w:rPr>
                <w:noProof/>
              </w:rPr>
            </w:pPr>
            <w:r>
              <w:rPr>
                <w:noProof/>
              </w:rPr>
              <w:t>2 506 658 813</w:t>
            </w:r>
          </w:p>
        </w:tc>
      </w:tr>
    </w:tbl>
    <w:p>
      <w:pPr>
        <w:rPr>
          <w:noProof/>
        </w:rPr>
      </w:pPr>
    </w:p>
    <w:p>
      <w:pPr>
        <w:rPr>
          <w:noProof/>
        </w:rPr>
      </w:pPr>
    </w:p>
    <w:p>
      <w:pPr>
        <w:rPr>
          <w:noProof/>
        </w:rPr>
      </w:pPr>
      <w:r>
        <w:rPr>
          <w:noProof/>
        </w:rPr>
        <w:t>Bilanca stanja – obveznosti</w:t>
      </w:r>
    </w:p>
    <w:tbl>
      <w:tblPr>
        <w:tblW w:w="8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2126"/>
        <w:gridCol w:w="2120"/>
      </w:tblGrid>
      <w:tr>
        <w:tc>
          <w:tcPr>
            <w:tcW w:w="4219" w:type="dxa"/>
            <w:tcBorders>
              <w:bottom w:val="single" w:sz="4" w:space="0" w:color="auto"/>
            </w:tcBorders>
            <w:shd w:val="clear" w:color="auto" w:fill="auto"/>
          </w:tcPr>
          <w:p>
            <w:pPr>
              <w:jc w:val="center"/>
              <w:rPr>
                <w:noProof/>
              </w:rPr>
            </w:pPr>
          </w:p>
        </w:tc>
        <w:tc>
          <w:tcPr>
            <w:tcW w:w="2126" w:type="dxa"/>
            <w:tcBorders>
              <w:bottom w:val="single" w:sz="4" w:space="0" w:color="auto"/>
            </w:tcBorders>
            <w:shd w:val="clear" w:color="auto" w:fill="auto"/>
          </w:tcPr>
          <w:p>
            <w:pPr>
              <w:jc w:val="center"/>
              <w:rPr>
                <w:noProof/>
              </w:rPr>
            </w:pPr>
            <w:r>
              <w:rPr>
                <w:noProof/>
              </w:rPr>
              <w:t>31. december 2019</w:t>
            </w:r>
          </w:p>
        </w:tc>
        <w:tc>
          <w:tcPr>
            <w:tcW w:w="2120" w:type="dxa"/>
            <w:tcBorders>
              <w:bottom w:val="single" w:sz="4" w:space="0" w:color="auto"/>
            </w:tcBorders>
          </w:tcPr>
          <w:p>
            <w:pPr>
              <w:jc w:val="center"/>
              <w:rPr>
                <w:noProof/>
              </w:rPr>
            </w:pPr>
            <w:r>
              <w:rPr>
                <w:noProof/>
              </w:rPr>
              <w:t>ponedeljek, 31. december 2018</w:t>
            </w:r>
          </w:p>
        </w:tc>
      </w:tr>
      <w:tr>
        <w:tc>
          <w:tcPr>
            <w:tcW w:w="4219" w:type="dxa"/>
            <w:shd w:val="pct20" w:color="auto" w:fill="auto"/>
          </w:tcPr>
          <w:p>
            <w:pPr>
              <w:rPr>
                <w:noProof/>
                <w14:shadow w14:blurRad="50800" w14:dist="38100" w14:dir="2700000" w14:sx="100000" w14:sy="100000" w14:kx="0" w14:ky="0" w14:algn="tl">
                  <w14:srgbClr w14:val="000000">
                    <w14:alpha w14:val="60000"/>
                  </w14:srgbClr>
                </w14:shadow>
              </w:rPr>
            </w:pPr>
            <w:r>
              <w:rPr>
                <w:noProof/>
                <w14:shadow w14:blurRad="50800" w14:dist="38100" w14:dir="2700000" w14:sx="100000" w14:sy="100000" w14:kx="0" w14:ky="0" w14:algn="tl">
                  <w14:srgbClr w14:val="000000">
                    <w14:alpha w14:val="60000"/>
                  </w14:srgbClr>
                </w14:shadow>
              </w:rPr>
              <w:t>SREDSTVA PLAČNIKOV</w:t>
            </w:r>
          </w:p>
        </w:tc>
        <w:tc>
          <w:tcPr>
            <w:tcW w:w="2126" w:type="dxa"/>
            <w:shd w:val="pct20" w:color="auto" w:fill="auto"/>
          </w:tcPr>
          <w:p>
            <w:pPr>
              <w:jc w:val="right"/>
              <w:rPr>
                <w:noProof/>
                <w14:shadow w14:blurRad="50800" w14:dist="38100" w14:dir="2700000" w14:sx="100000" w14:sy="100000" w14:kx="0" w14:ky="0" w14:algn="tl">
                  <w14:srgbClr w14:val="000000">
                    <w14:alpha w14:val="60000"/>
                  </w14:srgbClr>
                </w14:shadow>
              </w:rPr>
            </w:pPr>
            <w:r>
              <w:rPr>
                <w:noProof/>
                <w14:shadow w14:blurRad="50800" w14:dist="38100" w14:dir="2700000" w14:sx="100000" w14:sy="100000" w14:kx="0" w14:ky="0" w14:algn="tl">
                  <w14:srgbClr w14:val="000000">
                    <w14:alpha w14:val="60000"/>
                  </w14:srgbClr>
                </w14:shadow>
              </w:rPr>
              <w:t>2 407 419 308</w:t>
            </w:r>
          </w:p>
        </w:tc>
        <w:tc>
          <w:tcPr>
            <w:tcW w:w="2120" w:type="dxa"/>
            <w:shd w:val="pct20" w:color="auto" w:fill="auto"/>
          </w:tcPr>
          <w:p>
            <w:pPr>
              <w:jc w:val="right"/>
              <w:rPr>
                <w:noProof/>
                <w14:shadow w14:blurRad="50800" w14:dist="38100" w14:dir="2700000" w14:sx="100000" w14:sy="100000" w14:kx="0" w14:ky="0" w14:algn="tl">
                  <w14:srgbClr w14:val="000000">
                    <w14:alpha w14:val="60000"/>
                  </w14:srgbClr>
                </w14:shadow>
              </w:rPr>
            </w:pPr>
            <w:r>
              <w:rPr>
                <w:noProof/>
              </w:rPr>
              <w:t>2 295 687 144</w:t>
            </w:r>
          </w:p>
        </w:tc>
      </w:tr>
      <w:tr>
        <w:trPr>
          <w:trHeight w:val="614"/>
        </w:trPr>
        <w:tc>
          <w:tcPr>
            <w:tcW w:w="4219" w:type="dxa"/>
            <w:shd w:val="clear" w:color="auto" w:fill="auto"/>
          </w:tcPr>
          <w:p>
            <w:pPr>
              <w:rPr>
                <w:noProof/>
              </w:rPr>
            </w:pPr>
            <w:r>
              <w:rPr>
                <w:noProof/>
              </w:rPr>
              <w:t>Prispevek Evropske komisije</w:t>
            </w:r>
          </w:p>
        </w:tc>
        <w:tc>
          <w:tcPr>
            <w:tcW w:w="2126" w:type="dxa"/>
            <w:shd w:val="clear" w:color="auto" w:fill="auto"/>
          </w:tcPr>
          <w:p>
            <w:pPr>
              <w:jc w:val="right"/>
              <w:rPr>
                <w:noProof/>
              </w:rPr>
            </w:pPr>
            <w:r>
              <w:rPr>
                <w:noProof/>
              </w:rPr>
              <w:t>1 950 195 297</w:t>
            </w:r>
          </w:p>
        </w:tc>
        <w:tc>
          <w:tcPr>
            <w:tcW w:w="2120" w:type="dxa"/>
          </w:tcPr>
          <w:p>
            <w:pPr>
              <w:jc w:val="right"/>
              <w:rPr>
                <w:noProof/>
              </w:rPr>
            </w:pPr>
            <w:r>
              <w:rPr>
                <w:noProof/>
              </w:rPr>
              <w:t>1 846 972 362</w:t>
            </w:r>
          </w:p>
        </w:tc>
      </w:tr>
      <w:tr>
        <w:tc>
          <w:tcPr>
            <w:tcW w:w="4219" w:type="dxa"/>
            <w:shd w:val="clear" w:color="auto" w:fill="auto"/>
          </w:tcPr>
          <w:p>
            <w:pPr>
              <w:rPr>
                <w:noProof/>
              </w:rPr>
            </w:pPr>
            <w:r>
              <w:rPr>
                <w:noProof/>
              </w:rPr>
              <w:t>Rezerva za pošteno vrednost</w:t>
            </w:r>
          </w:p>
        </w:tc>
        <w:tc>
          <w:tcPr>
            <w:tcW w:w="2126" w:type="dxa"/>
            <w:shd w:val="clear" w:color="auto" w:fill="auto"/>
          </w:tcPr>
          <w:p>
            <w:pPr>
              <w:jc w:val="right"/>
              <w:rPr>
                <w:noProof/>
              </w:rPr>
            </w:pPr>
            <w:r>
              <w:rPr>
                <w:noProof/>
              </w:rPr>
              <w:t>20 859 023</w:t>
            </w:r>
          </w:p>
        </w:tc>
        <w:tc>
          <w:tcPr>
            <w:tcW w:w="2120" w:type="dxa"/>
          </w:tcPr>
          <w:p>
            <w:pPr>
              <w:jc w:val="right"/>
              <w:rPr>
                <w:noProof/>
              </w:rPr>
            </w:pPr>
            <w:r>
              <w:rPr>
                <w:noProof/>
              </w:rPr>
              <w:t>12 227 192</w:t>
            </w:r>
          </w:p>
        </w:tc>
      </w:tr>
      <w:tr>
        <w:tc>
          <w:tcPr>
            <w:tcW w:w="4219" w:type="dxa"/>
            <w:tcBorders>
              <w:bottom w:val="single" w:sz="4" w:space="0" w:color="auto"/>
            </w:tcBorders>
            <w:shd w:val="clear" w:color="auto" w:fill="auto"/>
          </w:tcPr>
          <w:p>
            <w:pPr>
              <w:rPr>
                <w:noProof/>
              </w:rPr>
            </w:pPr>
            <w:r>
              <w:rPr>
                <w:noProof/>
              </w:rPr>
              <w:t>Zadržani dobički</w:t>
            </w:r>
          </w:p>
        </w:tc>
        <w:tc>
          <w:tcPr>
            <w:tcW w:w="2126" w:type="dxa"/>
            <w:tcBorders>
              <w:bottom w:val="single" w:sz="4" w:space="0" w:color="auto"/>
            </w:tcBorders>
            <w:shd w:val="clear" w:color="auto" w:fill="auto"/>
          </w:tcPr>
          <w:p>
            <w:pPr>
              <w:jc w:val="right"/>
              <w:rPr>
                <w:noProof/>
              </w:rPr>
            </w:pPr>
            <w:r>
              <w:rPr>
                <w:noProof/>
              </w:rPr>
              <w:t>436 364 988</w:t>
            </w:r>
          </w:p>
        </w:tc>
        <w:tc>
          <w:tcPr>
            <w:tcW w:w="2120" w:type="dxa"/>
            <w:tcBorders>
              <w:bottom w:val="single" w:sz="4" w:space="0" w:color="auto"/>
            </w:tcBorders>
          </w:tcPr>
          <w:p>
            <w:pPr>
              <w:jc w:val="right"/>
              <w:rPr>
                <w:noProof/>
              </w:rPr>
            </w:pPr>
            <w:r>
              <w:rPr>
                <w:noProof/>
              </w:rPr>
              <w:t>436 487 590</w:t>
            </w:r>
          </w:p>
        </w:tc>
      </w:tr>
      <w:tr>
        <w:tc>
          <w:tcPr>
            <w:tcW w:w="4219" w:type="dxa"/>
            <w:shd w:val="pct20" w:color="auto" w:fill="auto"/>
          </w:tcPr>
          <w:p>
            <w:pPr>
              <w:rPr>
                <w:noProof/>
              </w:rPr>
            </w:pPr>
            <w:r>
              <w:rPr>
                <w:noProof/>
                <w14:shadow w14:blurRad="50800" w14:dist="38100" w14:dir="2700000" w14:sx="100000" w14:sy="100000" w14:kx="0" w14:ky="0" w14:algn="tl">
                  <w14:srgbClr w14:val="000000">
                    <w14:alpha w14:val="60000"/>
                  </w14:srgbClr>
                </w14:shadow>
              </w:rPr>
              <w:t>NEKRATKOROČNE OBVEZNOSTI</w:t>
            </w:r>
          </w:p>
        </w:tc>
        <w:tc>
          <w:tcPr>
            <w:tcW w:w="2126" w:type="dxa"/>
            <w:shd w:val="pct20" w:color="auto" w:fill="auto"/>
          </w:tcPr>
          <w:p>
            <w:pPr>
              <w:jc w:val="right"/>
              <w:rPr>
                <w:noProof/>
              </w:rPr>
            </w:pPr>
            <w:r>
              <w:rPr>
                <w:noProof/>
              </w:rPr>
              <w:t>111 685 549</w:t>
            </w:r>
          </w:p>
        </w:tc>
        <w:tc>
          <w:tcPr>
            <w:tcW w:w="2120" w:type="dxa"/>
            <w:shd w:val="pct20" w:color="auto" w:fill="auto"/>
          </w:tcPr>
          <w:p>
            <w:pPr>
              <w:jc w:val="right"/>
              <w:rPr>
                <w:noProof/>
              </w:rPr>
            </w:pPr>
            <w:r>
              <w:rPr>
                <w:noProof/>
              </w:rPr>
              <w:t>159 153 609</w:t>
            </w:r>
          </w:p>
        </w:tc>
      </w:tr>
      <w:tr>
        <w:tc>
          <w:tcPr>
            <w:tcW w:w="4219" w:type="dxa"/>
            <w:tcBorders>
              <w:bottom w:val="single" w:sz="4" w:space="0" w:color="auto"/>
            </w:tcBorders>
            <w:shd w:val="clear" w:color="auto" w:fill="auto"/>
          </w:tcPr>
          <w:p>
            <w:pPr>
              <w:rPr>
                <w:noProof/>
              </w:rPr>
            </w:pPr>
            <w:r>
              <w:rPr>
                <w:noProof/>
              </w:rPr>
              <w:t>Finančne rezervacije</w:t>
            </w:r>
          </w:p>
        </w:tc>
        <w:tc>
          <w:tcPr>
            <w:tcW w:w="2126" w:type="dxa"/>
            <w:tcBorders>
              <w:bottom w:val="single" w:sz="4" w:space="0" w:color="auto"/>
            </w:tcBorders>
            <w:shd w:val="clear" w:color="auto" w:fill="auto"/>
          </w:tcPr>
          <w:p>
            <w:pPr>
              <w:jc w:val="right"/>
              <w:rPr>
                <w:noProof/>
              </w:rPr>
            </w:pPr>
            <w:r>
              <w:rPr>
                <w:noProof/>
              </w:rPr>
              <w:t>111 685 549</w:t>
            </w:r>
          </w:p>
        </w:tc>
        <w:tc>
          <w:tcPr>
            <w:tcW w:w="2120" w:type="dxa"/>
            <w:tcBorders>
              <w:bottom w:val="single" w:sz="4" w:space="0" w:color="auto"/>
            </w:tcBorders>
          </w:tcPr>
          <w:p>
            <w:pPr>
              <w:jc w:val="right"/>
              <w:rPr>
                <w:noProof/>
              </w:rPr>
            </w:pPr>
            <w:r>
              <w:rPr>
                <w:noProof/>
              </w:rPr>
              <w:t>159 153 609</w:t>
            </w:r>
          </w:p>
        </w:tc>
      </w:tr>
      <w:tr>
        <w:tc>
          <w:tcPr>
            <w:tcW w:w="4219" w:type="dxa"/>
            <w:shd w:val="pct20" w:color="auto" w:fill="auto"/>
          </w:tcPr>
          <w:p>
            <w:pPr>
              <w:rPr>
                <w:noProof/>
              </w:rPr>
            </w:pPr>
            <w:r>
              <w:rPr>
                <w:noProof/>
                <w14:shadow w14:blurRad="50800" w14:dist="38100" w14:dir="2700000" w14:sx="100000" w14:sy="100000" w14:kx="0" w14:ky="0" w14:algn="tl">
                  <w14:srgbClr w14:val="000000">
                    <w14:alpha w14:val="60000"/>
                  </w14:srgbClr>
                </w14:shadow>
              </w:rPr>
              <w:t>KRATKOROČNE OBVEZNOSTI</w:t>
            </w:r>
          </w:p>
        </w:tc>
        <w:tc>
          <w:tcPr>
            <w:tcW w:w="2126" w:type="dxa"/>
            <w:shd w:val="pct20" w:color="auto" w:fill="auto"/>
          </w:tcPr>
          <w:p>
            <w:pPr>
              <w:jc w:val="right"/>
              <w:rPr>
                <w:noProof/>
              </w:rPr>
            </w:pPr>
            <w:r>
              <w:rPr>
                <w:noProof/>
              </w:rPr>
              <w:t>70 185 941</w:t>
            </w:r>
          </w:p>
        </w:tc>
        <w:tc>
          <w:tcPr>
            <w:tcW w:w="2120" w:type="dxa"/>
            <w:shd w:val="pct20" w:color="auto" w:fill="auto"/>
          </w:tcPr>
          <w:p>
            <w:pPr>
              <w:jc w:val="right"/>
              <w:rPr>
                <w:noProof/>
              </w:rPr>
            </w:pPr>
            <w:r>
              <w:rPr>
                <w:noProof/>
              </w:rPr>
              <w:t>51 818 060</w:t>
            </w:r>
          </w:p>
        </w:tc>
      </w:tr>
      <w:tr>
        <w:tc>
          <w:tcPr>
            <w:tcW w:w="4219" w:type="dxa"/>
            <w:tcBorders>
              <w:bottom w:val="single" w:sz="4" w:space="0" w:color="auto"/>
            </w:tcBorders>
            <w:shd w:val="clear" w:color="auto" w:fill="auto"/>
          </w:tcPr>
          <w:p>
            <w:pPr>
              <w:rPr>
                <w:noProof/>
              </w:rPr>
            </w:pPr>
            <w:r>
              <w:rPr>
                <w:noProof/>
              </w:rPr>
              <w:t>Finančne rezervacije</w:t>
            </w:r>
          </w:p>
        </w:tc>
        <w:tc>
          <w:tcPr>
            <w:tcW w:w="2126" w:type="dxa"/>
            <w:tcBorders>
              <w:bottom w:val="single" w:sz="4" w:space="0" w:color="auto"/>
            </w:tcBorders>
            <w:shd w:val="clear" w:color="auto" w:fill="auto"/>
          </w:tcPr>
          <w:p>
            <w:pPr>
              <w:jc w:val="right"/>
              <w:rPr>
                <w:noProof/>
              </w:rPr>
            </w:pPr>
            <w:r>
              <w:rPr>
                <w:noProof/>
              </w:rPr>
              <w:t>49 709 547</w:t>
            </w:r>
          </w:p>
        </w:tc>
        <w:tc>
          <w:tcPr>
            <w:tcW w:w="2120" w:type="dxa"/>
            <w:tcBorders>
              <w:bottom w:val="single" w:sz="4" w:space="0" w:color="auto"/>
            </w:tcBorders>
          </w:tcPr>
          <w:p>
            <w:pPr>
              <w:jc w:val="right"/>
              <w:rPr>
                <w:noProof/>
              </w:rPr>
            </w:pPr>
            <w:r>
              <w:rPr>
                <w:noProof/>
              </w:rPr>
              <w:t>50 777 871</w:t>
            </w:r>
          </w:p>
        </w:tc>
      </w:tr>
      <w:tr>
        <w:tc>
          <w:tcPr>
            <w:tcW w:w="4219" w:type="dxa"/>
            <w:tcBorders>
              <w:bottom w:val="single" w:sz="4" w:space="0" w:color="auto"/>
            </w:tcBorders>
            <w:shd w:val="clear" w:color="auto" w:fill="auto"/>
          </w:tcPr>
          <w:p>
            <w:pPr>
              <w:rPr>
                <w:noProof/>
              </w:rPr>
            </w:pPr>
            <w:r>
              <w:rPr>
                <w:noProof/>
              </w:rPr>
              <w:t>Obveznosti iz finančnih jamstev</w:t>
            </w:r>
          </w:p>
        </w:tc>
        <w:tc>
          <w:tcPr>
            <w:tcW w:w="2126" w:type="dxa"/>
            <w:tcBorders>
              <w:bottom w:val="single" w:sz="4" w:space="0" w:color="auto"/>
            </w:tcBorders>
            <w:shd w:val="clear" w:color="auto" w:fill="auto"/>
          </w:tcPr>
          <w:p>
            <w:pPr>
              <w:jc w:val="right"/>
              <w:rPr>
                <w:noProof/>
              </w:rPr>
            </w:pPr>
            <w:r>
              <w:rPr>
                <w:noProof/>
              </w:rPr>
              <w:t>19 590 000</w:t>
            </w:r>
          </w:p>
        </w:tc>
        <w:tc>
          <w:tcPr>
            <w:tcW w:w="2120" w:type="dxa"/>
            <w:tcBorders>
              <w:bottom w:val="single" w:sz="4" w:space="0" w:color="auto"/>
            </w:tcBorders>
          </w:tcPr>
          <w:p>
            <w:pPr>
              <w:jc w:val="right"/>
              <w:rPr>
                <w:noProof/>
              </w:rPr>
            </w:pPr>
          </w:p>
        </w:tc>
      </w:tr>
      <w:tr>
        <w:tc>
          <w:tcPr>
            <w:tcW w:w="4219" w:type="dxa"/>
            <w:tcBorders>
              <w:bottom w:val="single" w:sz="4" w:space="0" w:color="auto"/>
            </w:tcBorders>
            <w:shd w:val="clear" w:color="auto" w:fill="auto"/>
          </w:tcPr>
          <w:p>
            <w:pPr>
              <w:rPr>
                <w:noProof/>
              </w:rPr>
            </w:pPr>
            <w:r>
              <w:rPr>
                <w:noProof/>
              </w:rPr>
              <w:t>Obveznosti iz poslovanja</w:t>
            </w:r>
          </w:p>
        </w:tc>
        <w:tc>
          <w:tcPr>
            <w:tcW w:w="2126" w:type="dxa"/>
            <w:tcBorders>
              <w:bottom w:val="single" w:sz="4" w:space="0" w:color="auto"/>
            </w:tcBorders>
            <w:shd w:val="clear" w:color="auto" w:fill="auto"/>
          </w:tcPr>
          <w:p>
            <w:pPr>
              <w:jc w:val="right"/>
              <w:rPr>
                <w:noProof/>
              </w:rPr>
            </w:pPr>
            <w:r>
              <w:rPr>
                <w:noProof/>
              </w:rPr>
              <w:t>886 394</w:t>
            </w:r>
          </w:p>
        </w:tc>
        <w:tc>
          <w:tcPr>
            <w:tcW w:w="2120" w:type="dxa"/>
            <w:tcBorders>
              <w:bottom w:val="single" w:sz="4" w:space="0" w:color="auto"/>
            </w:tcBorders>
          </w:tcPr>
          <w:p>
            <w:pPr>
              <w:jc w:val="right"/>
              <w:rPr>
                <w:noProof/>
              </w:rPr>
            </w:pPr>
            <w:r>
              <w:rPr>
                <w:noProof/>
              </w:rPr>
              <w:t>1 040 189</w:t>
            </w:r>
          </w:p>
        </w:tc>
      </w:tr>
      <w:tr>
        <w:tc>
          <w:tcPr>
            <w:tcW w:w="4219" w:type="dxa"/>
            <w:shd w:val="pct20" w:color="auto" w:fill="auto"/>
          </w:tcPr>
          <w:p>
            <w:pPr>
              <w:jc w:val="left"/>
              <w:rPr>
                <w:noProof/>
              </w:rPr>
            </w:pPr>
            <w:r>
              <w:rPr>
                <w:noProof/>
                <w14:shadow w14:blurRad="50800" w14:dist="38100" w14:dir="2700000" w14:sx="100000" w14:sy="100000" w14:kx="0" w14:ky="0" w14:algn="tl">
                  <w14:srgbClr w14:val="000000">
                    <w14:alpha w14:val="60000"/>
                  </w14:srgbClr>
                </w14:shadow>
              </w:rPr>
              <w:t>SKUPNA SREDSTVA + OBVEZNOSTI PLAČNIKOV</w:t>
            </w:r>
          </w:p>
        </w:tc>
        <w:tc>
          <w:tcPr>
            <w:tcW w:w="2126" w:type="dxa"/>
            <w:shd w:val="pct20" w:color="auto" w:fill="auto"/>
          </w:tcPr>
          <w:p>
            <w:pPr>
              <w:jc w:val="right"/>
              <w:rPr>
                <w:noProof/>
              </w:rPr>
            </w:pPr>
            <w:r>
              <w:rPr>
                <w:noProof/>
              </w:rPr>
              <w:t>2 589 290 798</w:t>
            </w:r>
          </w:p>
        </w:tc>
        <w:tc>
          <w:tcPr>
            <w:tcW w:w="2120" w:type="dxa"/>
            <w:shd w:val="pct20" w:color="auto" w:fill="auto"/>
          </w:tcPr>
          <w:p>
            <w:pPr>
              <w:jc w:val="right"/>
              <w:rPr>
                <w:noProof/>
              </w:rPr>
            </w:pPr>
            <w:r>
              <w:rPr>
                <w:noProof/>
              </w:rPr>
              <w:t>2 506 658 813</w:t>
            </w:r>
          </w:p>
        </w:tc>
      </w:tr>
    </w:tbl>
    <w:p>
      <w:pPr>
        <w:rPr>
          <w:noProof/>
        </w:rPr>
      </w:pPr>
      <w:r>
        <w:rPr>
          <w:noProof/>
        </w:rPr>
        <w:t>Razlika 239,4 milijona EUR med skupno predkonsolidirano knjigovodsko vrednostjo Sklada (2 589 290 798 EUR) in vrednostjo Sklada v računovodskih izkazih, ki jih je pripravila EIB (2 828 738 292,88 EUR), je predvsem posledica naslednjega:</w:t>
      </w:r>
    </w:p>
    <w:p>
      <w:pPr>
        <w:numPr>
          <w:ilvl w:val="0"/>
          <w:numId w:val="13"/>
        </w:numPr>
        <w:tabs>
          <w:tab w:val="clear" w:pos="850"/>
        </w:tabs>
        <w:ind w:left="360" w:hanging="360"/>
        <w:rPr>
          <w:noProof/>
        </w:rPr>
      </w:pPr>
      <w:r>
        <w:rPr>
          <w:noProof/>
        </w:rPr>
        <w:t>Predkonsolidirana bilanca stanja (sredstva) vključuje:</w:t>
      </w:r>
    </w:p>
    <w:p>
      <w:pPr>
        <w:numPr>
          <w:ilvl w:val="1"/>
          <w:numId w:val="13"/>
        </w:numPr>
        <w:ind w:hanging="283"/>
        <w:rPr>
          <w:noProof/>
        </w:rPr>
      </w:pPr>
      <w:r>
        <w:rPr>
          <w:noProof/>
        </w:rPr>
        <w:t>vse zneske, prenesene na EU kot posledica plačil zahtevkov EIB iz naslova jamstva za neodplačane obroke posojila (zaostala plačila ter obračunane zamudne obresti); Vendar so bili ti zneski zaradi političnih razmer v Siriji in na podlagi odločitve računovodje Evropske komisije v računovodskih izkazih za leto 2019 v celoti oslabljeni.</w:t>
      </w:r>
    </w:p>
    <w:p>
      <w:pPr>
        <w:numPr>
          <w:ilvl w:val="1"/>
          <w:numId w:val="13"/>
        </w:numPr>
        <w:ind w:hanging="283"/>
        <w:rPr>
          <w:noProof/>
        </w:rPr>
      </w:pPr>
      <w:r>
        <w:rPr>
          <w:noProof/>
        </w:rPr>
        <w:t>terjatev v višini 0,7 milijona EUR od EIB za delno izterjavo posojila letališču Enfidha (Tunizija), ki ga je decembra 2019 izterjala EIB in januarja 2020 knjižila v dobro bančnega računa Jamstvenega sklada.</w:t>
      </w:r>
    </w:p>
    <w:p>
      <w:pPr>
        <w:numPr>
          <w:ilvl w:val="0"/>
          <w:numId w:val="13"/>
        </w:numPr>
        <w:tabs>
          <w:tab w:val="clear" w:pos="850"/>
        </w:tabs>
        <w:ind w:left="360" w:hanging="360"/>
        <w:rPr>
          <w:noProof/>
        </w:rPr>
      </w:pPr>
      <w:r>
        <w:rPr>
          <w:noProof/>
        </w:rPr>
        <w:t>Predkonsolidirana bilanca stanja ne vključuje prispevka v višini 240,2 milijona EUR, ki je bil v letu 2020 prenesen iz proračuna EU v Sklad, saj se ta terjatev izravna z ustreznimi obveznostmi iz poslovanja v konsolidiranih računovodskih izkazih EU.</w:t>
      </w:r>
    </w:p>
    <w:p>
      <w:pPr>
        <w:pStyle w:val="ListBullet"/>
        <w:tabs>
          <w:tab w:val="clear" w:pos="283"/>
        </w:tabs>
        <w:ind w:left="360" w:hanging="360"/>
        <w:rPr>
          <w:noProof/>
        </w:rPr>
      </w:pPr>
      <w:r>
        <w:rPr>
          <w:noProof/>
        </w:rPr>
        <w:t>V računovodskih izkazih, ki jih je pripravila EIB, so plačila zahtevkov EIB za unovčitev jamstev iz Jamstvenega sklada (in morebitne naknadne izterjave in zamudne obresti) pripoznana kot zmanjšanja (povečanja) neto premoženja (prispevek EU). V predkonsolidiranih računovodskih izkazih zneski, izplačani na podlagi zahtevkov EIB, niso odšteti od neto premoženja, saj postanejo prenesena sredstva. Povezani zneski se knjižijo kot prihodki (obračunane zamudne obresti in kazni, dobički iz tečajnih razlik) ali odhodki (rezervacije, oslabitve, obveznosti iz finančnih jamstev, izgube iz tečajnih razlik). Zato prihaja do stalnih razlik med postavkami neto premoženja (prispevek EU in zadržani dobički), pripoznanih v računovodskih izkazih, ki jih pripravi EIB, in predkonsolidiranih računovodskih izkazih, ki jih pripravi Evropska komisija.</w:t>
      </w:r>
    </w:p>
    <w:p>
      <w:pPr>
        <w:pStyle w:val="ListBullet"/>
        <w:numPr>
          <w:ilvl w:val="0"/>
          <w:numId w:val="0"/>
        </w:numPr>
        <w:ind w:left="360"/>
        <w:rPr>
          <w:noProof/>
        </w:rPr>
      </w:pPr>
    </w:p>
    <w:p>
      <w:pPr>
        <w:pStyle w:val="ManualHeading2"/>
        <w:ind w:left="0" w:firstLine="0"/>
        <w:rPr>
          <w:noProof/>
        </w:rPr>
      </w:pPr>
      <w:bookmarkStart w:id="32" w:name="_Toc45275170"/>
      <w:r>
        <w:rPr>
          <w:noProof/>
        </w:rPr>
        <w:t>3.2</w:t>
      </w:r>
      <w:r>
        <w:rPr>
          <w:noProof/>
        </w:rPr>
        <w:tab/>
        <w:t>Predkonsolidirani izkaz poslovnega izida</w:t>
      </w:r>
      <w:bookmarkEnd w:id="32"/>
    </w:p>
    <w:p>
      <w:pPr>
        <w:rPr>
          <w:noProof/>
        </w:rPr>
      </w:pPr>
      <w:r>
        <w:rPr>
          <w:noProof/>
        </w:rPr>
        <w:t xml:space="preserve">Na enak način kot bilanca stanja se za vključitev v konsolidirane računovodske izkaze EU pripravi tudi predkonsolidiran izkaz poslovnega izida. </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768"/>
        <w:gridCol w:w="1776"/>
      </w:tblGrid>
      <w:tr>
        <w:tc>
          <w:tcPr>
            <w:tcW w:w="4786" w:type="dxa"/>
            <w:shd w:val="clear" w:color="auto" w:fill="auto"/>
          </w:tcPr>
          <w:p>
            <w:pPr>
              <w:jc w:val="center"/>
              <w:rPr>
                <w:noProof/>
              </w:rPr>
            </w:pPr>
          </w:p>
        </w:tc>
        <w:tc>
          <w:tcPr>
            <w:tcW w:w="1768" w:type="dxa"/>
            <w:shd w:val="clear" w:color="auto" w:fill="auto"/>
          </w:tcPr>
          <w:p>
            <w:pPr>
              <w:jc w:val="center"/>
              <w:rPr>
                <w:noProof/>
              </w:rPr>
            </w:pPr>
            <w:r>
              <w:rPr>
                <w:noProof/>
              </w:rPr>
              <w:t>2019</w:t>
            </w:r>
          </w:p>
        </w:tc>
        <w:tc>
          <w:tcPr>
            <w:tcW w:w="1776" w:type="dxa"/>
          </w:tcPr>
          <w:p>
            <w:pPr>
              <w:jc w:val="center"/>
              <w:rPr>
                <w:noProof/>
              </w:rPr>
            </w:pPr>
            <w:r>
              <w:rPr>
                <w:noProof/>
              </w:rPr>
              <w:t>2018</w:t>
            </w:r>
          </w:p>
        </w:tc>
      </w:tr>
      <w:tr>
        <w:tc>
          <w:tcPr>
            <w:tcW w:w="4786" w:type="dxa"/>
            <w:shd w:val="clear" w:color="auto" w:fill="auto"/>
          </w:tcPr>
          <w:p>
            <w:pPr>
              <w:rPr>
                <w:noProof/>
              </w:rPr>
            </w:pPr>
            <w:r>
              <w:rPr>
                <w:noProof/>
              </w:rPr>
              <w:t>Prihodki iz poslovanja</w:t>
            </w:r>
          </w:p>
        </w:tc>
        <w:tc>
          <w:tcPr>
            <w:tcW w:w="1768" w:type="dxa"/>
            <w:shd w:val="clear" w:color="auto" w:fill="auto"/>
          </w:tcPr>
          <w:p>
            <w:pPr>
              <w:jc w:val="right"/>
              <w:rPr>
                <w:noProof/>
              </w:rPr>
            </w:pPr>
            <w:r>
              <w:rPr>
                <w:noProof/>
              </w:rPr>
              <w:t>266 252</w:t>
            </w:r>
          </w:p>
        </w:tc>
        <w:tc>
          <w:tcPr>
            <w:tcW w:w="1776" w:type="dxa"/>
          </w:tcPr>
          <w:p>
            <w:pPr>
              <w:jc w:val="right"/>
              <w:rPr>
                <w:noProof/>
              </w:rPr>
            </w:pPr>
            <w:r>
              <w:rPr>
                <w:noProof/>
              </w:rPr>
              <w:t>2 928 446</w:t>
            </w:r>
          </w:p>
        </w:tc>
      </w:tr>
      <w:tr>
        <w:tc>
          <w:tcPr>
            <w:tcW w:w="4786" w:type="dxa"/>
            <w:tcBorders>
              <w:bottom w:val="single" w:sz="4" w:space="0" w:color="auto"/>
            </w:tcBorders>
            <w:shd w:val="clear" w:color="auto" w:fill="auto"/>
          </w:tcPr>
          <w:p>
            <w:pPr>
              <w:rPr>
                <w:noProof/>
              </w:rPr>
            </w:pPr>
            <w:r>
              <w:rPr>
                <w:noProof/>
              </w:rPr>
              <w:t>Stroški iz poslovanja</w:t>
            </w:r>
          </w:p>
        </w:tc>
        <w:tc>
          <w:tcPr>
            <w:tcW w:w="1768" w:type="dxa"/>
            <w:tcBorders>
              <w:bottom w:val="single" w:sz="4" w:space="0" w:color="auto"/>
            </w:tcBorders>
            <w:shd w:val="clear" w:color="auto" w:fill="auto"/>
          </w:tcPr>
          <w:p>
            <w:pPr>
              <w:jc w:val="right"/>
              <w:rPr>
                <w:noProof/>
              </w:rPr>
            </w:pPr>
            <w:r>
              <w:rPr>
                <w:noProof/>
              </w:rPr>
              <w:t>(3 494 876)</w:t>
            </w:r>
          </w:p>
        </w:tc>
        <w:tc>
          <w:tcPr>
            <w:tcW w:w="1776" w:type="dxa"/>
            <w:tcBorders>
              <w:bottom w:val="single" w:sz="4" w:space="0" w:color="auto"/>
            </w:tcBorders>
          </w:tcPr>
          <w:p>
            <w:pPr>
              <w:jc w:val="right"/>
              <w:rPr>
                <w:noProof/>
              </w:rPr>
            </w:pPr>
            <w:r>
              <w:rPr>
                <w:noProof/>
              </w:rPr>
              <w:t>(4 876 241)</w:t>
            </w:r>
          </w:p>
        </w:tc>
      </w:tr>
      <w:tr>
        <w:tc>
          <w:tcPr>
            <w:tcW w:w="4786" w:type="dxa"/>
            <w:shd w:val="pct20" w:color="auto" w:fill="auto"/>
          </w:tcPr>
          <w:p>
            <w:pPr>
              <w:rPr>
                <w:noProof/>
              </w:rPr>
            </w:pPr>
            <w:r>
              <w:rPr>
                <w:noProof/>
                <w14:shadow w14:blurRad="50800" w14:dist="38100" w14:dir="2700000" w14:sx="100000" w14:sy="100000" w14:kx="0" w14:ky="0" w14:algn="tl">
                  <w14:srgbClr w14:val="000000">
                    <w14:alpha w14:val="60000"/>
                  </w14:srgbClr>
                </w14:shadow>
              </w:rPr>
              <w:t>REZULTAT IZ POSLOVANJA</w:t>
            </w:r>
          </w:p>
        </w:tc>
        <w:tc>
          <w:tcPr>
            <w:tcW w:w="1768" w:type="dxa"/>
            <w:shd w:val="pct20" w:color="auto" w:fill="auto"/>
          </w:tcPr>
          <w:p>
            <w:pPr>
              <w:jc w:val="right"/>
              <w:rPr>
                <w:noProof/>
              </w:rPr>
            </w:pPr>
            <w:r>
              <w:rPr>
                <w:noProof/>
              </w:rPr>
              <w:t>(3 228 615)</w:t>
            </w:r>
          </w:p>
        </w:tc>
        <w:tc>
          <w:tcPr>
            <w:tcW w:w="1776" w:type="dxa"/>
            <w:shd w:val="pct20" w:color="auto" w:fill="auto"/>
          </w:tcPr>
          <w:p>
            <w:pPr>
              <w:jc w:val="right"/>
              <w:rPr>
                <w:noProof/>
              </w:rPr>
            </w:pPr>
            <w:r>
              <w:rPr>
                <w:noProof/>
              </w:rPr>
              <w:t>(1 947 795)</w:t>
            </w:r>
          </w:p>
        </w:tc>
      </w:tr>
      <w:tr>
        <w:tc>
          <w:tcPr>
            <w:tcW w:w="4786" w:type="dxa"/>
            <w:shd w:val="clear" w:color="auto" w:fill="auto"/>
          </w:tcPr>
          <w:p>
            <w:pPr>
              <w:rPr>
                <w:noProof/>
              </w:rPr>
            </w:pPr>
            <w:r>
              <w:rPr>
                <w:noProof/>
              </w:rPr>
              <w:t>Finančni prihodki</w:t>
            </w:r>
          </w:p>
        </w:tc>
        <w:tc>
          <w:tcPr>
            <w:tcW w:w="1768" w:type="dxa"/>
            <w:shd w:val="clear" w:color="auto" w:fill="auto"/>
          </w:tcPr>
          <w:p>
            <w:pPr>
              <w:jc w:val="right"/>
              <w:rPr>
                <w:noProof/>
              </w:rPr>
            </w:pPr>
            <w:r>
              <w:rPr>
                <w:noProof/>
              </w:rPr>
              <w:t>42 681 966</w:t>
            </w:r>
          </w:p>
        </w:tc>
        <w:tc>
          <w:tcPr>
            <w:tcW w:w="1776" w:type="dxa"/>
          </w:tcPr>
          <w:p>
            <w:pPr>
              <w:jc w:val="right"/>
              <w:rPr>
                <w:noProof/>
              </w:rPr>
            </w:pPr>
            <w:r>
              <w:rPr>
                <w:noProof/>
              </w:rPr>
              <w:t>30 241 834</w:t>
            </w:r>
          </w:p>
        </w:tc>
      </w:tr>
      <w:tr>
        <w:tc>
          <w:tcPr>
            <w:tcW w:w="4786" w:type="dxa"/>
            <w:tcBorders>
              <w:bottom w:val="single" w:sz="4" w:space="0" w:color="auto"/>
            </w:tcBorders>
            <w:shd w:val="clear" w:color="auto" w:fill="auto"/>
          </w:tcPr>
          <w:p>
            <w:pPr>
              <w:rPr>
                <w:noProof/>
              </w:rPr>
            </w:pPr>
            <w:r>
              <w:rPr>
                <w:noProof/>
              </w:rPr>
              <w:t>Finančni stroški</w:t>
            </w:r>
          </w:p>
        </w:tc>
        <w:tc>
          <w:tcPr>
            <w:tcW w:w="1768" w:type="dxa"/>
            <w:tcBorders>
              <w:bottom w:val="single" w:sz="4" w:space="0" w:color="auto"/>
            </w:tcBorders>
            <w:shd w:val="clear" w:color="auto" w:fill="auto"/>
          </w:tcPr>
          <w:p>
            <w:pPr>
              <w:jc w:val="right"/>
              <w:rPr>
                <w:noProof/>
              </w:rPr>
            </w:pPr>
            <w:r>
              <w:rPr>
                <w:noProof/>
              </w:rPr>
              <w:t>(39 575 953)</w:t>
            </w:r>
          </w:p>
        </w:tc>
        <w:tc>
          <w:tcPr>
            <w:tcW w:w="1776" w:type="dxa"/>
            <w:tcBorders>
              <w:bottom w:val="single" w:sz="4" w:space="0" w:color="auto"/>
            </w:tcBorders>
          </w:tcPr>
          <w:p>
            <w:pPr>
              <w:jc w:val="right"/>
              <w:rPr>
                <w:noProof/>
              </w:rPr>
            </w:pPr>
            <w:r>
              <w:rPr>
                <w:noProof/>
              </w:rPr>
              <w:t>(20 906 275)</w:t>
            </w:r>
          </w:p>
        </w:tc>
      </w:tr>
      <w:tr>
        <w:tc>
          <w:tcPr>
            <w:tcW w:w="4786" w:type="dxa"/>
            <w:shd w:val="pct20" w:color="auto" w:fill="auto"/>
          </w:tcPr>
          <w:p>
            <w:pPr>
              <w:rPr>
                <w:noProof/>
              </w:rPr>
            </w:pPr>
            <w:r>
              <w:rPr>
                <w:noProof/>
              </w:rPr>
              <w:t>FINANČNI REZULTAT</w:t>
            </w:r>
          </w:p>
        </w:tc>
        <w:tc>
          <w:tcPr>
            <w:tcW w:w="1768" w:type="dxa"/>
            <w:shd w:val="pct20" w:color="auto" w:fill="auto"/>
          </w:tcPr>
          <w:p>
            <w:pPr>
              <w:jc w:val="right"/>
              <w:rPr>
                <w:noProof/>
              </w:rPr>
            </w:pPr>
            <w:r>
              <w:rPr>
                <w:noProof/>
              </w:rPr>
              <w:t>3 106 013</w:t>
            </w:r>
          </w:p>
        </w:tc>
        <w:tc>
          <w:tcPr>
            <w:tcW w:w="1776" w:type="dxa"/>
            <w:shd w:val="pct20" w:color="auto" w:fill="auto"/>
          </w:tcPr>
          <w:p>
            <w:pPr>
              <w:jc w:val="right"/>
              <w:rPr>
                <w:noProof/>
              </w:rPr>
            </w:pPr>
            <w:r>
              <w:rPr>
                <w:noProof/>
              </w:rPr>
              <w:t>9 335 559</w:t>
            </w:r>
          </w:p>
        </w:tc>
      </w:tr>
      <w:tr>
        <w:tc>
          <w:tcPr>
            <w:tcW w:w="4786" w:type="dxa"/>
            <w:tcBorders>
              <w:bottom w:val="single" w:sz="4" w:space="0" w:color="auto"/>
            </w:tcBorders>
            <w:shd w:val="clear" w:color="auto" w:fill="auto"/>
          </w:tcPr>
          <w:p>
            <w:pPr>
              <w:rPr>
                <w:noProof/>
              </w:rPr>
            </w:pPr>
          </w:p>
        </w:tc>
        <w:tc>
          <w:tcPr>
            <w:tcW w:w="1768" w:type="dxa"/>
            <w:tcBorders>
              <w:bottom w:val="single" w:sz="4" w:space="0" w:color="auto"/>
            </w:tcBorders>
            <w:shd w:val="clear" w:color="auto" w:fill="auto"/>
          </w:tcPr>
          <w:p>
            <w:pPr>
              <w:jc w:val="right"/>
              <w:rPr>
                <w:noProof/>
              </w:rPr>
            </w:pPr>
          </w:p>
        </w:tc>
        <w:tc>
          <w:tcPr>
            <w:tcW w:w="1776" w:type="dxa"/>
            <w:tcBorders>
              <w:bottom w:val="single" w:sz="4" w:space="0" w:color="auto"/>
            </w:tcBorders>
          </w:tcPr>
          <w:p>
            <w:pPr>
              <w:jc w:val="right"/>
              <w:rPr>
                <w:noProof/>
              </w:rPr>
            </w:pPr>
          </w:p>
        </w:tc>
      </w:tr>
      <w:tr>
        <w:tc>
          <w:tcPr>
            <w:tcW w:w="4786" w:type="dxa"/>
            <w:shd w:val="pct20" w:color="auto" w:fill="auto"/>
          </w:tcPr>
          <w:p>
            <w:pPr>
              <w:rPr>
                <w:noProof/>
              </w:rPr>
            </w:pPr>
            <w:r>
              <w:rPr>
                <w:noProof/>
              </w:rPr>
              <w:t>POSLOVNI IZID ZA ZADEVNO LETO</w:t>
            </w:r>
          </w:p>
        </w:tc>
        <w:tc>
          <w:tcPr>
            <w:tcW w:w="1768" w:type="dxa"/>
            <w:shd w:val="pct20" w:color="auto" w:fill="auto"/>
          </w:tcPr>
          <w:p>
            <w:pPr>
              <w:jc w:val="right"/>
              <w:rPr>
                <w:noProof/>
              </w:rPr>
            </w:pPr>
            <w:r>
              <w:rPr>
                <w:noProof/>
              </w:rPr>
              <w:t>(122 602)</w:t>
            </w:r>
          </w:p>
        </w:tc>
        <w:tc>
          <w:tcPr>
            <w:tcW w:w="1776" w:type="dxa"/>
            <w:shd w:val="pct20" w:color="auto" w:fill="auto"/>
          </w:tcPr>
          <w:p>
            <w:pPr>
              <w:jc w:val="right"/>
              <w:rPr>
                <w:noProof/>
              </w:rPr>
            </w:pPr>
            <w:r>
              <w:rPr>
                <w:noProof/>
              </w:rPr>
              <w:t>7 387 764</w:t>
            </w:r>
          </w:p>
        </w:tc>
      </w:tr>
    </w:tbl>
    <w:p>
      <w:pPr>
        <w:pStyle w:val="ListBullet"/>
        <w:numPr>
          <w:ilvl w:val="0"/>
          <w:numId w:val="0"/>
        </w:numPr>
        <w:ind w:left="283" w:hanging="283"/>
        <w:rPr>
          <w:noProof/>
        </w:rPr>
      </w:pPr>
      <w:bookmarkStart w:id="33" w:name="RANGE!A1:C28"/>
      <w:bookmarkStart w:id="34" w:name="_Toc323019504"/>
      <w:bookmarkStart w:id="35" w:name="_Toc354050130"/>
      <w:bookmarkStart w:id="36" w:name="_Toc358294851"/>
      <w:bookmarkStart w:id="37" w:name="_Toc415838348"/>
      <w:bookmarkEnd w:id="29"/>
      <w:bookmarkEnd w:id="30"/>
      <w:bookmarkEnd w:id="33"/>
    </w:p>
    <w:p>
      <w:pPr>
        <w:pStyle w:val="ListBullet"/>
        <w:tabs>
          <w:tab w:val="clear" w:pos="283"/>
        </w:tabs>
        <w:ind w:left="360" w:hanging="360"/>
        <w:rPr>
          <w:noProof/>
        </w:rPr>
      </w:pPr>
      <w:r>
        <w:rPr>
          <w:noProof/>
        </w:rPr>
        <w:t>Prihodki iz poslovanja vključujejo dobičke iz tečajnih razlik v višini 0,3 milijona EUR.</w:t>
      </w:r>
    </w:p>
    <w:p>
      <w:pPr>
        <w:pStyle w:val="ListBullet"/>
        <w:tabs>
          <w:tab w:val="clear" w:pos="283"/>
        </w:tabs>
        <w:ind w:left="360" w:hanging="360"/>
        <w:rPr>
          <w:noProof/>
        </w:rPr>
      </w:pPr>
      <w:r>
        <w:rPr>
          <w:noProof/>
        </w:rPr>
        <w:t>Odhodki iz poslovanja vključujejo predvsem pristojbine EIB za upravljanje sredstev (0,8 milijona EUR), pristojbine EIB za zunanje izterjave (0,2 milijona EUR) in dodatek k finančnim rezervacijam za neporavnane prihodnje obroke Sirije (2,2 milijona EUR).</w:t>
      </w:r>
    </w:p>
    <w:p>
      <w:pPr>
        <w:pStyle w:val="ListBullet"/>
        <w:tabs>
          <w:tab w:val="clear" w:pos="283"/>
        </w:tabs>
        <w:ind w:left="360" w:hanging="360"/>
        <w:rPr>
          <w:noProof/>
        </w:rPr>
      </w:pPr>
      <w:r>
        <w:rPr>
          <w:noProof/>
        </w:rPr>
        <w:t>Finančni prihodki zajemajo predvsem prihodke od obresti iz naložbenega portfelja (7,7 milijona EUR), realiziran dobiček od prodaje finančnih sredstev (16,8 milijona EUR), nadomestila, povezana s tveganjem, iz operacij zasebnega mandata pobude za ekonomsko odpornost (2,2 milijona EUR) in obračunane zamudne obresti na prenesena sredstva (15,9 milijona EUR).</w:t>
      </w:r>
    </w:p>
    <w:p>
      <w:pPr>
        <w:numPr>
          <w:ilvl w:val="0"/>
          <w:numId w:val="13"/>
        </w:numPr>
        <w:rPr>
          <w:noProof/>
        </w:rPr>
      </w:pPr>
      <w:r>
        <w:rPr>
          <w:noProof/>
        </w:rPr>
        <w:t>Finančni stroški vključujejo predvsem izgube zaradi oslabitve (19,6 milijona EUR) za zneske, prenesene na EU v letu 2019 (glej točko 5), realizirane izgube iz prodaje finančnih sredstev (0,3 milijona EUR) in pripoznane obveznosti iz finančnih jamstev na operacije zasebnega mandata pobude za ekonomsko odpornost (19,6 milijona EUR).</w:t>
      </w:r>
    </w:p>
    <w:p>
      <w:pPr>
        <w:pStyle w:val="ManualHeading1"/>
        <w:rPr>
          <w:noProof/>
        </w:rPr>
      </w:pPr>
      <w:bookmarkStart w:id="38" w:name="_Toc45275171"/>
      <w:r>
        <w:rPr>
          <w:noProof/>
        </w:rPr>
        <w:t>4</w:t>
      </w:r>
      <w:r>
        <w:rPr>
          <w:noProof/>
        </w:rPr>
        <w:tab/>
        <w:t>Upravljanje denarnih sredstev Jamstvenega sklada</w:t>
      </w:r>
      <w:bookmarkEnd w:id="38"/>
    </w:p>
    <w:p>
      <w:pPr>
        <w:pStyle w:val="ManualHeading2"/>
        <w:spacing w:before="360"/>
        <w:ind w:left="851" w:hanging="851"/>
        <w:rPr>
          <w:noProof/>
        </w:rPr>
      </w:pPr>
      <w:bookmarkStart w:id="39" w:name="_Toc478037617"/>
      <w:bookmarkStart w:id="40" w:name="_Toc478625455"/>
      <w:bookmarkStart w:id="41" w:name="_Toc45275172"/>
      <w:bookmarkStart w:id="42" w:name="_Toc323019509"/>
      <w:bookmarkEnd w:id="34"/>
      <w:bookmarkEnd w:id="35"/>
      <w:bookmarkEnd w:id="36"/>
      <w:bookmarkEnd w:id="37"/>
      <w:bookmarkEnd w:id="39"/>
      <w:bookmarkEnd w:id="40"/>
      <w:r>
        <w:rPr>
          <w:noProof/>
        </w:rPr>
        <w:t>4.1</w:t>
      </w:r>
      <w:r>
        <w:rPr>
          <w:noProof/>
        </w:rPr>
        <w:tab/>
        <w:t>Naložbena politika</w:t>
      </w:r>
      <w:bookmarkEnd w:id="41"/>
    </w:p>
    <w:p>
      <w:pPr>
        <w:spacing w:after="0"/>
        <w:rPr>
          <w:noProof/>
        </w:rPr>
      </w:pPr>
      <w:r>
        <w:rPr>
          <w:noProof/>
        </w:rPr>
        <w:t>Likvidna sredstva Sklada se vlagajo v skladu z načeli upravljanja, določenimi v Prilogi k Sporazumu o upravljanju, kakor je bil spremenjen</w:t>
      </w:r>
      <w:r>
        <w:rPr>
          <w:rStyle w:val="FootnoteReference"/>
          <w:noProof/>
        </w:rPr>
        <w:footnoteReference w:id="3"/>
      </w:r>
      <w:r>
        <w:rPr>
          <w:noProof/>
        </w:rPr>
        <w:t>. Zato se namenijo zadostna sredstva za kritje kratkoročnih (manj kot enoletnih) odlivov sredstev, in sicer v deležu, ki se določi v letni naložbeni strategiji. Preostala sredstva se lahko dodelijo srednje- in dolgoročnim instrumentom z zapadlostjo največ 10 let in 6 mesecev od datuma plačila (srednje- in dolgoročni portfelj). Ob koncu leta 2019 je bilo skupno modificirano trajanje portfelja Sklada približno 3 leta.</w:t>
      </w:r>
    </w:p>
    <w:p>
      <w:pPr>
        <w:pStyle w:val="ManualHeading2"/>
        <w:spacing w:before="360"/>
        <w:ind w:left="851" w:hanging="851"/>
        <w:rPr>
          <w:noProof/>
        </w:rPr>
      </w:pPr>
      <w:bookmarkStart w:id="43" w:name="_Toc45275173"/>
      <w:r>
        <w:rPr>
          <w:noProof/>
        </w:rPr>
        <w:t>4.2</w:t>
      </w:r>
      <w:r>
        <w:rPr>
          <w:noProof/>
        </w:rPr>
        <w:tab/>
      </w:r>
      <w:r>
        <w:rPr>
          <w:noProof/>
        </w:rPr>
        <w:tab/>
        <w:t>Uspešnost in razvoj trga v letu 2019</w:t>
      </w:r>
      <w:bookmarkEnd w:id="43"/>
    </w:p>
    <w:p>
      <w:pPr>
        <w:rPr>
          <w:noProof/>
        </w:rPr>
      </w:pPr>
      <w:r>
        <w:rPr>
          <w:noProof/>
        </w:rPr>
        <w:t>Uspešnost portfelja Sklada se je spremljala na podlagi dnevne tržne cene. V letu 2019 je imel portfelj Sklada dober donos v višini 1,3 %, podprt z nadaljevanjem obdobja nizkih donosov in pozitivnim zaznavanjem tveganj. Portfelj Sklada ni dosegel referenčnega donosa, in sicer je bil nižji za 9,03 bazične točke. Pozitiven donos je pomenil pozitiven prispevek v višini 33 milijonov EUR. Tržna vrednost portfelja Sklada je ob koncu leta 2019 znašala približno 2 580 milijonov EUR.</w:t>
      </w:r>
    </w:p>
    <w:p>
      <w:pPr>
        <w:rPr>
          <w:noProof/>
        </w:rPr>
      </w:pPr>
      <w:r>
        <w:rPr>
          <w:noProof/>
        </w:rPr>
        <w:t>Glede na oslabitev gospodarstva, nizko inflacijo in negativna geopolitična tveganja je denarna politika postala spodbujevalna. Ameriška centralna banka (FED) je s tremi znižanji obrestnih mer v drugi polovici leta 2019 obrnila cikel monetarnega zaostrovanja, ki se je začel leta 2015. Poleg tega je Evropska centralna banka (ECB) septembra zagotovila spodbujevalni sveženj, ki so ga sestavljali znižanje obrestne mere depozita za 10 bazičnih točk, razširjen CUODR, stopenjski sistem za banke in odprt program kvantitativnega rahljanja.</w:t>
      </w:r>
    </w:p>
    <w:p>
      <w:pPr>
        <w:rPr>
          <w:noProof/>
        </w:rPr>
      </w:pPr>
      <w:r>
        <w:rPr>
          <w:noProof/>
        </w:rPr>
        <w:t>Proizvodni sektor v ZDA in Evropi se je skrčil zaradi šibke svetovne trgovine. Upočasnila se je tudi rast storitvenega sektorja, čeprav se ta še vedno širi. Inflacija v euroobmočju je bila pod cilji centralnih bank, medtem ko se je inflacija v ZDA približala ciljni, vendar FED povišanja ni ocenila kot zadovoljivo.</w:t>
      </w:r>
    </w:p>
    <w:p>
      <w:pPr>
        <w:rPr>
          <w:noProof/>
        </w:rPr>
      </w:pPr>
      <w:r>
        <w:rPr>
          <w:noProof/>
        </w:rPr>
        <w:t xml:space="preserve">Geopolitična tveganja so se avgusta stopnjevala, saj so se med ZDA in Kitajsko zaostrovale napetosti v povezavi s trgovino, nadaljevala pa se je tudi negotovost glede brexita. Evropska in ameriška obrestna mera sta se do septembra znižali zaradi spodbujevalne politike centralnih bank, nizkih pričakovanj glede rasti in negotovosti glede geopolitičnih tveganj. </w:t>
      </w:r>
    </w:p>
    <w:p>
      <w:pPr>
        <w:rPr>
          <w:noProof/>
        </w:rPr>
      </w:pPr>
      <w:r>
        <w:rPr>
          <w:noProof/>
        </w:rPr>
        <w:t>V četrtem četrtletju sta se nekoliko povišali zaradi blažitve geopolitičnih napetosti in stabilizacije ekonomskih podatkov. Kreditni razmiki, podprti s spodbujevalnimi politikami centralnih bank, so se zmanjševali, čeprav je bilo nekaj preobratov.</w:t>
      </w:r>
    </w:p>
    <w:p>
      <w:pPr>
        <w:pStyle w:val="ManualHeading1"/>
        <w:rPr>
          <w:noProof/>
        </w:rPr>
      </w:pPr>
      <w:bookmarkStart w:id="44" w:name="_Toc45275174"/>
      <w:bookmarkEnd w:id="42"/>
      <w:r>
        <w:rPr>
          <w:noProof/>
        </w:rPr>
        <w:t>5.</w:t>
      </w:r>
      <w:r>
        <w:rPr>
          <w:noProof/>
        </w:rPr>
        <w:tab/>
        <w:t>Unovčitev jamstev iz Jamstvenega sklada</w:t>
      </w:r>
      <w:bookmarkEnd w:id="44"/>
    </w:p>
    <w:p>
      <w:pPr>
        <w:keepNext/>
        <w:spacing w:after="0"/>
        <w:rPr>
          <w:b/>
          <w:noProof/>
          <w:u w:val="single"/>
        </w:rPr>
      </w:pPr>
      <w:r>
        <w:rPr>
          <w:b/>
          <w:noProof/>
          <w:u w:val="single"/>
        </w:rPr>
        <w:t>Sirija</w:t>
      </w:r>
    </w:p>
    <w:p>
      <w:pPr>
        <w:rPr>
          <w:noProof/>
        </w:rPr>
      </w:pPr>
      <w:r>
        <w:rPr>
          <w:noProof/>
        </w:rPr>
        <w:t>Od novembra 2011 se EIB sooča z zamudami pri odplačevanju sirskih državnih posojil. V skladu z jamstvenimi sporazumi med EU in EIB je EIB zato pri Jamstvenem skladu EU do 31. decembra 2019 unovčila 77 jamstev v skupnem znesku 475,96 milijona EUR (vključno s kaznimi, ki jih je naložila EIB, in izterjanimi zneski).</w:t>
      </w:r>
    </w:p>
    <w:p>
      <w:pPr>
        <w:pStyle w:val="ManualHeading1"/>
        <w:rPr>
          <w:noProof/>
        </w:rPr>
      </w:pPr>
      <w:bookmarkStart w:id="45" w:name="_Toc323019515"/>
      <w:bookmarkStart w:id="46" w:name="_Toc354050137"/>
      <w:bookmarkStart w:id="47" w:name="_Toc358294858"/>
      <w:bookmarkStart w:id="48" w:name="_Toc415838355"/>
      <w:bookmarkStart w:id="49" w:name="_Toc45275175"/>
      <w:r>
        <w:rPr>
          <w:noProof/>
        </w:rPr>
        <w:t>6.</w:t>
      </w:r>
      <w:r>
        <w:rPr>
          <w:noProof/>
        </w:rPr>
        <w:tab/>
        <w:t>Prejemek EIB</w:t>
      </w:r>
      <w:bookmarkEnd w:id="45"/>
      <w:bookmarkEnd w:id="46"/>
      <w:bookmarkEnd w:id="47"/>
      <w:bookmarkEnd w:id="48"/>
      <w:bookmarkEnd w:id="49"/>
    </w:p>
    <w:p>
      <w:pPr>
        <w:rPr>
          <w:noProof/>
        </w:rPr>
      </w:pPr>
      <w:r>
        <w:rPr>
          <w:noProof/>
        </w:rPr>
        <w:t>Prejemek EIB je sestavljen iz pristojbin za upravljanje in pristojbin za izterjavo. Pristojbine za upravljanje krijejo upravljanje sredstev Sklada. Pristojbine za izterjavo krijejo ukrepe zunanje izterjave EIB pri terjatvah zaradi neplačil, ki so krita z jamstvom EU za finančne posle EIB zunaj EU.</w:t>
      </w:r>
    </w:p>
    <w:p>
      <w:pPr>
        <w:rPr>
          <w:noProof/>
        </w:rPr>
      </w:pPr>
      <w:r>
        <w:rPr>
          <w:noProof/>
        </w:rPr>
        <w:t>Drugi dopolnilni sporazum k Sporazumu z dne 8. maja 2002 določa, da se pristojbine banke za upravljanje izračunajo z uporabo degresivne letne stopnje pristojbine za vsak obrok sredstev Sklada. Ta prejemek se izračuna na podlagi letnega povprečja sredstev Sklada.</w:t>
      </w:r>
    </w:p>
    <w:p>
      <w:pPr>
        <w:rPr>
          <w:noProof/>
        </w:rPr>
      </w:pPr>
      <w:r>
        <w:rPr>
          <w:noProof/>
        </w:rPr>
        <w:t>Pristojbine banke za upravljanje za leto 2019 so znašale 817 747 EUR in so bile v izkaz poslovnega izida vknjižene kot strošek, v bilanci stanja pa so bile zabeležene kot aktivne časovne razmejitve (obveznosti).</w:t>
      </w:r>
      <w:bookmarkStart w:id="50" w:name="_CopyToNewDocument_"/>
      <w:bookmarkEnd w:id="50"/>
    </w:p>
    <w:p>
      <w:pPr>
        <w:rPr>
          <w:rFonts w:ascii="Calibri" w:hAnsi="Calibri"/>
          <w:noProof/>
          <w:color w:val="000000"/>
          <w:sz w:val="22"/>
          <w:szCs w:val="22"/>
        </w:rPr>
      </w:pPr>
      <w:r>
        <w:rPr>
          <w:noProof/>
        </w:rPr>
        <w:t>Sporazum o izterjavi, ki sta ga decembra 2018 podpisali Komisija in banka, predvideva samo plačilo stroškov za zunanje (in ne več notranje) izterjave za EIB.</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27896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360" w:hanging="360"/>
      </w:pPr>
      <w:r>
        <w:rPr>
          <w:rStyle w:val="FootnoteReference"/>
        </w:rPr>
        <w:footnoteRef/>
      </w:r>
      <w:r>
        <w:tab/>
        <w:t>UL L 145, 10.6.2009, str. 10; z Uredbo je bila kodificirana in razveljavljena Uredba (ES, Euratom) št. 2728/94 z dne 31. oktobra 1994 o ustanovitvi Jamstvenega sklada za zunanje ukrepe. Spremenjena je bila 14. marca 2018 z Uredbo (EU) 2018/409 Evropskega parlamenta in Sveta.</w:t>
      </w:r>
    </w:p>
  </w:footnote>
  <w:footnote w:id="2">
    <w:p>
      <w:pPr>
        <w:pStyle w:val="FootnoteText"/>
        <w:ind w:left="360" w:hanging="360"/>
      </w:pPr>
      <w:r>
        <w:rPr>
          <w:rStyle w:val="FootnoteReference"/>
        </w:rPr>
        <w:footnoteRef/>
      </w:r>
      <w:r>
        <w:tab/>
        <w:t>Dopolnilni sporazum št. 5 k Sporazumu o upravljanju Jamstvenega sklada med Evropsko unijo in Evropskim investicijskim skladom – sklic Ares(2018)5207374 – 10. oktober 2018.</w:t>
      </w:r>
    </w:p>
  </w:footnote>
  <w:footnote w:id="3">
    <w:p>
      <w:pPr>
        <w:pStyle w:val="FootnoteText"/>
        <w:ind w:left="360" w:hanging="360"/>
      </w:pPr>
      <w:r>
        <w:rPr>
          <w:rStyle w:val="FootnoteReference"/>
        </w:rPr>
        <w:footnoteRef/>
      </w:r>
      <w:r>
        <w:t xml:space="preserve">    Spremenjen z Dopolnilnim sporazumom št. 1 z dne 23. septembra 1996, Dopolnilnim sporazumom št. 2 z dne 8. maja 2002, Dopolnilnim sporazumom št. 3 z dne 25. februarja 2008, Dopolnilnim sporazumom št. 4 z dne 9. novembra 2010 in Dopolnilnim sporazumom št. 5 iz septembra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33ABAE0"/>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8FFC5720"/>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EEC82E3C"/>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CDC48C4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634D4D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2F6906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1D6A4E8"/>
    <w:lvl w:ilvl="0">
      <w:start w:val="1"/>
      <w:numFmt w:val="decimal"/>
      <w:pStyle w:val="ListNumber"/>
      <w:lvlText w:val="%1."/>
      <w:lvlJc w:val="left"/>
      <w:pPr>
        <w:tabs>
          <w:tab w:val="num" w:pos="360"/>
        </w:tabs>
        <w:ind w:left="360" w:hanging="360"/>
      </w:pPr>
      <w:rPr>
        <w:rFonts w:cs="Times New Roman"/>
      </w:rPr>
    </w:lvl>
  </w:abstractNum>
  <w:abstractNum w:abstractNumId="7">
    <w:nsid w:val="00000003"/>
    <w:multiLevelType w:val="singleLevel"/>
    <w:tmpl w:val="00000003"/>
    <w:name w:val="WW8Num2"/>
    <w:lvl w:ilvl="0">
      <w:start w:val="1"/>
      <w:numFmt w:val="bullet"/>
      <w:lvlText w:val=""/>
      <w:lvlJc w:val="left"/>
      <w:pPr>
        <w:tabs>
          <w:tab w:val="num" w:pos="360"/>
        </w:tabs>
        <w:ind w:left="360" w:hanging="360"/>
      </w:pPr>
      <w:rPr>
        <w:rFonts w:ascii="Symbol" w:hAnsi="Symbol"/>
      </w:rPr>
    </w:lvl>
  </w:abstractNum>
  <w:abstractNum w:abstractNumId="8">
    <w:nsid w:val="0CB477BA"/>
    <w:multiLevelType w:val="multilevel"/>
    <w:tmpl w:val="9E247306"/>
    <w:lvl w:ilvl="0">
      <w:start w:val="1"/>
      <w:numFmt w:val="decimal"/>
      <w:lvlRestart w:val="0"/>
      <w:pStyle w:val="Heading1"/>
      <w:lvlText w:val="%1."/>
      <w:lvlJc w:val="left"/>
      <w:pPr>
        <w:tabs>
          <w:tab w:val="num" w:pos="850"/>
        </w:tabs>
        <w:ind w:left="850" w:hanging="850"/>
      </w:pPr>
      <w:rPr>
        <w:rFonts w:hint="default"/>
      </w:rPr>
    </w:lvl>
    <w:lvl w:ilvl="1">
      <w:start w:val="1"/>
      <w:numFmt w:val="decimal"/>
      <w:pStyle w:val="Heading2"/>
      <w:lvlText w:val="%1.%2."/>
      <w:lvlJc w:val="left"/>
      <w:pPr>
        <w:tabs>
          <w:tab w:val="num" w:pos="850"/>
        </w:tabs>
        <w:ind w:left="850" w:hanging="850"/>
      </w:pPr>
      <w:rPr>
        <w:rFonts w:hint="default"/>
      </w:rPr>
    </w:lvl>
    <w:lvl w:ilvl="2">
      <w:start w:val="1"/>
      <w:numFmt w:val="decimal"/>
      <w:pStyle w:val="Heading3"/>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F212747"/>
    <w:multiLevelType w:val="multilevel"/>
    <w:tmpl w:val="FBD0F488"/>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15592001"/>
    <w:multiLevelType w:val="singleLevel"/>
    <w:tmpl w:val="3C6C7C7E"/>
    <w:lvl w:ilvl="0">
      <w:start w:val="1"/>
      <w:numFmt w:val="bullet"/>
      <w:lvlRestart w:val="0"/>
      <w:lvlText w:val=""/>
      <w:lvlJc w:val="left"/>
      <w:pPr>
        <w:tabs>
          <w:tab w:val="num" w:pos="850"/>
        </w:tabs>
        <w:ind w:left="850" w:hanging="850"/>
      </w:pPr>
      <w:rPr>
        <w:rFonts w:ascii="Symbol" w:hAnsi="Symbol" w:hint="default"/>
      </w:rPr>
    </w:lvl>
  </w:abstractNum>
  <w:abstractNum w:abstractNumId="11">
    <w:nsid w:val="2AF76E7A"/>
    <w:multiLevelType w:val="singleLevel"/>
    <w:tmpl w:val="C74C5A32"/>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2">
    <w:nsid w:val="2F076C74"/>
    <w:multiLevelType w:val="multilevel"/>
    <w:tmpl w:val="48F8D8CA"/>
    <w:lvl w:ilvl="0">
      <w:start w:val="1"/>
      <w:numFmt w:val="bullet"/>
      <w:lvlText w:val=""/>
      <w:lvlJc w:val="left"/>
      <w:pPr>
        <w:tabs>
          <w:tab w:val="num" w:pos="850"/>
        </w:tabs>
        <w:ind w:left="850" w:hanging="850"/>
      </w:pPr>
      <w:rPr>
        <w:rFonts w:ascii="Symbol" w:hAnsi="Symbol" w:hint="default"/>
      </w:rPr>
    </w:lvl>
    <w:lvl w:ilvl="1">
      <w:start w:val="1"/>
      <w:numFmt w:val="bullet"/>
      <w:lvlText w:val=""/>
      <w:lvlJc w:val="left"/>
      <w:pPr>
        <w:tabs>
          <w:tab w:val="num" w:pos="850"/>
        </w:tabs>
        <w:ind w:left="850" w:hanging="850"/>
      </w:pPr>
      <w:rPr>
        <w:rFonts w:ascii="Wingdings" w:hAnsi="Wingdings" w:hint="default"/>
      </w:rPr>
    </w:lvl>
    <w:lvl w:ilvl="2">
      <w:start w:val="1"/>
      <w:numFmt w:val="decimal"/>
      <w:lvlText w:val="(%3)"/>
      <w:lvlJc w:val="left"/>
      <w:pPr>
        <w:tabs>
          <w:tab w:val="num" w:pos="1417"/>
        </w:tabs>
        <w:ind w:left="1417" w:hanging="567"/>
      </w:pPr>
      <w:rPr>
        <w:rFonts w:cs="Times New Roman"/>
      </w:rPr>
    </w:lvl>
    <w:lvl w:ilvl="3">
      <w:start w:val="1"/>
      <w:numFmt w:val="lowerLetter"/>
      <w:lvlText w:val="(%4)"/>
      <w:lvlJc w:val="left"/>
      <w:pPr>
        <w:tabs>
          <w:tab w:val="num" w:pos="1417"/>
        </w:tabs>
        <w:ind w:left="1417" w:hanging="567"/>
      </w:pPr>
      <w:rPr>
        <w:rFonts w:cs="Times New Roman"/>
      </w:rPr>
    </w:lvl>
    <w:lvl w:ilvl="4">
      <w:start w:val="1"/>
      <w:numFmt w:val="decimal"/>
      <w:lvlText w:val="(%5)"/>
      <w:lvlJc w:val="left"/>
      <w:pPr>
        <w:tabs>
          <w:tab w:val="num" w:pos="1984"/>
        </w:tabs>
        <w:ind w:left="1984" w:hanging="567"/>
      </w:pPr>
      <w:rPr>
        <w:rFonts w:cs="Times New Roman"/>
      </w:rPr>
    </w:lvl>
    <w:lvl w:ilvl="5">
      <w:start w:val="1"/>
      <w:numFmt w:val="lowerLetter"/>
      <w:lvlText w:val="(%6)"/>
      <w:lvlJc w:val="left"/>
      <w:pPr>
        <w:tabs>
          <w:tab w:val="num" w:pos="1984"/>
        </w:tabs>
        <w:ind w:left="1984" w:hanging="567"/>
      </w:pPr>
      <w:rPr>
        <w:rFonts w:cs="Times New Roman"/>
      </w:rPr>
    </w:lvl>
    <w:lvl w:ilvl="6">
      <w:start w:val="1"/>
      <w:numFmt w:val="decimal"/>
      <w:lvlText w:val="(%7)"/>
      <w:lvlJc w:val="left"/>
      <w:pPr>
        <w:tabs>
          <w:tab w:val="num" w:pos="2551"/>
        </w:tabs>
        <w:ind w:left="2551" w:hanging="567"/>
      </w:pPr>
      <w:rPr>
        <w:rFonts w:cs="Times New Roman"/>
      </w:rPr>
    </w:lvl>
    <w:lvl w:ilvl="7">
      <w:start w:val="1"/>
      <w:numFmt w:val="lowerLetter"/>
      <w:lvlText w:val="(%8)"/>
      <w:lvlJc w:val="left"/>
      <w:pPr>
        <w:tabs>
          <w:tab w:val="num" w:pos="2551"/>
        </w:tabs>
        <w:ind w:left="2551" w:hanging="567"/>
      </w:pPr>
      <w:rPr>
        <w:rFonts w:cs="Times New Roman"/>
      </w:rPr>
    </w:lvl>
    <w:lvl w:ilvl="8">
      <w:start w:val="1"/>
      <w:numFmt w:val="lowerLetter"/>
      <w:lvlText w:val="(%9)"/>
      <w:lvlJc w:val="left"/>
      <w:pPr>
        <w:tabs>
          <w:tab w:val="num" w:pos="3118"/>
        </w:tabs>
        <w:ind w:left="3118" w:hanging="567"/>
      </w:pPr>
      <w:rPr>
        <w:rFonts w:cs="Times New Roman"/>
      </w:rPr>
    </w:lvl>
  </w:abstractNum>
  <w:abstractNum w:abstractNumId="13">
    <w:nsid w:val="3A5459E8"/>
    <w:multiLevelType w:val="singleLevel"/>
    <w:tmpl w:val="2188C922"/>
    <w:name w:val="Tiret 1"/>
    <w:lvl w:ilvl="0">
      <w:start w:val="1"/>
      <w:numFmt w:val="bullet"/>
      <w:lvlRestart w:val="0"/>
      <w:pStyle w:val="Tiret1"/>
      <w:lvlText w:val="–"/>
      <w:lvlJc w:val="left"/>
      <w:pPr>
        <w:tabs>
          <w:tab w:val="num" w:pos="1417"/>
        </w:tabs>
        <w:ind w:left="1417" w:hanging="567"/>
      </w:pPr>
    </w:lvl>
  </w:abstractNum>
  <w:abstractNum w:abstractNumId="14">
    <w:nsid w:val="3BA736C9"/>
    <w:multiLevelType w:val="singleLevel"/>
    <w:tmpl w:val="F00A6C0C"/>
    <w:name w:val="Tiret 0"/>
    <w:lvl w:ilvl="0">
      <w:start w:val="1"/>
      <w:numFmt w:val="bullet"/>
      <w:lvlRestart w:val="0"/>
      <w:pStyle w:val="Tiret0"/>
      <w:lvlText w:val="–"/>
      <w:lvlJc w:val="left"/>
      <w:pPr>
        <w:tabs>
          <w:tab w:val="num" w:pos="850"/>
        </w:tabs>
        <w:ind w:left="850" w:hanging="850"/>
      </w:pPr>
    </w:lvl>
  </w:abstractNum>
  <w:abstractNum w:abstractNumId="15">
    <w:nsid w:val="3C90278F"/>
    <w:multiLevelType w:val="singleLevel"/>
    <w:tmpl w:val="0FE08974"/>
    <w:name w:val="Tiret 3"/>
    <w:lvl w:ilvl="0">
      <w:start w:val="1"/>
      <w:numFmt w:val="bullet"/>
      <w:lvlRestart w:val="0"/>
      <w:pStyle w:val="Tiret3"/>
      <w:lvlText w:val="–"/>
      <w:lvlJc w:val="left"/>
      <w:pPr>
        <w:tabs>
          <w:tab w:val="num" w:pos="2551"/>
        </w:tabs>
        <w:ind w:left="2551" w:hanging="567"/>
      </w:pPr>
    </w:lvl>
  </w:abstractNum>
  <w:abstractNum w:abstractNumId="16">
    <w:nsid w:val="40FF3500"/>
    <w:multiLevelType w:val="singleLevel"/>
    <w:tmpl w:val="84DA1EE8"/>
    <w:name w:val="Default"/>
    <w:lvl w:ilvl="0">
      <w:start w:val="1"/>
      <w:numFmt w:val="bullet"/>
      <w:lvlRestart w:val="0"/>
      <w:lvlText w:val=""/>
      <w:lvlJc w:val="left"/>
      <w:pPr>
        <w:tabs>
          <w:tab w:val="num" w:pos="1417"/>
        </w:tabs>
        <w:ind w:left="1417" w:hanging="567"/>
      </w:pPr>
      <w:rPr>
        <w:rFonts w:ascii="Symbol" w:hAnsi="Symbol" w:hint="default"/>
      </w:rPr>
    </w:lvl>
  </w:abstractNum>
  <w:abstractNum w:abstractNumId="17">
    <w:nsid w:val="43001DEE"/>
    <w:multiLevelType w:val="multilevel"/>
    <w:tmpl w:val="C3843A7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8842C30"/>
    <w:multiLevelType w:val="singleLevel"/>
    <w:tmpl w:val="4FA60B9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4593082"/>
    <w:multiLevelType w:val="singleLevel"/>
    <w:tmpl w:val="EDE069AC"/>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0">
    <w:nsid w:val="568864DC"/>
    <w:multiLevelType w:val="singleLevel"/>
    <w:tmpl w:val="485EBDAC"/>
    <w:name w:val="Tiret 4"/>
    <w:lvl w:ilvl="0">
      <w:start w:val="1"/>
      <w:numFmt w:val="bullet"/>
      <w:lvlRestart w:val="0"/>
      <w:pStyle w:val="Tiret4"/>
      <w:lvlText w:val="–"/>
      <w:lvlJc w:val="left"/>
      <w:pPr>
        <w:tabs>
          <w:tab w:val="num" w:pos="3118"/>
        </w:tabs>
        <w:ind w:left="3118" w:hanging="567"/>
      </w:pPr>
    </w:lvl>
  </w:abstractNum>
  <w:abstractNum w:abstractNumId="21">
    <w:nsid w:val="5D432F82"/>
    <w:multiLevelType w:val="hybridMultilevel"/>
    <w:tmpl w:val="5F78F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F342530"/>
    <w:multiLevelType w:val="singleLevel"/>
    <w:tmpl w:val="D5444702"/>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3">
    <w:nsid w:val="5F9C40AA"/>
    <w:multiLevelType w:val="singleLevel"/>
    <w:tmpl w:val="B89CB5A2"/>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nsid w:val="62970F71"/>
    <w:multiLevelType w:val="singleLevel"/>
    <w:tmpl w:val="5AFA8C72"/>
    <w:name w:val="Tiret 2"/>
    <w:lvl w:ilvl="0">
      <w:start w:val="1"/>
      <w:numFmt w:val="bullet"/>
      <w:lvlRestart w:val="0"/>
      <w:pStyle w:val="Tiret2"/>
      <w:lvlText w:val="–"/>
      <w:lvlJc w:val="left"/>
      <w:pPr>
        <w:tabs>
          <w:tab w:val="num" w:pos="1984"/>
        </w:tabs>
        <w:ind w:left="1984" w:hanging="567"/>
      </w:pPr>
    </w:lvl>
  </w:abstractNum>
  <w:abstractNum w:abstractNumId="25">
    <w:nsid w:val="63B26268"/>
    <w:multiLevelType w:val="singleLevel"/>
    <w:tmpl w:val="491E6360"/>
    <w:name w:val="Heading"/>
    <w:lvl w:ilvl="0">
      <w:start w:val="1"/>
      <w:numFmt w:val="decimal"/>
      <w:lvlRestart w:val="0"/>
      <w:lvlText w:val="(%1)"/>
      <w:lvlJc w:val="left"/>
      <w:pPr>
        <w:tabs>
          <w:tab w:val="num" w:pos="709"/>
        </w:tabs>
        <w:ind w:left="709" w:hanging="709"/>
      </w:pPr>
      <w:rPr>
        <w:rFonts w:cs="Times New Roman"/>
      </w:rPr>
    </w:lvl>
  </w:abstractNum>
  <w:abstractNum w:abstractNumId="26">
    <w:nsid w:val="69995580"/>
    <w:multiLevelType w:val="singleLevel"/>
    <w:tmpl w:val="75CC7CBA"/>
    <w:name w:val="Considérant"/>
    <w:lvl w:ilvl="0">
      <w:start w:val="1"/>
      <w:numFmt w:val="decimal"/>
      <w:lvlRestart w:val="0"/>
      <w:pStyle w:val="Considrant"/>
      <w:lvlText w:val="(%1)"/>
      <w:lvlJc w:val="left"/>
      <w:pPr>
        <w:tabs>
          <w:tab w:val="num" w:pos="709"/>
        </w:tabs>
        <w:ind w:left="709" w:hanging="709"/>
      </w:pPr>
    </w:lvl>
  </w:abstractNum>
  <w:abstractNum w:abstractNumId="27">
    <w:nsid w:val="6D2B5511"/>
    <w:multiLevelType w:val="singleLevel"/>
    <w:tmpl w:val="74A09970"/>
    <w:name w:val="0.6452252"/>
    <w:lvl w:ilvl="0">
      <w:start w:val="1"/>
      <w:numFmt w:val="bullet"/>
      <w:lvlRestart w:val="0"/>
      <w:pStyle w:val="ListBullet"/>
      <w:lvlText w:val=""/>
      <w:lvlJc w:val="left"/>
      <w:pPr>
        <w:tabs>
          <w:tab w:val="num" w:pos="283"/>
        </w:tabs>
        <w:ind w:left="283" w:hanging="283"/>
      </w:pPr>
      <w:rPr>
        <w:rFonts w:ascii="Symbol" w:hAnsi="Symbol" w:hint="default"/>
      </w:rPr>
    </w:lvl>
  </w:abstractNum>
  <w:abstractNum w:abstractNumId="28">
    <w:nsid w:val="7BE95D7F"/>
    <w:multiLevelType w:val="multilevel"/>
    <w:tmpl w:val="F126F780"/>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19"/>
  </w:num>
  <w:num w:numId="2">
    <w:abstractNumId w:val="11"/>
  </w:num>
  <w:num w:numId="3">
    <w:abstractNumId w:val="23"/>
  </w:num>
  <w:num w:numId="4">
    <w:abstractNumId w:val="22"/>
  </w:num>
  <w:num w:numId="5">
    <w:abstractNumId w:val="18"/>
  </w:num>
  <w:num w:numId="6">
    <w:abstractNumId w:val="26"/>
  </w:num>
  <w:num w:numId="7">
    <w:abstractNumId w:val="28"/>
  </w:num>
  <w:num w:numId="8">
    <w:abstractNumId w:val="14"/>
  </w:num>
  <w:num w:numId="9">
    <w:abstractNumId w:val="13"/>
  </w:num>
  <w:num w:numId="10">
    <w:abstractNumId w:val="24"/>
  </w:num>
  <w:num w:numId="11">
    <w:abstractNumId w:val="15"/>
  </w:num>
  <w:num w:numId="12">
    <w:abstractNumId w:val="20"/>
  </w:num>
  <w:num w:numId="13">
    <w:abstractNumId w:val="12"/>
  </w:num>
  <w:num w:numId="14">
    <w:abstractNumId w:val="10"/>
  </w:num>
  <w:num w:numId="15">
    <w:abstractNumId w:val="27"/>
  </w:num>
  <w:num w:numId="16">
    <w:abstractNumId w:val="5"/>
  </w:num>
  <w:num w:numId="17">
    <w:abstractNumId w:val="4"/>
  </w:num>
  <w:num w:numId="18">
    <w:abstractNumId w:val="3"/>
  </w:num>
  <w:num w:numId="19">
    <w:abstractNumId w:val="6"/>
  </w:num>
  <w:num w:numId="20">
    <w:abstractNumId w:val="2"/>
  </w:num>
  <w:num w:numId="21">
    <w:abstractNumId w:val="1"/>
  </w:num>
  <w:num w:numId="22">
    <w:abstractNumId w:val="0"/>
  </w:num>
  <w:num w:numId="23">
    <w:abstractNumId w:val="17"/>
  </w:num>
  <w:num w:numId="24">
    <w:abstractNumId w:val="8"/>
  </w:num>
  <w:num w:numId="25">
    <w:abstractNumId w:val="8"/>
    <w:lvlOverride w:ilvl="0">
      <w:startOverride w:val="3"/>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1"/>
  </w:num>
  <w:num w:numId="28">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46DAB6A-72AB-45F7-B4ED-5F7436E73BF6"/>
    <w:docVar w:name="LW_COVERPAGE_TYPE" w:val="1"/>
    <w:docVar w:name="LW_CROSSREFERENCE" w:val="{SWD(2020) 136 final}"/>
    <w:docVar w:name="LW_DocType" w:val="NORMAL"/>
    <w:docVar w:name="LW_EMISSION" w:val="17.7.2020"/>
    <w:docVar w:name="LW_EMISSION_ISODATE" w:val="2020-07-17"/>
    <w:docVar w:name="LW_EMISSION_LOCATION" w:val="BRX"/>
    <w:docVar w:name="LW_EMISSION_PREFIX" w:val="Bruselj, "/>
    <w:docVar w:name="LW_EMISSION_SUFFIX" w:val=" "/>
    <w:docVar w:name="LW_ID_DOCTYPE_NONLW" w:val="CP-003"/>
    <w:docVar w:name="LW_LANGUE" w:val="SL"/>
    <w:docVar w:name="LW_LEVEL_OF_SENSITIVITY" w:val="Standard treatment"/>
    <w:docVar w:name="LW_NOM.INST" w:val="EVROPSKA KOMISIJA"/>
    <w:docVar w:name="LW_NOM.INST_JOINTDOC" w:val="&lt;EMPTY&gt;"/>
    <w:docVar w:name="LW_PART_NBR" w:val="1"/>
    <w:docVar w:name="LW_PART_NBR_TOTAL" w:val="1"/>
    <w:docVar w:name="LW_REF.INST.NEW" w:val="COM"/>
    <w:docVar w:name="LW_REF.INST.NEW_ADOPTED" w:val="final"/>
    <w:docVar w:name="LW_REF.INST.NEW_TEXT" w:val="(2020) 32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EVROPSKEMU PARLAMENTU, SVETU IN RA\u268?UNSKEMU SODI\u352?\u268?U _x000d__x000b__x000d__x000b_O JAMSTVENEM SKLADU ZA ZUNANJE UKREPE IN NJEGOVEM UPRAVLJANJU V LETU 2019"/>
    <w:docVar w:name="LW_TYPE.DOC.CP" w:val="PORO\u268?ILO KOMISIJ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jc w:val="both"/>
    </w:pPr>
    <w:rPr>
      <w:sz w:val="24"/>
      <w:szCs w:val="24"/>
      <w:lang w:eastAsia="en-US"/>
    </w:rPr>
  </w:style>
  <w:style w:type="paragraph" w:styleId="Heading1">
    <w:name w:val="heading 1"/>
    <w:basedOn w:val="Normal"/>
    <w:next w:val="Normal"/>
    <w:qFormat/>
    <w:pPr>
      <w:keepNext/>
      <w:numPr>
        <w:numId w:val="24"/>
      </w:numPr>
      <w:spacing w:before="360"/>
      <w:outlineLvl w:val="0"/>
    </w:pPr>
    <w:rPr>
      <w:b/>
      <w:bCs/>
      <w:smallCaps/>
      <w:szCs w:val="32"/>
    </w:rPr>
  </w:style>
  <w:style w:type="paragraph" w:styleId="Heading2">
    <w:name w:val="heading 2"/>
    <w:basedOn w:val="Normal"/>
    <w:next w:val="Normal"/>
    <w:qFormat/>
    <w:pPr>
      <w:keepNext/>
      <w:numPr>
        <w:ilvl w:val="1"/>
        <w:numId w:val="24"/>
      </w:numPr>
      <w:outlineLvl w:val="1"/>
    </w:pPr>
    <w:rPr>
      <w:b/>
      <w:bCs/>
      <w:iCs/>
      <w:szCs w:val="28"/>
    </w:rPr>
  </w:style>
  <w:style w:type="paragraph" w:styleId="Heading3">
    <w:name w:val="heading 3"/>
    <w:basedOn w:val="Normal"/>
    <w:next w:val="Normal"/>
    <w:link w:val="Heading3Char"/>
    <w:autoRedefine/>
    <w:qFormat/>
    <w:pPr>
      <w:keepNext/>
      <w:numPr>
        <w:ilvl w:val="2"/>
        <w:numId w:val="24"/>
      </w:numPr>
      <w:outlineLvl w:val="2"/>
    </w:pPr>
    <w:rPr>
      <w:bCs/>
      <w:i/>
      <w:szCs w:val="26"/>
    </w:rPr>
  </w:style>
  <w:style w:type="paragraph" w:styleId="Heading4">
    <w:name w:val="heading 4"/>
    <w:basedOn w:val="Normal"/>
    <w:next w:val="Normal"/>
    <w:link w:val="Heading4Char"/>
    <w:qFormat/>
    <w:pPr>
      <w:keepNext/>
      <w:outlineLvl w:val="3"/>
    </w:pPr>
    <w:rPr>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ompagnant">
    <w:name w:val="Accompagnant"/>
    <w:basedOn w:val="Normal"/>
    <w:next w:val="Normal"/>
    <w:pPr>
      <w:spacing w:before="0" w:after="240"/>
      <w:jc w:val="center"/>
    </w:pPr>
    <w:rPr>
      <w:b/>
      <w:i/>
    </w:rPr>
  </w:style>
  <w:style w:type="paragraph" w:customStyle="1" w:styleId="AccompagnantPagedecouverture">
    <w:name w:val="Accompagnant (Page de couverture)"/>
    <w:basedOn w:val="Accompagnant"/>
    <w:next w:val="Normal"/>
  </w:style>
  <w:style w:type="character" w:customStyle="1" w:styleId="Added">
    <w:name w:val="Added"/>
    <w:rPr>
      <w:b/>
      <w:u w:val="single"/>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Annexetitre">
    <w:name w:val="Annexe titre"/>
    <w:basedOn w:val="Normal"/>
    <w:next w:val="Normal"/>
    <w:pPr>
      <w:jc w:val="center"/>
    </w:pPr>
    <w:rPr>
      <w:b/>
      <w:u w:val="single"/>
    </w:rPr>
  </w:style>
  <w:style w:type="paragraph" w:customStyle="1" w:styleId="Annexetitreexpos">
    <w:name w:val="Annexe titre (exposé)"/>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Normal"/>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Bullet0">
    <w:name w:val="Bullet 0"/>
    <w:basedOn w:val="Normal"/>
    <w:pPr>
      <w:numPr>
        <w:numId w:val="1"/>
      </w:numPr>
    </w:pPr>
  </w:style>
  <w:style w:type="paragraph" w:customStyle="1" w:styleId="Bullet1">
    <w:name w:val="Bullet 1"/>
    <w:basedOn w:val="Normal"/>
    <w:pPr>
      <w:numPr>
        <w:numId w:val="2"/>
      </w:numPr>
    </w:pPr>
  </w:style>
  <w:style w:type="paragraph" w:customStyle="1" w:styleId="Bullet2">
    <w:name w:val="Bullet 2"/>
    <w:basedOn w:val="Normal"/>
    <w:pPr>
      <w:numPr>
        <w:numId w:val="3"/>
      </w:numPr>
    </w:pPr>
  </w:style>
  <w:style w:type="paragraph" w:customStyle="1" w:styleId="Bullet3">
    <w:name w:val="Bullet 3"/>
    <w:basedOn w:val="Normal"/>
    <w:pPr>
      <w:numPr>
        <w:numId w:val="4"/>
      </w:numPr>
    </w:pPr>
  </w:style>
  <w:style w:type="paragraph" w:customStyle="1" w:styleId="Bullet4">
    <w:name w:val="Bullet 4"/>
    <w:basedOn w:val="Normal"/>
    <w:pPr>
      <w:numPr>
        <w:numId w:val="5"/>
      </w:numPr>
    </w:pPr>
  </w:style>
  <w:style w:type="paragraph" w:customStyle="1" w:styleId="ChapterTitle">
    <w:name w:val="ChapterTitle"/>
    <w:basedOn w:val="Normal"/>
    <w:next w:val="Normal"/>
    <w:pPr>
      <w:keepNext/>
      <w:spacing w:after="360"/>
      <w:jc w:val="center"/>
    </w:pPr>
    <w:rPr>
      <w:b/>
      <w:sz w:val="32"/>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Normal"/>
    <w:pPr>
      <w:spacing w:before="240" w:after="240"/>
      <w:ind w:left="5103"/>
    </w:pPr>
    <w:rPr>
      <w:u w:val="single"/>
    </w:rPr>
  </w:style>
  <w:style w:type="paragraph" w:customStyle="1" w:styleId="Considrant">
    <w:name w:val="Considérant"/>
    <w:basedOn w:val="Normal"/>
    <w:pPr>
      <w:numPr>
        <w:numId w:val="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Normal"/>
    <w:pPr>
      <w:spacing w:before="360" w:after="0"/>
      <w:jc w:val="center"/>
    </w:pPr>
    <w:rPr>
      <w:b/>
    </w:rPr>
  </w:style>
  <w:style w:type="paragraph" w:customStyle="1" w:styleId="DatedadoptionPagedecouverture">
    <w:name w:val="Date d'adoption (Page de couverture)"/>
    <w:basedOn w:val="Datedadoption"/>
    <w:next w:val="Normal"/>
  </w:style>
  <w:style w:type="character" w:customStyle="1" w:styleId="Deleted">
    <w:name w:val="Deleted"/>
    <w:rPr>
      <w:strike/>
      <w:shd w:val="clear" w:color="auto" w:fill="auto"/>
    </w:rPr>
  </w:style>
  <w:style w:type="paragraph" w:customStyle="1" w:styleId="Emission">
    <w:name w:val="Emission"/>
    <w:basedOn w:val="Normal"/>
    <w:next w:val="Normal"/>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Normal"/>
    <w:pPr>
      <w:keepNext/>
      <w:spacing w:after="0"/>
    </w:pPr>
  </w:style>
  <w:style w:type="paragraph" w:customStyle="1" w:styleId="Fichefinanciretitre">
    <w:name w:val="Fiche financière titre"/>
    <w:basedOn w:val="Normal"/>
    <w:next w:val="Normal"/>
    <w:pPr>
      <w:jc w:val="center"/>
    </w:pPr>
    <w:rPr>
      <w:b/>
      <w:u w:val="singl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Calibri"/>
      <w:szCs w:val="2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Calibri"/>
      <w:szCs w:val="22"/>
    </w:rPr>
  </w:style>
  <w:style w:type="character" w:styleId="FootnoteReference">
    <w:name w:val="footnote reference"/>
    <w:uiPriority w:val="99"/>
    <w:rPr>
      <w:shd w:val="clear" w:color="auto" w:fill="auto"/>
      <w:vertAlign w:val="superscript"/>
    </w:rPr>
  </w:style>
  <w:style w:type="paragraph" w:styleId="FootnoteText">
    <w:name w:val="footnote text"/>
    <w:basedOn w:val="Normal"/>
    <w:link w:val="FootnoteTextChar"/>
    <w:uiPriority w:val="99"/>
    <w:pPr>
      <w:spacing w:before="0" w:after="0"/>
      <w:ind w:left="720" w:hanging="720"/>
    </w:pPr>
    <w:rPr>
      <w:sz w:val="20"/>
      <w:szCs w:val="20"/>
    </w:rPr>
  </w:style>
  <w:style w:type="paragraph" w:customStyle="1" w:styleId="Formuledadoption">
    <w:name w:val="Formule d'adoption"/>
    <w:basedOn w:val="Normal"/>
    <w:next w:val="Normal"/>
    <w:pPr>
      <w:keepNext/>
    </w:pPr>
  </w:style>
  <w:style w:type="paragraph" w:styleId="Header">
    <w:name w:val="header"/>
    <w:basedOn w:val="Normal"/>
    <w:link w:val="HeaderChar"/>
    <w:uiPriority w:val="99"/>
    <w:unhideWhenUsed/>
    <w:pPr>
      <w:tabs>
        <w:tab w:val="center" w:pos="4535"/>
        <w:tab w:val="right" w:pos="9071"/>
      </w:tabs>
      <w:spacing w:before="0"/>
    </w:pPr>
    <w:rPr>
      <w:rFonts w:eastAsia="Calibri"/>
      <w:szCs w:val="22"/>
    </w:rPr>
  </w:style>
  <w:style w:type="paragraph" w:customStyle="1" w:styleId="HeaderLandscape">
    <w:name w:val="HeaderLandscape"/>
    <w:basedOn w:val="Normal"/>
    <w:pPr>
      <w:tabs>
        <w:tab w:val="center" w:pos="7285"/>
        <w:tab w:val="right" w:pos="14003"/>
      </w:tabs>
      <w:spacing w:before="0"/>
    </w:pPr>
    <w:rPr>
      <w:rFonts w:eastAsia="Calibri"/>
      <w:szCs w:val="22"/>
    </w:r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Normal"/>
    <w:pPr>
      <w:keepNext/>
      <w:tabs>
        <w:tab w:val="left" w:pos="4252"/>
      </w:tabs>
      <w:spacing w:before="720" w:after="0"/>
    </w:pPr>
    <w:rPr>
      <w:i/>
    </w:rPr>
  </w:style>
  <w:style w:type="paragraph" w:customStyle="1" w:styleId="Languesfaisantfoi">
    <w:name w:val="Langues faisant foi"/>
    <w:basedOn w:val="Normal"/>
    <w:next w:val="Normal"/>
    <w:pPr>
      <w:spacing w:before="360" w:after="0"/>
      <w:jc w:val="center"/>
    </w:pPr>
  </w:style>
  <w:style w:type="paragraph" w:customStyle="1" w:styleId="IntrtEEE">
    <w:name w:val="Intérêt EEE"/>
    <w:basedOn w:val="Languesfaisantfoi"/>
    <w:next w:val="Normal"/>
    <w:pPr>
      <w:spacing w:after="240"/>
    </w:pPr>
  </w:style>
  <w:style w:type="paragraph" w:customStyle="1" w:styleId="IntrtEEEPagedecouverture">
    <w:name w:val="Intérêt EEE (Page de couverture)"/>
    <w:basedOn w:val="IntrtEEE"/>
    <w:next w:val="Normal"/>
  </w:style>
  <w:style w:type="paragraph" w:customStyle="1" w:styleId="Langue">
    <w:name w:val="Langue"/>
    <w:basedOn w:val="Normal"/>
    <w:next w:val="Normal"/>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ormal"/>
    <w:next w:val="Normal"/>
    <w:pPr>
      <w:spacing w:before="360" w:after="0"/>
      <w:jc w:val="center"/>
    </w:pPr>
  </w:style>
  <w:style w:type="paragraph" w:customStyle="1" w:styleId="ManualConsidrant">
    <w:name w:val="Manual Considérant"/>
    <w:basedOn w:val="Normal"/>
    <w:pPr>
      <w:ind w:left="709" w:hanging="709"/>
    </w:pPr>
  </w:style>
  <w:style w:type="paragraph" w:customStyle="1" w:styleId="ManualHeading1">
    <w:name w:val="Manual Heading 1"/>
    <w:basedOn w:val="Normal"/>
    <w:next w:val="Normal"/>
    <w:pPr>
      <w:keepNext/>
      <w:tabs>
        <w:tab w:val="left" w:pos="850"/>
      </w:tabs>
      <w:spacing w:before="360"/>
      <w:ind w:left="850" w:hanging="850"/>
      <w:outlineLvl w:val="0"/>
    </w:pPr>
    <w:rPr>
      <w:b/>
      <w:smallCaps/>
    </w:rPr>
  </w:style>
  <w:style w:type="paragraph" w:customStyle="1" w:styleId="ManualHeading2">
    <w:name w:val="Manual Heading 2"/>
    <w:basedOn w:val="Normal"/>
    <w:next w:val="Normal"/>
    <w:pPr>
      <w:keepNext/>
      <w:tabs>
        <w:tab w:val="left" w:pos="850"/>
      </w:tabs>
      <w:ind w:left="850" w:hanging="850"/>
      <w:outlineLvl w:val="1"/>
    </w:pPr>
    <w:rPr>
      <w:b/>
    </w:rPr>
  </w:style>
  <w:style w:type="paragraph" w:customStyle="1" w:styleId="ManualHeading3">
    <w:name w:val="Manual Heading 3"/>
    <w:basedOn w:val="Normal"/>
    <w:next w:val="Normal"/>
    <w:pPr>
      <w:keepNext/>
      <w:tabs>
        <w:tab w:val="left" w:pos="850"/>
      </w:tabs>
      <w:ind w:left="850" w:hanging="850"/>
      <w:outlineLvl w:val="2"/>
    </w:pPr>
    <w:rPr>
      <w:i/>
    </w:rPr>
  </w:style>
  <w:style w:type="paragraph" w:customStyle="1" w:styleId="ManualHeading4">
    <w:name w:val="Manual Heading 4"/>
    <w:basedOn w:val="Normal"/>
    <w:next w:val="Normal"/>
    <w:pPr>
      <w:keepNext/>
      <w:tabs>
        <w:tab w:val="left" w:pos="850"/>
      </w:tabs>
      <w:ind w:left="850" w:hanging="850"/>
      <w:outlineLvl w:val="3"/>
    </w:pPr>
  </w:style>
  <w:style w:type="paragraph" w:customStyle="1" w:styleId="ManualNumPar1">
    <w:name w:val="Manual NumPar 1"/>
    <w:basedOn w:val="Normal"/>
    <w:next w:val="Normal"/>
    <w:pPr>
      <w:ind w:left="850" w:hanging="850"/>
    </w:pPr>
  </w:style>
  <w:style w:type="paragraph" w:customStyle="1" w:styleId="ManualNumPar2">
    <w:name w:val="Manual NumPar 2"/>
    <w:basedOn w:val="Normal"/>
    <w:next w:val="Normal"/>
    <w:pPr>
      <w:ind w:left="850" w:hanging="850"/>
    </w:pPr>
  </w:style>
  <w:style w:type="paragraph" w:customStyle="1" w:styleId="ManualNumPar3">
    <w:name w:val="Manual NumPar 3"/>
    <w:basedOn w:val="Normal"/>
    <w:next w:val="Normal"/>
    <w:pPr>
      <w:ind w:left="850" w:hanging="850"/>
    </w:pPr>
  </w:style>
  <w:style w:type="paragraph" w:customStyle="1" w:styleId="ManualNumPar4">
    <w:name w:val="Manual NumPar 4"/>
    <w:basedOn w:val="Normal"/>
    <w:next w:val="Normal"/>
    <w:pPr>
      <w:ind w:left="850" w:hanging="850"/>
    </w:p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NumPar1">
    <w:name w:val="NumPar 1"/>
    <w:basedOn w:val="Normal"/>
    <w:next w:val="Normal"/>
    <w:pPr>
      <w:numPr>
        <w:numId w:val="23"/>
      </w:numPr>
    </w:pPr>
  </w:style>
  <w:style w:type="paragraph" w:customStyle="1" w:styleId="NumPar2">
    <w:name w:val="NumPar 2"/>
    <w:basedOn w:val="Normal"/>
    <w:next w:val="Normal"/>
    <w:pPr>
      <w:numPr>
        <w:ilvl w:val="1"/>
        <w:numId w:val="23"/>
      </w:numPr>
    </w:pPr>
  </w:style>
  <w:style w:type="paragraph" w:customStyle="1" w:styleId="NumPar3">
    <w:name w:val="NumPar 3"/>
    <w:basedOn w:val="Normal"/>
    <w:next w:val="Normal"/>
    <w:pPr>
      <w:numPr>
        <w:ilvl w:val="2"/>
        <w:numId w:val="23"/>
      </w:numPr>
    </w:pPr>
  </w:style>
  <w:style w:type="paragraph" w:customStyle="1" w:styleId="NumPar4">
    <w:name w:val="NumPar 4"/>
    <w:basedOn w:val="Normal"/>
    <w:next w:val="Normal"/>
    <w:pPr>
      <w:numPr>
        <w:ilvl w:val="3"/>
        <w:numId w:val="23"/>
      </w:numPr>
    </w:pPr>
  </w:style>
  <w:style w:type="paragraph" w:customStyle="1" w:styleId="Objetacteprincipal">
    <w:name w:val="Objet acte principal"/>
    <w:basedOn w:val="Normal"/>
    <w:next w:val="Normal"/>
    <w:pPr>
      <w:spacing w:before="0" w:after="360"/>
      <w:jc w:val="center"/>
    </w:pPr>
    <w:rPr>
      <w:b/>
    </w:rPr>
  </w:style>
  <w:style w:type="paragraph" w:customStyle="1" w:styleId="ObjetacteprincipalPagedecouverture">
    <w:name w:val="Objet acte principal (Page de couverture)"/>
    <w:basedOn w:val="Objetacteprincipal"/>
    <w:next w:val="Normal"/>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style>
  <w:style w:type="paragraph" w:customStyle="1" w:styleId="PartTitle">
    <w:name w:val="PartTitle"/>
    <w:basedOn w:val="Normal"/>
    <w:next w:val="ChapterTitle"/>
    <w:pPr>
      <w:keepNext/>
      <w:pageBreakBefore/>
      <w:spacing w:after="360"/>
      <w:jc w:val="center"/>
    </w:pPr>
    <w:rPr>
      <w:b/>
      <w:sz w:val="36"/>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Point0">
    <w:name w:val="Point 0"/>
    <w:basedOn w:val="Normal"/>
    <w:pPr>
      <w:ind w:left="850" w:hanging="850"/>
    </w:pPr>
  </w:style>
  <w:style w:type="paragraph" w:customStyle="1" w:styleId="Point0letter">
    <w:name w:val="Point 0 (letter)"/>
    <w:basedOn w:val="Normal"/>
  </w:style>
  <w:style w:type="paragraph" w:customStyle="1" w:styleId="Point0number">
    <w:name w:val="Point 0 (number)"/>
    <w:basedOn w:val="Normal"/>
  </w:style>
  <w:style w:type="paragraph" w:customStyle="1" w:styleId="Point1">
    <w:name w:val="Point 1"/>
    <w:basedOn w:val="Normal"/>
    <w:pPr>
      <w:ind w:left="1417" w:hanging="567"/>
    </w:pPr>
  </w:style>
  <w:style w:type="paragraph" w:customStyle="1" w:styleId="Point1letter">
    <w:name w:val="Point 1 (letter)"/>
    <w:basedOn w:val="Normal"/>
  </w:style>
  <w:style w:type="paragraph" w:customStyle="1" w:styleId="Point1number">
    <w:name w:val="Point 1 (number)"/>
    <w:basedOn w:val="Normal"/>
  </w:style>
  <w:style w:type="paragraph" w:customStyle="1" w:styleId="Point2">
    <w:name w:val="Point 2"/>
    <w:basedOn w:val="Normal"/>
    <w:pPr>
      <w:ind w:left="1984" w:hanging="567"/>
    </w:pPr>
  </w:style>
  <w:style w:type="paragraph" w:customStyle="1" w:styleId="Point2letter">
    <w:name w:val="Point 2 (letter)"/>
    <w:basedOn w:val="Normal"/>
    <w:pPr>
      <w:numPr>
        <w:ilvl w:val="5"/>
        <w:numId w:val="7"/>
      </w:numPr>
    </w:pPr>
  </w:style>
  <w:style w:type="paragraph" w:customStyle="1" w:styleId="Point2number">
    <w:name w:val="Point 2 (number)"/>
    <w:basedOn w:val="Normal"/>
    <w:pPr>
      <w:numPr>
        <w:ilvl w:val="4"/>
        <w:numId w:val="7"/>
      </w:numPr>
    </w:pPr>
  </w:style>
  <w:style w:type="paragraph" w:customStyle="1" w:styleId="Point3">
    <w:name w:val="Point 3"/>
    <w:basedOn w:val="Normal"/>
    <w:pPr>
      <w:ind w:left="2551" w:hanging="567"/>
    </w:pPr>
  </w:style>
  <w:style w:type="paragraph" w:customStyle="1" w:styleId="Point3letter">
    <w:name w:val="Point 3 (letter)"/>
    <w:basedOn w:val="Normal"/>
    <w:pPr>
      <w:numPr>
        <w:ilvl w:val="7"/>
        <w:numId w:val="7"/>
      </w:numPr>
    </w:pPr>
  </w:style>
  <w:style w:type="paragraph" w:customStyle="1" w:styleId="Point3number">
    <w:name w:val="Point 3 (number)"/>
    <w:basedOn w:val="Normal"/>
    <w:pPr>
      <w:numPr>
        <w:ilvl w:val="6"/>
        <w:numId w:val="7"/>
      </w:numPr>
    </w:pPr>
  </w:style>
  <w:style w:type="paragraph" w:customStyle="1" w:styleId="Point4">
    <w:name w:val="Point 4"/>
    <w:basedOn w:val="Normal"/>
    <w:pPr>
      <w:ind w:left="3118" w:hanging="567"/>
    </w:pPr>
  </w:style>
  <w:style w:type="paragraph" w:customStyle="1" w:styleId="Point4letter">
    <w:name w:val="Point 4 (letter)"/>
    <w:basedOn w:val="Normal"/>
    <w:pPr>
      <w:numPr>
        <w:ilvl w:val="8"/>
        <w:numId w:val="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QuotedNumPar">
    <w:name w:val="Quoted NumPar"/>
    <w:basedOn w:val="Normal"/>
    <w:pPr>
      <w:ind w:left="1417" w:hanging="567"/>
    </w:pPr>
  </w:style>
  <w:style w:type="paragraph" w:customStyle="1" w:styleId="QuotedText">
    <w:name w:val="Quoted Text"/>
    <w:basedOn w:val="Normal"/>
    <w:pPr>
      <w:ind w:left="1417"/>
    </w:pPr>
  </w:style>
  <w:style w:type="paragraph" w:customStyle="1" w:styleId="Rfrencecroise">
    <w:name w:val="Référence croisée"/>
    <w:basedOn w:val="Normal"/>
    <w:pPr>
      <w:spacing w:before="0" w:after="0"/>
      <w:jc w:val="center"/>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Normal"/>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style>
  <w:style w:type="paragraph" w:customStyle="1" w:styleId="Rfrenceinterne">
    <w:name w:val="Référence interne"/>
    <w:basedOn w:val="Normal"/>
    <w:next w:val="Rfrenceinterinstitutionnelle"/>
    <w:pPr>
      <w:spacing w:before="0" w:after="0"/>
      <w:ind w:left="5103"/>
      <w:jc w:val="left"/>
    </w:pPr>
  </w:style>
  <w:style w:type="paragraph" w:customStyle="1" w:styleId="SectionTitle">
    <w:name w:val="SectionTitle"/>
    <w:basedOn w:val="Normal"/>
    <w:next w:val="Heading1"/>
    <w:pPr>
      <w:keepNext/>
      <w:spacing w:after="360"/>
      <w:jc w:val="center"/>
    </w:pPr>
    <w:rPr>
      <w:b/>
      <w:smallCaps/>
      <w:sz w:val="28"/>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Statut">
    <w:name w:val="Statut"/>
    <w:basedOn w:val="Normal"/>
    <w:next w:val="Normal"/>
    <w:pPr>
      <w:spacing w:before="360" w:after="0"/>
      <w:jc w:val="center"/>
    </w:pPr>
  </w:style>
  <w:style w:type="paragraph" w:customStyle="1" w:styleId="StatutPagedecouverture">
    <w:name w:val="Statut (Page de couverture)"/>
    <w:basedOn w:val="Statut"/>
    <w:next w:val="Normal"/>
  </w:style>
  <w:style w:type="paragraph" w:customStyle="1" w:styleId="Supertitre">
    <w:name w:val="Supertitre"/>
    <w:basedOn w:val="Normal"/>
    <w:next w:val="Normal"/>
    <w:pPr>
      <w:spacing w:before="0" w:after="600"/>
      <w:jc w:val="center"/>
    </w:pPr>
    <w:rPr>
      <w:b/>
    </w:rPr>
  </w:style>
  <w:style w:type="paragraph" w:customStyle="1" w:styleId="TableTitle">
    <w:name w:val="Table Title"/>
    <w:basedOn w:val="Normal"/>
    <w:next w:val="Normal"/>
    <w:pPr>
      <w:jc w:val="center"/>
    </w:pPr>
    <w:rPr>
      <w:b/>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iret0">
    <w:name w:val="Tiret 0"/>
    <w:basedOn w:val="Point0"/>
    <w:pPr>
      <w:numPr>
        <w:numId w:val="8"/>
      </w:numPr>
    </w:pPr>
  </w:style>
  <w:style w:type="paragraph" w:customStyle="1" w:styleId="Tiret1">
    <w:name w:val="Tiret 1"/>
    <w:basedOn w:val="Point1"/>
    <w:pPr>
      <w:numPr>
        <w:numId w:val="9"/>
      </w:numPr>
    </w:pPr>
  </w:style>
  <w:style w:type="paragraph" w:customStyle="1" w:styleId="Tiret2">
    <w:name w:val="Tiret 2"/>
    <w:basedOn w:val="Point2"/>
    <w:pPr>
      <w:numPr>
        <w:numId w:val="10"/>
      </w:numPr>
    </w:pPr>
  </w:style>
  <w:style w:type="paragraph" w:customStyle="1" w:styleId="Tiret3">
    <w:name w:val="Tiret 3"/>
    <w:basedOn w:val="Point3"/>
    <w:pPr>
      <w:numPr>
        <w:numId w:val="11"/>
      </w:numPr>
    </w:pPr>
  </w:style>
  <w:style w:type="paragraph" w:customStyle="1" w:styleId="Tiret4">
    <w:name w:val="Tiret 4"/>
    <w:basedOn w:val="Point4"/>
    <w:pPr>
      <w:numPr>
        <w:numId w:val="12"/>
      </w:numP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itreobjetPagedecouverture">
    <w:name w:val="Titre objet (Page de couverture)"/>
    <w:basedOn w:val="Titreobjet"/>
    <w:next w:val="Sous-titreobjetPagedecouverture"/>
  </w:style>
  <w:style w:type="paragraph" w:styleId="TOC1">
    <w:name w:val="toc 1"/>
    <w:basedOn w:val="Normal"/>
    <w:next w:val="Normal"/>
    <w:uiPriority w:val="39"/>
    <w:pPr>
      <w:tabs>
        <w:tab w:val="right" w:leader="dot" w:pos="9071"/>
      </w:tabs>
      <w:spacing w:before="60"/>
      <w:ind w:left="850" w:hanging="850"/>
      <w:jc w:val="left"/>
    </w:pPr>
  </w:style>
  <w:style w:type="paragraph" w:styleId="TOC2">
    <w:name w:val="toc 2"/>
    <w:basedOn w:val="Normal"/>
    <w:next w:val="Normal"/>
    <w:uiPriority w:val="39"/>
    <w:pPr>
      <w:tabs>
        <w:tab w:val="right" w:leader="dot" w:pos="9071"/>
      </w:tabs>
      <w:spacing w:before="60"/>
      <w:ind w:left="850" w:hanging="850"/>
      <w:jc w:val="left"/>
    </w:pPr>
  </w:style>
  <w:style w:type="paragraph" w:styleId="TOC3">
    <w:name w:val="toc 3"/>
    <w:basedOn w:val="Normal"/>
    <w:next w:val="Normal"/>
    <w:uiPriority w:val="39"/>
    <w:pPr>
      <w:tabs>
        <w:tab w:val="right" w:leader="dot" w:pos="9071"/>
      </w:tabs>
      <w:spacing w:before="60"/>
      <w:ind w:left="850" w:hanging="850"/>
      <w:jc w:val="left"/>
    </w:pPr>
  </w:style>
  <w:style w:type="paragraph" w:styleId="TOC4">
    <w:name w:val="toc 4"/>
    <w:basedOn w:val="Normal"/>
    <w:next w:val="Normal"/>
    <w:semiHidden/>
    <w:pPr>
      <w:tabs>
        <w:tab w:val="right" w:leader="dot" w:pos="9071"/>
      </w:tabs>
      <w:spacing w:before="60"/>
      <w:ind w:left="850" w:hanging="850"/>
      <w:jc w:val="left"/>
    </w:pPr>
  </w:style>
  <w:style w:type="paragraph" w:styleId="TOC5">
    <w:name w:val="toc 5"/>
    <w:basedOn w:val="Normal"/>
    <w:next w:val="Normal"/>
    <w:semiHidden/>
    <w:pPr>
      <w:tabs>
        <w:tab w:val="right" w:leader="dot" w:pos="9071"/>
      </w:tabs>
      <w:spacing w:before="300"/>
      <w:jc w:val="left"/>
    </w:pPr>
  </w:style>
  <w:style w:type="paragraph" w:styleId="TOC6">
    <w:name w:val="toc 6"/>
    <w:basedOn w:val="Normal"/>
    <w:next w:val="Normal"/>
    <w:semiHidden/>
    <w:pPr>
      <w:tabs>
        <w:tab w:val="right" w:leader="dot" w:pos="9071"/>
      </w:tabs>
      <w:spacing w:before="240"/>
      <w:jc w:val="left"/>
    </w:pPr>
  </w:style>
  <w:style w:type="paragraph" w:styleId="TOC7">
    <w:name w:val="toc 7"/>
    <w:basedOn w:val="Normal"/>
    <w:next w:val="Normal"/>
    <w:semiHidden/>
    <w:pPr>
      <w:tabs>
        <w:tab w:val="right" w:leader="dot" w:pos="9071"/>
      </w:tabs>
      <w:spacing w:before="180"/>
      <w:jc w:val="left"/>
    </w:pPr>
  </w:style>
  <w:style w:type="paragraph" w:styleId="TOC8">
    <w:name w:val="toc 8"/>
    <w:basedOn w:val="Normal"/>
    <w:next w:val="Normal"/>
    <w:semiHidden/>
    <w:pPr>
      <w:tabs>
        <w:tab w:val="right" w:leader="dot" w:pos="9071"/>
      </w:tabs>
      <w:jc w:val="left"/>
    </w:pPr>
  </w:style>
  <w:style w:type="paragraph" w:styleId="TOC9">
    <w:name w:val="toc 9"/>
    <w:basedOn w:val="Normal"/>
    <w:next w:val="Normal"/>
    <w:semiHidden/>
    <w:pPr>
      <w:tabs>
        <w:tab w:val="right" w:leader="dot" w:pos="9071"/>
      </w:tabs>
    </w:pPr>
  </w:style>
  <w:style w:type="paragraph" w:styleId="TOCHeading">
    <w:name w:val="TOC Heading"/>
    <w:basedOn w:val="Normal"/>
    <w:next w:val="Normal"/>
    <w:link w:val="TOCHeadingChar"/>
    <w:uiPriority w:val="39"/>
    <w:qFormat/>
    <w:pPr>
      <w:spacing w:after="240"/>
      <w:jc w:val="center"/>
    </w:pPr>
    <w:rPr>
      <w:b/>
      <w:sz w:val="28"/>
    </w:rPr>
  </w:style>
  <w:style w:type="paragraph" w:customStyle="1" w:styleId="Typeacteprincipal">
    <w:name w:val="Type acte principal"/>
    <w:basedOn w:val="Normal"/>
    <w:next w:val="Objetacteprincipal"/>
    <w:pPr>
      <w:spacing w:before="0" w:after="240"/>
      <w:jc w:val="center"/>
    </w:pPr>
    <w:rPr>
      <w:b/>
    </w:rPr>
  </w:style>
  <w:style w:type="paragraph" w:customStyle="1" w:styleId="TypeacteprincipalPagedecouverture">
    <w:name w:val="Type acte principal (Page de couverture)"/>
    <w:basedOn w:val="Typeacteprincipal"/>
    <w:next w:val="ObjetacteprincipalPagedecouverture"/>
  </w:style>
  <w:style w:type="paragraph" w:customStyle="1" w:styleId="Typedudocument">
    <w:name w:val="Type du document"/>
    <w:basedOn w:val="Normal"/>
    <w:next w:val="Titreobjet"/>
    <w:pPr>
      <w:spacing w:before="360" w:after="0"/>
      <w:jc w:val="center"/>
    </w:pPr>
    <w:rPr>
      <w:b/>
    </w:rPr>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styleId="ListBullet">
    <w:name w:val="List Bullet"/>
    <w:basedOn w:val="Normal"/>
    <w:pPr>
      <w:numPr>
        <w:numId w:val="15"/>
      </w:numPr>
    </w:pPr>
    <w:rPr>
      <w:lang w:eastAsia="de-DE"/>
    </w:rPr>
  </w:style>
  <w:style w:type="table" w:styleId="TableGrid">
    <w:name w:val="Table Grid"/>
    <w:basedOn w:val="TableNormal"/>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shd w:val="clear" w:color="auto" w:fill="auto"/>
      <w:lang w:eastAsia="en-US"/>
    </w:rPr>
  </w:style>
  <w:style w:type="paragraph" w:styleId="ListBullet2">
    <w:name w:val="List Bullet 2"/>
    <w:basedOn w:val="Normal"/>
    <w:pPr>
      <w:numPr>
        <w:numId w:val="16"/>
      </w:numPr>
    </w:pPr>
  </w:style>
  <w:style w:type="paragraph" w:styleId="ListBullet3">
    <w:name w:val="List Bullet 3"/>
    <w:basedOn w:val="Normal"/>
    <w:pPr>
      <w:numPr>
        <w:numId w:val="17"/>
      </w:numPr>
    </w:pPr>
  </w:style>
  <w:style w:type="paragraph" w:styleId="ListBullet4">
    <w:name w:val="List Bullet 4"/>
    <w:basedOn w:val="Normal"/>
    <w:pPr>
      <w:numPr>
        <w:numId w:val="18"/>
      </w:numPr>
    </w:pPr>
  </w:style>
  <w:style w:type="paragraph" w:styleId="Caption">
    <w:name w:val="caption"/>
    <w:basedOn w:val="Normal"/>
    <w:next w:val="Normal"/>
    <w:qFormat/>
    <w:rPr>
      <w:b/>
      <w:bCs/>
      <w:sz w:val="20"/>
      <w:szCs w:val="20"/>
    </w:rPr>
  </w:style>
  <w:style w:type="paragraph" w:styleId="TableofFigures">
    <w:name w:val="table of figures"/>
    <w:basedOn w:val="Normal"/>
    <w:next w:val="Normal"/>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character" w:styleId="CommentReference">
    <w:name w:val="annotation reference"/>
    <w:rPr>
      <w:rFonts w:cs="Times New Roman"/>
      <w:sz w:val="16"/>
      <w:szCs w:val="16"/>
      <w:shd w:val="clear" w:color="auto" w:fill="auto"/>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shd w:val="clear" w:color="auto" w:fill="auto"/>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shd w:val="clear" w:color="auto" w:fill="auto"/>
      <w:lang w:eastAsia="en-US"/>
    </w:rPr>
  </w:style>
  <w:style w:type="character" w:styleId="Hyperlink">
    <w:name w:val="Hyperlink"/>
    <w:uiPriority w:val="99"/>
    <w:rPr>
      <w:rFonts w:cs="Times New Roman"/>
      <w:color w:val="0000FF"/>
      <w:u w:val="single"/>
      <w:shd w:val="clear" w:color="auto" w:fill="auto"/>
    </w:rPr>
  </w:style>
  <w:style w:type="paragraph" w:customStyle="1" w:styleId="Default">
    <w:name w:val="Default"/>
    <w:pPr>
      <w:autoSpaceDE w:val="0"/>
      <w:autoSpaceDN w:val="0"/>
      <w:adjustRightInd w:val="0"/>
    </w:pPr>
    <w:rPr>
      <w:color w:val="000000"/>
      <w:sz w:val="24"/>
      <w:szCs w:val="24"/>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link w:val="TOCHeading"/>
    <w:uiPriority w:val="39"/>
    <w:rPr>
      <w:b/>
      <w:sz w:val="28"/>
      <w:szCs w:val="24"/>
      <w:shd w:val="clear" w:color="auto" w:fill="auto"/>
      <w:lang w:eastAsia="en-US"/>
    </w:rPr>
  </w:style>
  <w:style w:type="character" w:customStyle="1" w:styleId="FooterCoverPageChar">
    <w:name w:val="Footer Cover Page Char"/>
    <w:link w:val="FooterCoverPage"/>
    <w:rPr>
      <w:sz w:val="24"/>
      <w:szCs w:val="24"/>
      <w:lang w:eastAsia="en-US"/>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link w:val="HeaderCoverPage"/>
    <w:rPr>
      <w:sz w:val="24"/>
      <w:szCs w:val="24"/>
      <w:lang w:eastAsia="en-US"/>
    </w:rPr>
  </w:style>
  <w:style w:type="character" w:customStyle="1" w:styleId="FootnoteTextChar">
    <w:name w:val="Footnote Text Char"/>
    <w:link w:val="FootnoteText"/>
    <w:uiPriority w:val="99"/>
    <w:rPr>
      <w:lang w:eastAsia="en-US"/>
    </w:rPr>
  </w:style>
  <w:style w:type="character" w:customStyle="1" w:styleId="Heading4Char">
    <w:name w:val="Heading 4 Char"/>
    <w:link w:val="Heading4"/>
    <w:rPr>
      <w:bCs/>
      <w:sz w:val="24"/>
      <w:szCs w:val="28"/>
      <w:lang w:eastAsia="en-US"/>
    </w:rPr>
  </w:style>
  <w:style w:type="character" w:customStyle="1" w:styleId="FooterChar">
    <w:name w:val="Footer Char"/>
    <w:link w:val="Footer"/>
    <w:uiPriority w:val="99"/>
    <w:rPr>
      <w:rFonts w:eastAsia="Calibri"/>
      <w:sz w:val="24"/>
      <w:szCs w:val="22"/>
      <w:lang w:eastAsia="en-US"/>
    </w:rPr>
  </w:style>
  <w:style w:type="paragraph" w:styleId="Revision">
    <w:name w:val="Revision"/>
    <w:hidden/>
    <w:uiPriority w:val="99"/>
    <w:semiHidden/>
    <w:rPr>
      <w:sz w:val="24"/>
      <w:szCs w:val="24"/>
      <w:lang w:eastAsia="en-US"/>
    </w:rPr>
  </w:style>
  <w:style w:type="character" w:customStyle="1" w:styleId="Heading3Char">
    <w:name w:val="Heading 3 Char"/>
    <w:link w:val="Heading3"/>
    <w:rPr>
      <w:bCs/>
      <w:i/>
      <w:sz w:val="24"/>
      <w:szCs w:val="26"/>
      <w:lang w:eastAsia="en-US"/>
    </w:rPr>
  </w:style>
  <w:style w:type="paragraph" w:customStyle="1" w:styleId="Declassification">
    <w:name w:val="Declassification"/>
    <w:basedOn w:val="Normal"/>
    <w:next w:val="Normal"/>
    <w:pPr>
      <w:spacing w:before="0" w:after="0"/>
    </w:pPr>
    <w:rPr>
      <w:rFonts w:eastAsia="Calibri"/>
      <w:szCs w:val="22"/>
    </w:rPr>
  </w:style>
  <w:style w:type="character" w:customStyle="1" w:styleId="HeaderChar">
    <w:name w:val="Header Char"/>
    <w:link w:val="Header"/>
    <w:uiPriority w:val="99"/>
    <w:rPr>
      <w:rFonts w:eastAsia="Calibri"/>
      <w:sz w:val="24"/>
      <w:szCs w:val="22"/>
      <w:lang w:eastAsia="en-US"/>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SecurityMarking">
    <w:name w:val="SecurityMarking"/>
    <w:basedOn w:val="Normal"/>
    <w:pPr>
      <w:spacing w:before="0" w:after="0" w:line="276" w:lineRule="auto"/>
      <w:ind w:left="5103"/>
      <w:jc w:val="left"/>
    </w:pPr>
    <w:rPr>
      <w:rFonts w:eastAsiaTheme="minorHAnsi"/>
      <w:sz w:val="28"/>
      <w:szCs w:val="22"/>
    </w:rPr>
  </w:style>
  <w:style w:type="paragraph" w:customStyle="1" w:styleId="DateMarking">
    <w:name w:val="DateMarking"/>
    <w:basedOn w:val="Normal"/>
    <w:pPr>
      <w:spacing w:before="0" w:after="0" w:line="276" w:lineRule="auto"/>
      <w:ind w:left="5103"/>
      <w:jc w:val="left"/>
    </w:pPr>
    <w:rPr>
      <w:rFonts w:eastAsiaTheme="minorHAnsi"/>
      <w:i/>
      <w:sz w:val="28"/>
      <w:szCs w:val="22"/>
    </w:rPr>
  </w:style>
  <w:style w:type="paragraph" w:customStyle="1" w:styleId="ReleasableTo">
    <w:name w:val="ReleasableTo"/>
    <w:basedOn w:val="Normal"/>
    <w:pPr>
      <w:spacing w:before="0" w:after="0" w:line="276" w:lineRule="auto"/>
      <w:ind w:left="5103"/>
      <w:jc w:val="left"/>
    </w:pPr>
    <w:rPr>
      <w:rFonts w:eastAsiaTheme="minorHAnsi"/>
      <w:i/>
      <w:sz w:val="28"/>
      <w:szCs w:val="22"/>
    </w:rPr>
  </w:style>
  <w:style w:type="paragraph" w:customStyle="1" w:styleId="HeaderSensitivityRight">
    <w:name w:val="Header Sensitivity Right"/>
    <w:basedOn w:val="Normal"/>
    <w:pPr>
      <w:spacing w:before="0"/>
      <w:jc w:val="right"/>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jc w:val="both"/>
    </w:pPr>
    <w:rPr>
      <w:sz w:val="24"/>
      <w:szCs w:val="24"/>
      <w:lang w:eastAsia="en-US"/>
    </w:rPr>
  </w:style>
  <w:style w:type="paragraph" w:styleId="Heading1">
    <w:name w:val="heading 1"/>
    <w:basedOn w:val="Normal"/>
    <w:next w:val="Normal"/>
    <w:qFormat/>
    <w:pPr>
      <w:keepNext/>
      <w:numPr>
        <w:numId w:val="24"/>
      </w:numPr>
      <w:spacing w:before="360"/>
      <w:outlineLvl w:val="0"/>
    </w:pPr>
    <w:rPr>
      <w:b/>
      <w:bCs/>
      <w:smallCaps/>
      <w:szCs w:val="32"/>
    </w:rPr>
  </w:style>
  <w:style w:type="paragraph" w:styleId="Heading2">
    <w:name w:val="heading 2"/>
    <w:basedOn w:val="Normal"/>
    <w:next w:val="Normal"/>
    <w:qFormat/>
    <w:pPr>
      <w:keepNext/>
      <w:numPr>
        <w:ilvl w:val="1"/>
        <w:numId w:val="24"/>
      </w:numPr>
      <w:outlineLvl w:val="1"/>
    </w:pPr>
    <w:rPr>
      <w:b/>
      <w:bCs/>
      <w:iCs/>
      <w:szCs w:val="28"/>
    </w:rPr>
  </w:style>
  <w:style w:type="paragraph" w:styleId="Heading3">
    <w:name w:val="heading 3"/>
    <w:basedOn w:val="Normal"/>
    <w:next w:val="Normal"/>
    <w:link w:val="Heading3Char"/>
    <w:autoRedefine/>
    <w:qFormat/>
    <w:pPr>
      <w:keepNext/>
      <w:numPr>
        <w:ilvl w:val="2"/>
        <w:numId w:val="24"/>
      </w:numPr>
      <w:outlineLvl w:val="2"/>
    </w:pPr>
    <w:rPr>
      <w:bCs/>
      <w:i/>
      <w:szCs w:val="26"/>
    </w:rPr>
  </w:style>
  <w:style w:type="paragraph" w:styleId="Heading4">
    <w:name w:val="heading 4"/>
    <w:basedOn w:val="Normal"/>
    <w:next w:val="Normal"/>
    <w:link w:val="Heading4Char"/>
    <w:qFormat/>
    <w:pPr>
      <w:keepNext/>
      <w:outlineLvl w:val="3"/>
    </w:pPr>
    <w:rPr>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ompagnant">
    <w:name w:val="Accompagnant"/>
    <w:basedOn w:val="Normal"/>
    <w:next w:val="Normal"/>
    <w:pPr>
      <w:spacing w:before="0" w:after="240"/>
      <w:jc w:val="center"/>
    </w:pPr>
    <w:rPr>
      <w:b/>
      <w:i/>
    </w:rPr>
  </w:style>
  <w:style w:type="paragraph" w:customStyle="1" w:styleId="AccompagnantPagedecouverture">
    <w:name w:val="Accompagnant (Page de couverture)"/>
    <w:basedOn w:val="Accompagnant"/>
    <w:next w:val="Normal"/>
  </w:style>
  <w:style w:type="character" w:customStyle="1" w:styleId="Added">
    <w:name w:val="Added"/>
    <w:rPr>
      <w:b/>
      <w:u w:val="single"/>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Annexetitre">
    <w:name w:val="Annexe titre"/>
    <w:basedOn w:val="Normal"/>
    <w:next w:val="Normal"/>
    <w:pPr>
      <w:jc w:val="center"/>
    </w:pPr>
    <w:rPr>
      <w:b/>
      <w:u w:val="single"/>
    </w:rPr>
  </w:style>
  <w:style w:type="paragraph" w:customStyle="1" w:styleId="Annexetitreexpos">
    <w:name w:val="Annexe titre (exposé)"/>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Normal"/>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Bullet0">
    <w:name w:val="Bullet 0"/>
    <w:basedOn w:val="Normal"/>
    <w:pPr>
      <w:numPr>
        <w:numId w:val="1"/>
      </w:numPr>
    </w:pPr>
  </w:style>
  <w:style w:type="paragraph" w:customStyle="1" w:styleId="Bullet1">
    <w:name w:val="Bullet 1"/>
    <w:basedOn w:val="Normal"/>
    <w:pPr>
      <w:numPr>
        <w:numId w:val="2"/>
      </w:numPr>
    </w:pPr>
  </w:style>
  <w:style w:type="paragraph" w:customStyle="1" w:styleId="Bullet2">
    <w:name w:val="Bullet 2"/>
    <w:basedOn w:val="Normal"/>
    <w:pPr>
      <w:numPr>
        <w:numId w:val="3"/>
      </w:numPr>
    </w:pPr>
  </w:style>
  <w:style w:type="paragraph" w:customStyle="1" w:styleId="Bullet3">
    <w:name w:val="Bullet 3"/>
    <w:basedOn w:val="Normal"/>
    <w:pPr>
      <w:numPr>
        <w:numId w:val="4"/>
      </w:numPr>
    </w:pPr>
  </w:style>
  <w:style w:type="paragraph" w:customStyle="1" w:styleId="Bullet4">
    <w:name w:val="Bullet 4"/>
    <w:basedOn w:val="Normal"/>
    <w:pPr>
      <w:numPr>
        <w:numId w:val="5"/>
      </w:numPr>
    </w:pPr>
  </w:style>
  <w:style w:type="paragraph" w:customStyle="1" w:styleId="ChapterTitle">
    <w:name w:val="ChapterTitle"/>
    <w:basedOn w:val="Normal"/>
    <w:next w:val="Normal"/>
    <w:pPr>
      <w:keepNext/>
      <w:spacing w:after="360"/>
      <w:jc w:val="center"/>
    </w:pPr>
    <w:rPr>
      <w:b/>
      <w:sz w:val="32"/>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Normal"/>
    <w:pPr>
      <w:spacing w:before="240" w:after="240"/>
      <w:ind w:left="5103"/>
    </w:pPr>
    <w:rPr>
      <w:u w:val="single"/>
    </w:rPr>
  </w:style>
  <w:style w:type="paragraph" w:customStyle="1" w:styleId="Considrant">
    <w:name w:val="Considérant"/>
    <w:basedOn w:val="Normal"/>
    <w:pPr>
      <w:numPr>
        <w:numId w:val="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Normal"/>
    <w:pPr>
      <w:spacing w:before="360" w:after="0"/>
      <w:jc w:val="center"/>
    </w:pPr>
    <w:rPr>
      <w:b/>
    </w:rPr>
  </w:style>
  <w:style w:type="paragraph" w:customStyle="1" w:styleId="DatedadoptionPagedecouverture">
    <w:name w:val="Date d'adoption (Page de couverture)"/>
    <w:basedOn w:val="Datedadoption"/>
    <w:next w:val="Normal"/>
  </w:style>
  <w:style w:type="character" w:customStyle="1" w:styleId="Deleted">
    <w:name w:val="Deleted"/>
    <w:rPr>
      <w:strike/>
      <w:shd w:val="clear" w:color="auto" w:fill="auto"/>
    </w:rPr>
  </w:style>
  <w:style w:type="paragraph" w:customStyle="1" w:styleId="Emission">
    <w:name w:val="Emission"/>
    <w:basedOn w:val="Normal"/>
    <w:next w:val="Normal"/>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Normal"/>
    <w:pPr>
      <w:keepNext/>
      <w:spacing w:after="0"/>
    </w:pPr>
  </w:style>
  <w:style w:type="paragraph" w:customStyle="1" w:styleId="Fichefinanciretitre">
    <w:name w:val="Fiche financière titre"/>
    <w:basedOn w:val="Normal"/>
    <w:next w:val="Normal"/>
    <w:pPr>
      <w:jc w:val="center"/>
    </w:pPr>
    <w:rPr>
      <w:b/>
      <w:u w:val="singl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Calibri"/>
      <w:szCs w:val="2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Calibri"/>
      <w:szCs w:val="22"/>
    </w:rPr>
  </w:style>
  <w:style w:type="character" w:styleId="FootnoteReference">
    <w:name w:val="footnote reference"/>
    <w:uiPriority w:val="99"/>
    <w:rPr>
      <w:shd w:val="clear" w:color="auto" w:fill="auto"/>
      <w:vertAlign w:val="superscript"/>
    </w:rPr>
  </w:style>
  <w:style w:type="paragraph" w:styleId="FootnoteText">
    <w:name w:val="footnote text"/>
    <w:basedOn w:val="Normal"/>
    <w:link w:val="FootnoteTextChar"/>
    <w:uiPriority w:val="99"/>
    <w:pPr>
      <w:spacing w:before="0" w:after="0"/>
      <w:ind w:left="720" w:hanging="720"/>
    </w:pPr>
    <w:rPr>
      <w:sz w:val="20"/>
      <w:szCs w:val="20"/>
    </w:rPr>
  </w:style>
  <w:style w:type="paragraph" w:customStyle="1" w:styleId="Formuledadoption">
    <w:name w:val="Formule d'adoption"/>
    <w:basedOn w:val="Normal"/>
    <w:next w:val="Normal"/>
    <w:pPr>
      <w:keepNext/>
    </w:pPr>
  </w:style>
  <w:style w:type="paragraph" w:styleId="Header">
    <w:name w:val="header"/>
    <w:basedOn w:val="Normal"/>
    <w:link w:val="HeaderChar"/>
    <w:uiPriority w:val="99"/>
    <w:unhideWhenUsed/>
    <w:pPr>
      <w:tabs>
        <w:tab w:val="center" w:pos="4535"/>
        <w:tab w:val="right" w:pos="9071"/>
      </w:tabs>
      <w:spacing w:before="0"/>
    </w:pPr>
    <w:rPr>
      <w:rFonts w:eastAsia="Calibri"/>
      <w:szCs w:val="22"/>
    </w:rPr>
  </w:style>
  <w:style w:type="paragraph" w:customStyle="1" w:styleId="HeaderLandscape">
    <w:name w:val="HeaderLandscape"/>
    <w:basedOn w:val="Normal"/>
    <w:pPr>
      <w:tabs>
        <w:tab w:val="center" w:pos="7285"/>
        <w:tab w:val="right" w:pos="14003"/>
      </w:tabs>
      <w:spacing w:before="0"/>
    </w:pPr>
    <w:rPr>
      <w:rFonts w:eastAsia="Calibri"/>
      <w:szCs w:val="22"/>
    </w:r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Normal"/>
    <w:pPr>
      <w:keepNext/>
      <w:tabs>
        <w:tab w:val="left" w:pos="4252"/>
      </w:tabs>
      <w:spacing w:before="720" w:after="0"/>
    </w:pPr>
    <w:rPr>
      <w:i/>
    </w:rPr>
  </w:style>
  <w:style w:type="paragraph" w:customStyle="1" w:styleId="Languesfaisantfoi">
    <w:name w:val="Langues faisant foi"/>
    <w:basedOn w:val="Normal"/>
    <w:next w:val="Normal"/>
    <w:pPr>
      <w:spacing w:before="360" w:after="0"/>
      <w:jc w:val="center"/>
    </w:pPr>
  </w:style>
  <w:style w:type="paragraph" w:customStyle="1" w:styleId="IntrtEEE">
    <w:name w:val="Intérêt EEE"/>
    <w:basedOn w:val="Languesfaisantfoi"/>
    <w:next w:val="Normal"/>
    <w:pPr>
      <w:spacing w:after="240"/>
    </w:pPr>
  </w:style>
  <w:style w:type="paragraph" w:customStyle="1" w:styleId="IntrtEEEPagedecouverture">
    <w:name w:val="Intérêt EEE (Page de couverture)"/>
    <w:basedOn w:val="IntrtEEE"/>
    <w:next w:val="Normal"/>
  </w:style>
  <w:style w:type="paragraph" w:customStyle="1" w:styleId="Langue">
    <w:name w:val="Langue"/>
    <w:basedOn w:val="Normal"/>
    <w:next w:val="Normal"/>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ormal"/>
    <w:next w:val="Normal"/>
    <w:pPr>
      <w:spacing w:before="360" w:after="0"/>
      <w:jc w:val="center"/>
    </w:pPr>
  </w:style>
  <w:style w:type="paragraph" w:customStyle="1" w:styleId="ManualConsidrant">
    <w:name w:val="Manual Considérant"/>
    <w:basedOn w:val="Normal"/>
    <w:pPr>
      <w:ind w:left="709" w:hanging="709"/>
    </w:pPr>
  </w:style>
  <w:style w:type="paragraph" w:customStyle="1" w:styleId="ManualHeading1">
    <w:name w:val="Manual Heading 1"/>
    <w:basedOn w:val="Normal"/>
    <w:next w:val="Normal"/>
    <w:pPr>
      <w:keepNext/>
      <w:tabs>
        <w:tab w:val="left" w:pos="850"/>
      </w:tabs>
      <w:spacing w:before="360"/>
      <w:ind w:left="850" w:hanging="850"/>
      <w:outlineLvl w:val="0"/>
    </w:pPr>
    <w:rPr>
      <w:b/>
      <w:smallCaps/>
    </w:rPr>
  </w:style>
  <w:style w:type="paragraph" w:customStyle="1" w:styleId="ManualHeading2">
    <w:name w:val="Manual Heading 2"/>
    <w:basedOn w:val="Normal"/>
    <w:next w:val="Normal"/>
    <w:pPr>
      <w:keepNext/>
      <w:tabs>
        <w:tab w:val="left" w:pos="850"/>
      </w:tabs>
      <w:ind w:left="850" w:hanging="850"/>
      <w:outlineLvl w:val="1"/>
    </w:pPr>
    <w:rPr>
      <w:b/>
    </w:rPr>
  </w:style>
  <w:style w:type="paragraph" w:customStyle="1" w:styleId="ManualHeading3">
    <w:name w:val="Manual Heading 3"/>
    <w:basedOn w:val="Normal"/>
    <w:next w:val="Normal"/>
    <w:pPr>
      <w:keepNext/>
      <w:tabs>
        <w:tab w:val="left" w:pos="850"/>
      </w:tabs>
      <w:ind w:left="850" w:hanging="850"/>
      <w:outlineLvl w:val="2"/>
    </w:pPr>
    <w:rPr>
      <w:i/>
    </w:rPr>
  </w:style>
  <w:style w:type="paragraph" w:customStyle="1" w:styleId="ManualHeading4">
    <w:name w:val="Manual Heading 4"/>
    <w:basedOn w:val="Normal"/>
    <w:next w:val="Normal"/>
    <w:pPr>
      <w:keepNext/>
      <w:tabs>
        <w:tab w:val="left" w:pos="850"/>
      </w:tabs>
      <w:ind w:left="850" w:hanging="850"/>
      <w:outlineLvl w:val="3"/>
    </w:pPr>
  </w:style>
  <w:style w:type="paragraph" w:customStyle="1" w:styleId="ManualNumPar1">
    <w:name w:val="Manual NumPar 1"/>
    <w:basedOn w:val="Normal"/>
    <w:next w:val="Normal"/>
    <w:pPr>
      <w:ind w:left="850" w:hanging="850"/>
    </w:pPr>
  </w:style>
  <w:style w:type="paragraph" w:customStyle="1" w:styleId="ManualNumPar2">
    <w:name w:val="Manual NumPar 2"/>
    <w:basedOn w:val="Normal"/>
    <w:next w:val="Normal"/>
    <w:pPr>
      <w:ind w:left="850" w:hanging="850"/>
    </w:pPr>
  </w:style>
  <w:style w:type="paragraph" w:customStyle="1" w:styleId="ManualNumPar3">
    <w:name w:val="Manual NumPar 3"/>
    <w:basedOn w:val="Normal"/>
    <w:next w:val="Normal"/>
    <w:pPr>
      <w:ind w:left="850" w:hanging="850"/>
    </w:pPr>
  </w:style>
  <w:style w:type="paragraph" w:customStyle="1" w:styleId="ManualNumPar4">
    <w:name w:val="Manual NumPar 4"/>
    <w:basedOn w:val="Normal"/>
    <w:next w:val="Normal"/>
    <w:pPr>
      <w:ind w:left="850" w:hanging="850"/>
    </w:p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NumPar1">
    <w:name w:val="NumPar 1"/>
    <w:basedOn w:val="Normal"/>
    <w:next w:val="Normal"/>
    <w:pPr>
      <w:numPr>
        <w:numId w:val="23"/>
      </w:numPr>
    </w:pPr>
  </w:style>
  <w:style w:type="paragraph" w:customStyle="1" w:styleId="NumPar2">
    <w:name w:val="NumPar 2"/>
    <w:basedOn w:val="Normal"/>
    <w:next w:val="Normal"/>
    <w:pPr>
      <w:numPr>
        <w:ilvl w:val="1"/>
        <w:numId w:val="23"/>
      </w:numPr>
    </w:pPr>
  </w:style>
  <w:style w:type="paragraph" w:customStyle="1" w:styleId="NumPar3">
    <w:name w:val="NumPar 3"/>
    <w:basedOn w:val="Normal"/>
    <w:next w:val="Normal"/>
    <w:pPr>
      <w:numPr>
        <w:ilvl w:val="2"/>
        <w:numId w:val="23"/>
      </w:numPr>
    </w:pPr>
  </w:style>
  <w:style w:type="paragraph" w:customStyle="1" w:styleId="NumPar4">
    <w:name w:val="NumPar 4"/>
    <w:basedOn w:val="Normal"/>
    <w:next w:val="Normal"/>
    <w:pPr>
      <w:numPr>
        <w:ilvl w:val="3"/>
        <w:numId w:val="23"/>
      </w:numPr>
    </w:pPr>
  </w:style>
  <w:style w:type="paragraph" w:customStyle="1" w:styleId="Objetacteprincipal">
    <w:name w:val="Objet acte principal"/>
    <w:basedOn w:val="Normal"/>
    <w:next w:val="Normal"/>
    <w:pPr>
      <w:spacing w:before="0" w:after="360"/>
      <w:jc w:val="center"/>
    </w:pPr>
    <w:rPr>
      <w:b/>
    </w:rPr>
  </w:style>
  <w:style w:type="paragraph" w:customStyle="1" w:styleId="ObjetacteprincipalPagedecouverture">
    <w:name w:val="Objet acte principal (Page de couverture)"/>
    <w:basedOn w:val="Objetacteprincipal"/>
    <w:next w:val="Normal"/>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style>
  <w:style w:type="paragraph" w:customStyle="1" w:styleId="PartTitle">
    <w:name w:val="PartTitle"/>
    <w:basedOn w:val="Normal"/>
    <w:next w:val="ChapterTitle"/>
    <w:pPr>
      <w:keepNext/>
      <w:pageBreakBefore/>
      <w:spacing w:after="360"/>
      <w:jc w:val="center"/>
    </w:pPr>
    <w:rPr>
      <w:b/>
      <w:sz w:val="36"/>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Point0">
    <w:name w:val="Point 0"/>
    <w:basedOn w:val="Normal"/>
    <w:pPr>
      <w:ind w:left="850" w:hanging="850"/>
    </w:pPr>
  </w:style>
  <w:style w:type="paragraph" w:customStyle="1" w:styleId="Point0letter">
    <w:name w:val="Point 0 (letter)"/>
    <w:basedOn w:val="Normal"/>
  </w:style>
  <w:style w:type="paragraph" w:customStyle="1" w:styleId="Point0number">
    <w:name w:val="Point 0 (number)"/>
    <w:basedOn w:val="Normal"/>
  </w:style>
  <w:style w:type="paragraph" w:customStyle="1" w:styleId="Point1">
    <w:name w:val="Point 1"/>
    <w:basedOn w:val="Normal"/>
    <w:pPr>
      <w:ind w:left="1417" w:hanging="567"/>
    </w:pPr>
  </w:style>
  <w:style w:type="paragraph" w:customStyle="1" w:styleId="Point1letter">
    <w:name w:val="Point 1 (letter)"/>
    <w:basedOn w:val="Normal"/>
  </w:style>
  <w:style w:type="paragraph" w:customStyle="1" w:styleId="Point1number">
    <w:name w:val="Point 1 (number)"/>
    <w:basedOn w:val="Normal"/>
  </w:style>
  <w:style w:type="paragraph" w:customStyle="1" w:styleId="Point2">
    <w:name w:val="Point 2"/>
    <w:basedOn w:val="Normal"/>
    <w:pPr>
      <w:ind w:left="1984" w:hanging="567"/>
    </w:pPr>
  </w:style>
  <w:style w:type="paragraph" w:customStyle="1" w:styleId="Point2letter">
    <w:name w:val="Point 2 (letter)"/>
    <w:basedOn w:val="Normal"/>
    <w:pPr>
      <w:numPr>
        <w:ilvl w:val="5"/>
        <w:numId w:val="7"/>
      </w:numPr>
    </w:pPr>
  </w:style>
  <w:style w:type="paragraph" w:customStyle="1" w:styleId="Point2number">
    <w:name w:val="Point 2 (number)"/>
    <w:basedOn w:val="Normal"/>
    <w:pPr>
      <w:numPr>
        <w:ilvl w:val="4"/>
        <w:numId w:val="7"/>
      </w:numPr>
    </w:pPr>
  </w:style>
  <w:style w:type="paragraph" w:customStyle="1" w:styleId="Point3">
    <w:name w:val="Point 3"/>
    <w:basedOn w:val="Normal"/>
    <w:pPr>
      <w:ind w:left="2551" w:hanging="567"/>
    </w:pPr>
  </w:style>
  <w:style w:type="paragraph" w:customStyle="1" w:styleId="Point3letter">
    <w:name w:val="Point 3 (letter)"/>
    <w:basedOn w:val="Normal"/>
    <w:pPr>
      <w:numPr>
        <w:ilvl w:val="7"/>
        <w:numId w:val="7"/>
      </w:numPr>
    </w:pPr>
  </w:style>
  <w:style w:type="paragraph" w:customStyle="1" w:styleId="Point3number">
    <w:name w:val="Point 3 (number)"/>
    <w:basedOn w:val="Normal"/>
    <w:pPr>
      <w:numPr>
        <w:ilvl w:val="6"/>
        <w:numId w:val="7"/>
      </w:numPr>
    </w:pPr>
  </w:style>
  <w:style w:type="paragraph" w:customStyle="1" w:styleId="Point4">
    <w:name w:val="Point 4"/>
    <w:basedOn w:val="Normal"/>
    <w:pPr>
      <w:ind w:left="3118" w:hanging="567"/>
    </w:pPr>
  </w:style>
  <w:style w:type="paragraph" w:customStyle="1" w:styleId="Point4letter">
    <w:name w:val="Point 4 (letter)"/>
    <w:basedOn w:val="Normal"/>
    <w:pPr>
      <w:numPr>
        <w:ilvl w:val="8"/>
        <w:numId w:val="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QuotedNumPar">
    <w:name w:val="Quoted NumPar"/>
    <w:basedOn w:val="Normal"/>
    <w:pPr>
      <w:ind w:left="1417" w:hanging="567"/>
    </w:pPr>
  </w:style>
  <w:style w:type="paragraph" w:customStyle="1" w:styleId="QuotedText">
    <w:name w:val="Quoted Text"/>
    <w:basedOn w:val="Normal"/>
    <w:pPr>
      <w:ind w:left="1417"/>
    </w:pPr>
  </w:style>
  <w:style w:type="paragraph" w:customStyle="1" w:styleId="Rfrencecroise">
    <w:name w:val="Référence croisée"/>
    <w:basedOn w:val="Normal"/>
    <w:pPr>
      <w:spacing w:before="0" w:after="0"/>
      <w:jc w:val="center"/>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Normal"/>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style>
  <w:style w:type="paragraph" w:customStyle="1" w:styleId="Rfrenceinterne">
    <w:name w:val="Référence interne"/>
    <w:basedOn w:val="Normal"/>
    <w:next w:val="Rfrenceinterinstitutionnelle"/>
    <w:pPr>
      <w:spacing w:before="0" w:after="0"/>
      <w:ind w:left="5103"/>
      <w:jc w:val="left"/>
    </w:pPr>
  </w:style>
  <w:style w:type="paragraph" w:customStyle="1" w:styleId="SectionTitle">
    <w:name w:val="SectionTitle"/>
    <w:basedOn w:val="Normal"/>
    <w:next w:val="Heading1"/>
    <w:pPr>
      <w:keepNext/>
      <w:spacing w:after="360"/>
      <w:jc w:val="center"/>
    </w:pPr>
    <w:rPr>
      <w:b/>
      <w:smallCaps/>
      <w:sz w:val="28"/>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Statut">
    <w:name w:val="Statut"/>
    <w:basedOn w:val="Normal"/>
    <w:next w:val="Normal"/>
    <w:pPr>
      <w:spacing w:before="360" w:after="0"/>
      <w:jc w:val="center"/>
    </w:pPr>
  </w:style>
  <w:style w:type="paragraph" w:customStyle="1" w:styleId="StatutPagedecouverture">
    <w:name w:val="Statut (Page de couverture)"/>
    <w:basedOn w:val="Statut"/>
    <w:next w:val="Normal"/>
  </w:style>
  <w:style w:type="paragraph" w:customStyle="1" w:styleId="Supertitre">
    <w:name w:val="Supertitre"/>
    <w:basedOn w:val="Normal"/>
    <w:next w:val="Normal"/>
    <w:pPr>
      <w:spacing w:before="0" w:after="600"/>
      <w:jc w:val="center"/>
    </w:pPr>
    <w:rPr>
      <w:b/>
    </w:rPr>
  </w:style>
  <w:style w:type="paragraph" w:customStyle="1" w:styleId="TableTitle">
    <w:name w:val="Table Title"/>
    <w:basedOn w:val="Normal"/>
    <w:next w:val="Normal"/>
    <w:pPr>
      <w:jc w:val="center"/>
    </w:pPr>
    <w:rPr>
      <w:b/>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iret0">
    <w:name w:val="Tiret 0"/>
    <w:basedOn w:val="Point0"/>
    <w:pPr>
      <w:numPr>
        <w:numId w:val="8"/>
      </w:numPr>
    </w:pPr>
  </w:style>
  <w:style w:type="paragraph" w:customStyle="1" w:styleId="Tiret1">
    <w:name w:val="Tiret 1"/>
    <w:basedOn w:val="Point1"/>
    <w:pPr>
      <w:numPr>
        <w:numId w:val="9"/>
      </w:numPr>
    </w:pPr>
  </w:style>
  <w:style w:type="paragraph" w:customStyle="1" w:styleId="Tiret2">
    <w:name w:val="Tiret 2"/>
    <w:basedOn w:val="Point2"/>
    <w:pPr>
      <w:numPr>
        <w:numId w:val="10"/>
      </w:numPr>
    </w:pPr>
  </w:style>
  <w:style w:type="paragraph" w:customStyle="1" w:styleId="Tiret3">
    <w:name w:val="Tiret 3"/>
    <w:basedOn w:val="Point3"/>
    <w:pPr>
      <w:numPr>
        <w:numId w:val="11"/>
      </w:numPr>
    </w:pPr>
  </w:style>
  <w:style w:type="paragraph" w:customStyle="1" w:styleId="Tiret4">
    <w:name w:val="Tiret 4"/>
    <w:basedOn w:val="Point4"/>
    <w:pPr>
      <w:numPr>
        <w:numId w:val="12"/>
      </w:numP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itreobjetPagedecouverture">
    <w:name w:val="Titre objet (Page de couverture)"/>
    <w:basedOn w:val="Titreobjet"/>
    <w:next w:val="Sous-titreobjetPagedecouverture"/>
  </w:style>
  <w:style w:type="paragraph" w:styleId="TOC1">
    <w:name w:val="toc 1"/>
    <w:basedOn w:val="Normal"/>
    <w:next w:val="Normal"/>
    <w:uiPriority w:val="39"/>
    <w:pPr>
      <w:tabs>
        <w:tab w:val="right" w:leader="dot" w:pos="9071"/>
      </w:tabs>
      <w:spacing w:before="60"/>
      <w:ind w:left="850" w:hanging="850"/>
      <w:jc w:val="left"/>
    </w:pPr>
  </w:style>
  <w:style w:type="paragraph" w:styleId="TOC2">
    <w:name w:val="toc 2"/>
    <w:basedOn w:val="Normal"/>
    <w:next w:val="Normal"/>
    <w:uiPriority w:val="39"/>
    <w:pPr>
      <w:tabs>
        <w:tab w:val="right" w:leader="dot" w:pos="9071"/>
      </w:tabs>
      <w:spacing w:before="60"/>
      <w:ind w:left="850" w:hanging="850"/>
      <w:jc w:val="left"/>
    </w:pPr>
  </w:style>
  <w:style w:type="paragraph" w:styleId="TOC3">
    <w:name w:val="toc 3"/>
    <w:basedOn w:val="Normal"/>
    <w:next w:val="Normal"/>
    <w:uiPriority w:val="39"/>
    <w:pPr>
      <w:tabs>
        <w:tab w:val="right" w:leader="dot" w:pos="9071"/>
      </w:tabs>
      <w:spacing w:before="60"/>
      <w:ind w:left="850" w:hanging="850"/>
      <w:jc w:val="left"/>
    </w:pPr>
  </w:style>
  <w:style w:type="paragraph" w:styleId="TOC4">
    <w:name w:val="toc 4"/>
    <w:basedOn w:val="Normal"/>
    <w:next w:val="Normal"/>
    <w:semiHidden/>
    <w:pPr>
      <w:tabs>
        <w:tab w:val="right" w:leader="dot" w:pos="9071"/>
      </w:tabs>
      <w:spacing w:before="60"/>
      <w:ind w:left="850" w:hanging="850"/>
      <w:jc w:val="left"/>
    </w:pPr>
  </w:style>
  <w:style w:type="paragraph" w:styleId="TOC5">
    <w:name w:val="toc 5"/>
    <w:basedOn w:val="Normal"/>
    <w:next w:val="Normal"/>
    <w:semiHidden/>
    <w:pPr>
      <w:tabs>
        <w:tab w:val="right" w:leader="dot" w:pos="9071"/>
      </w:tabs>
      <w:spacing w:before="300"/>
      <w:jc w:val="left"/>
    </w:pPr>
  </w:style>
  <w:style w:type="paragraph" w:styleId="TOC6">
    <w:name w:val="toc 6"/>
    <w:basedOn w:val="Normal"/>
    <w:next w:val="Normal"/>
    <w:semiHidden/>
    <w:pPr>
      <w:tabs>
        <w:tab w:val="right" w:leader="dot" w:pos="9071"/>
      </w:tabs>
      <w:spacing w:before="240"/>
      <w:jc w:val="left"/>
    </w:pPr>
  </w:style>
  <w:style w:type="paragraph" w:styleId="TOC7">
    <w:name w:val="toc 7"/>
    <w:basedOn w:val="Normal"/>
    <w:next w:val="Normal"/>
    <w:semiHidden/>
    <w:pPr>
      <w:tabs>
        <w:tab w:val="right" w:leader="dot" w:pos="9071"/>
      </w:tabs>
      <w:spacing w:before="180"/>
      <w:jc w:val="left"/>
    </w:pPr>
  </w:style>
  <w:style w:type="paragraph" w:styleId="TOC8">
    <w:name w:val="toc 8"/>
    <w:basedOn w:val="Normal"/>
    <w:next w:val="Normal"/>
    <w:semiHidden/>
    <w:pPr>
      <w:tabs>
        <w:tab w:val="right" w:leader="dot" w:pos="9071"/>
      </w:tabs>
      <w:jc w:val="left"/>
    </w:pPr>
  </w:style>
  <w:style w:type="paragraph" w:styleId="TOC9">
    <w:name w:val="toc 9"/>
    <w:basedOn w:val="Normal"/>
    <w:next w:val="Normal"/>
    <w:semiHidden/>
    <w:pPr>
      <w:tabs>
        <w:tab w:val="right" w:leader="dot" w:pos="9071"/>
      </w:tabs>
    </w:pPr>
  </w:style>
  <w:style w:type="paragraph" w:styleId="TOCHeading">
    <w:name w:val="TOC Heading"/>
    <w:basedOn w:val="Normal"/>
    <w:next w:val="Normal"/>
    <w:link w:val="TOCHeadingChar"/>
    <w:uiPriority w:val="39"/>
    <w:qFormat/>
    <w:pPr>
      <w:spacing w:after="240"/>
      <w:jc w:val="center"/>
    </w:pPr>
    <w:rPr>
      <w:b/>
      <w:sz w:val="28"/>
    </w:rPr>
  </w:style>
  <w:style w:type="paragraph" w:customStyle="1" w:styleId="Typeacteprincipal">
    <w:name w:val="Type acte principal"/>
    <w:basedOn w:val="Normal"/>
    <w:next w:val="Objetacteprincipal"/>
    <w:pPr>
      <w:spacing w:before="0" w:after="240"/>
      <w:jc w:val="center"/>
    </w:pPr>
    <w:rPr>
      <w:b/>
    </w:rPr>
  </w:style>
  <w:style w:type="paragraph" w:customStyle="1" w:styleId="TypeacteprincipalPagedecouverture">
    <w:name w:val="Type acte principal (Page de couverture)"/>
    <w:basedOn w:val="Typeacteprincipal"/>
    <w:next w:val="ObjetacteprincipalPagedecouverture"/>
  </w:style>
  <w:style w:type="paragraph" w:customStyle="1" w:styleId="Typedudocument">
    <w:name w:val="Type du document"/>
    <w:basedOn w:val="Normal"/>
    <w:next w:val="Titreobjet"/>
    <w:pPr>
      <w:spacing w:before="360" w:after="0"/>
      <w:jc w:val="center"/>
    </w:pPr>
    <w:rPr>
      <w:b/>
    </w:rPr>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styleId="ListBullet">
    <w:name w:val="List Bullet"/>
    <w:basedOn w:val="Normal"/>
    <w:pPr>
      <w:numPr>
        <w:numId w:val="15"/>
      </w:numPr>
    </w:pPr>
    <w:rPr>
      <w:lang w:eastAsia="de-DE"/>
    </w:rPr>
  </w:style>
  <w:style w:type="table" w:styleId="TableGrid">
    <w:name w:val="Table Grid"/>
    <w:basedOn w:val="TableNormal"/>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shd w:val="clear" w:color="auto" w:fill="auto"/>
      <w:lang w:eastAsia="en-US"/>
    </w:rPr>
  </w:style>
  <w:style w:type="paragraph" w:styleId="ListBullet2">
    <w:name w:val="List Bullet 2"/>
    <w:basedOn w:val="Normal"/>
    <w:pPr>
      <w:numPr>
        <w:numId w:val="16"/>
      </w:numPr>
    </w:pPr>
  </w:style>
  <w:style w:type="paragraph" w:styleId="ListBullet3">
    <w:name w:val="List Bullet 3"/>
    <w:basedOn w:val="Normal"/>
    <w:pPr>
      <w:numPr>
        <w:numId w:val="17"/>
      </w:numPr>
    </w:pPr>
  </w:style>
  <w:style w:type="paragraph" w:styleId="ListBullet4">
    <w:name w:val="List Bullet 4"/>
    <w:basedOn w:val="Normal"/>
    <w:pPr>
      <w:numPr>
        <w:numId w:val="18"/>
      </w:numPr>
    </w:pPr>
  </w:style>
  <w:style w:type="paragraph" w:styleId="Caption">
    <w:name w:val="caption"/>
    <w:basedOn w:val="Normal"/>
    <w:next w:val="Normal"/>
    <w:qFormat/>
    <w:rPr>
      <w:b/>
      <w:bCs/>
      <w:sz w:val="20"/>
      <w:szCs w:val="20"/>
    </w:rPr>
  </w:style>
  <w:style w:type="paragraph" w:styleId="TableofFigures">
    <w:name w:val="table of figures"/>
    <w:basedOn w:val="Normal"/>
    <w:next w:val="Normal"/>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character" w:styleId="CommentReference">
    <w:name w:val="annotation reference"/>
    <w:rPr>
      <w:rFonts w:cs="Times New Roman"/>
      <w:sz w:val="16"/>
      <w:szCs w:val="16"/>
      <w:shd w:val="clear" w:color="auto" w:fill="auto"/>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shd w:val="clear" w:color="auto" w:fill="auto"/>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shd w:val="clear" w:color="auto" w:fill="auto"/>
      <w:lang w:eastAsia="en-US"/>
    </w:rPr>
  </w:style>
  <w:style w:type="character" w:styleId="Hyperlink">
    <w:name w:val="Hyperlink"/>
    <w:uiPriority w:val="99"/>
    <w:rPr>
      <w:rFonts w:cs="Times New Roman"/>
      <w:color w:val="0000FF"/>
      <w:u w:val="single"/>
      <w:shd w:val="clear" w:color="auto" w:fill="auto"/>
    </w:rPr>
  </w:style>
  <w:style w:type="paragraph" w:customStyle="1" w:styleId="Default">
    <w:name w:val="Default"/>
    <w:pPr>
      <w:autoSpaceDE w:val="0"/>
      <w:autoSpaceDN w:val="0"/>
      <w:adjustRightInd w:val="0"/>
    </w:pPr>
    <w:rPr>
      <w:color w:val="000000"/>
      <w:sz w:val="24"/>
      <w:szCs w:val="24"/>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link w:val="TOCHeading"/>
    <w:uiPriority w:val="39"/>
    <w:rPr>
      <w:b/>
      <w:sz w:val="28"/>
      <w:szCs w:val="24"/>
      <w:shd w:val="clear" w:color="auto" w:fill="auto"/>
      <w:lang w:eastAsia="en-US"/>
    </w:rPr>
  </w:style>
  <w:style w:type="character" w:customStyle="1" w:styleId="FooterCoverPageChar">
    <w:name w:val="Footer Cover Page Char"/>
    <w:link w:val="FooterCoverPage"/>
    <w:rPr>
      <w:sz w:val="24"/>
      <w:szCs w:val="24"/>
      <w:lang w:eastAsia="en-US"/>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link w:val="HeaderCoverPage"/>
    <w:rPr>
      <w:sz w:val="24"/>
      <w:szCs w:val="24"/>
      <w:lang w:eastAsia="en-US"/>
    </w:rPr>
  </w:style>
  <w:style w:type="character" w:customStyle="1" w:styleId="FootnoteTextChar">
    <w:name w:val="Footnote Text Char"/>
    <w:link w:val="FootnoteText"/>
    <w:uiPriority w:val="99"/>
    <w:rPr>
      <w:lang w:eastAsia="en-US"/>
    </w:rPr>
  </w:style>
  <w:style w:type="character" w:customStyle="1" w:styleId="Heading4Char">
    <w:name w:val="Heading 4 Char"/>
    <w:link w:val="Heading4"/>
    <w:rPr>
      <w:bCs/>
      <w:sz w:val="24"/>
      <w:szCs w:val="28"/>
      <w:lang w:eastAsia="en-US"/>
    </w:rPr>
  </w:style>
  <w:style w:type="character" w:customStyle="1" w:styleId="FooterChar">
    <w:name w:val="Footer Char"/>
    <w:link w:val="Footer"/>
    <w:uiPriority w:val="99"/>
    <w:rPr>
      <w:rFonts w:eastAsia="Calibri"/>
      <w:sz w:val="24"/>
      <w:szCs w:val="22"/>
      <w:lang w:eastAsia="en-US"/>
    </w:rPr>
  </w:style>
  <w:style w:type="paragraph" w:styleId="Revision">
    <w:name w:val="Revision"/>
    <w:hidden/>
    <w:uiPriority w:val="99"/>
    <w:semiHidden/>
    <w:rPr>
      <w:sz w:val="24"/>
      <w:szCs w:val="24"/>
      <w:lang w:eastAsia="en-US"/>
    </w:rPr>
  </w:style>
  <w:style w:type="character" w:customStyle="1" w:styleId="Heading3Char">
    <w:name w:val="Heading 3 Char"/>
    <w:link w:val="Heading3"/>
    <w:rPr>
      <w:bCs/>
      <w:i/>
      <w:sz w:val="24"/>
      <w:szCs w:val="26"/>
      <w:lang w:eastAsia="en-US"/>
    </w:rPr>
  </w:style>
  <w:style w:type="paragraph" w:customStyle="1" w:styleId="Declassification">
    <w:name w:val="Declassification"/>
    <w:basedOn w:val="Normal"/>
    <w:next w:val="Normal"/>
    <w:pPr>
      <w:spacing w:before="0" w:after="0"/>
    </w:pPr>
    <w:rPr>
      <w:rFonts w:eastAsia="Calibri"/>
      <w:szCs w:val="22"/>
    </w:rPr>
  </w:style>
  <w:style w:type="character" w:customStyle="1" w:styleId="HeaderChar">
    <w:name w:val="Header Char"/>
    <w:link w:val="Header"/>
    <w:uiPriority w:val="99"/>
    <w:rPr>
      <w:rFonts w:eastAsia="Calibri"/>
      <w:sz w:val="24"/>
      <w:szCs w:val="22"/>
      <w:lang w:eastAsia="en-US"/>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SecurityMarking">
    <w:name w:val="SecurityMarking"/>
    <w:basedOn w:val="Normal"/>
    <w:pPr>
      <w:spacing w:before="0" w:after="0" w:line="276" w:lineRule="auto"/>
      <w:ind w:left="5103"/>
      <w:jc w:val="left"/>
    </w:pPr>
    <w:rPr>
      <w:rFonts w:eastAsiaTheme="minorHAnsi"/>
      <w:sz w:val="28"/>
      <w:szCs w:val="22"/>
    </w:rPr>
  </w:style>
  <w:style w:type="paragraph" w:customStyle="1" w:styleId="DateMarking">
    <w:name w:val="DateMarking"/>
    <w:basedOn w:val="Normal"/>
    <w:pPr>
      <w:spacing w:before="0" w:after="0" w:line="276" w:lineRule="auto"/>
      <w:ind w:left="5103"/>
      <w:jc w:val="left"/>
    </w:pPr>
    <w:rPr>
      <w:rFonts w:eastAsiaTheme="minorHAnsi"/>
      <w:i/>
      <w:sz w:val="28"/>
      <w:szCs w:val="22"/>
    </w:rPr>
  </w:style>
  <w:style w:type="paragraph" w:customStyle="1" w:styleId="ReleasableTo">
    <w:name w:val="ReleasableTo"/>
    <w:basedOn w:val="Normal"/>
    <w:pPr>
      <w:spacing w:before="0" w:after="0" w:line="276" w:lineRule="auto"/>
      <w:ind w:left="5103"/>
      <w:jc w:val="left"/>
    </w:pPr>
    <w:rPr>
      <w:rFonts w:eastAsiaTheme="minorHAnsi"/>
      <w:i/>
      <w:sz w:val="28"/>
      <w:szCs w:val="22"/>
    </w:rPr>
  </w:style>
  <w:style w:type="paragraph" w:customStyle="1" w:styleId="HeaderSensitivityRight">
    <w:name w:val="Header Sensitivity Right"/>
    <w:basedOn w:val="Normal"/>
    <w:pPr>
      <w:spacing w:before="0"/>
      <w:jc w:val="right"/>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2315">
      <w:bodyDiv w:val="1"/>
      <w:marLeft w:val="0"/>
      <w:marRight w:val="0"/>
      <w:marTop w:val="0"/>
      <w:marBottom w:val="0"/>
      <w:divBdr>
        <w:top w:val="none" w:sz="0" w:space="0" w:color="auto"/>
        <w:left w:val="none" w:sz="0" w:space="0" w:color="auto"/>
        <w:bottom w:val="none" w:sz="0" w:space="0" w:color="auto"/>
        <w:right w:val="none" w:sz="0" w:space="0" w:color="auto"/>
      </w:divBdr>
    </w:div>
    <w:div w:id="154536141">
      <w:bodyDiv w:val="1"/>
      <w:marLeft w:val="0"/>
      <w:marRight w:val="0"/>
      <w:marTop w:val="0"/>
      <w:marBottom w:val="0"/>
      <w:divBdr>
        <w:top w:val="none" w:sz="0" w:space="0" w:color="auto"/>
        <w:left w:val="none" w:sz="0" w:space="0" w:color="auto"/>
        <w:bottom w:val="none" w:sz="0" w:space="0" w:color="auto"/>
        <w:right w:val="none" w:sz="0" w:space="0" w:color="auto"/>
      </w:divBdr>
    </w:div>
    <w:div w:id="287206346">
      <w:bodyDiv w:val="1"/>
      <w:marLeft w:val="0"/>
      <w:marRight w:val="0"/>
      <w:marTop w:val="0"/>
      <w:marBottom w:val="0"/>
      <w:divBdr>
        <w:top w:val="none" w:sz="0" w:space="0" w:color="auto"/>
        <w:left w:val="none" w:sz="0" w:space="0" w:color="auto"/>
        <w:bottom w:val="none" w:sz="0" w:space="0" w:color="auto"/>
        <w:right w:val="none" w:sz="0" w:space="0" w:color="auto"/>
      </w:divBdr>
    </w:div>
    <w:div w:id="571963191">
      <w:bodyDiv w:val="1"/>
      <w:marLeft w:val="0"/>
      <w:marRight w:val="0"/>
      <w:marTop w:val="0"/>
      <w:marBottom w:val="0"/>
      <w:divBdr>
        <w:top w:val="none" w:sz="0" w:space="0" w:color="auto"/>
        <w:left w:val="none" w:sz="0" w:space="0" w:color="auto"/>
        <w:bottom w:val="none" w:sz="0" w:space="0" w:color="auto"/>
        <w:right w:val="none" w:sz="0" w:space="0" w:color="auto"/>
      </w:divBdr>
    </w:div>
    <w:div w:id="593324760">
      <w:bodyDiv w:val="1"/>
      <w:marLeft w:val="0"/>
      <w:marRight w:val="0"/>
      <w:marTop w:val="0"/>
      <w:marBottom w:val="0"/>
      <w:divBdr>
        <w:top w:val="none" w:sz="0" w:space="0" w:color="auto"/>
        <w:left w:val="none" w:sz="0" w:space="0" w:color="auto"/>
        <w:bottom w:val="none" w:sz="0" w:space="0" w:color="auto"/>
        <w:right w:val="none" w:sz="0" w:space="0" w:color="auto"/>
      </w:divBdr>
    </w:div>
    <w:div w:id="647439283">
      <w:bodyDiv w:val="1"/>
      <w:marLeft w:val="0"/>
      <w:marRight w:val="0"/>
      <w:marTop w:val="0"/>
      <w:marBottom w:val="0"/>
      <w:divBdr>
        <w:top w:val="none" w:sz="0" w:space="0" w:color="auto"/>
        <w:left w:val="none" w:sz="0" w:space="0" w:color="auto"/>
        <w:bottom w:val="none" w:sz="0" w:space="0" w:color="auto"/>
        <w:right w:val="none" w:sz="0" w:space="0" w:color="auto"/>
      </w:divBdr>
      <w:divsChild>
        <w:div w:id="1003552866">
          <w:marLeft w:val="240"/>
          <w:marRight w:val="0"/>
          <w:marTop w:val="0"/>
          <w:marBottom w:val="0"/>
          <w:divBdr>
            <w:top w:val="none" w:sz="0" w:space="0" w:color="auto"/>
            <w:left w:val="none" w:sz="0" w:space="0" w:color="auto"/>
            <w:bottom w:val="none" w:sz="0" w:space="0" w:color="auto"/>
            <w:right w:val="none" w:sz="0" w:space="0" w:color="auto"/>
          </w:divBdr>
        </w:div>
        <w:div w:id="888567497">
          <w:marLeft w:val="240"/>
          <w:marRight w:val="0"/>
          <w:marTop w:val="0"/>
          <w:marBottom w:val="0"/>
          <w:divBdr>
            <w:top w:val="none" w:sz="0" w:space="0" w:color="auto"/>
            <w:left w:val="none" w:sz="0" w:space="0" w:color="auto"/>
            <w:bottom w:val="none" w:sz="0" w:space="0" w:color="auto"/>
            <w:right w:val="none" w:sz="0" w:space="0" w:color="auto"/>
          </w:divBdr>
        </w:div>
      </w:divsChild>
    </w:div>
    <w:div w:id="789208158">
      <w:bodyDiv w:val="1"/>
      <w:marLeft w:val="0"/>
      <w:marRight w:val="0"/>
      <w:marTop w:val="0"/>
      <w:marBottom w:val="0"/>
      <w:divBdr>
        <w:top w:val="none" w:sz="0" w:space="0" w:color="auto"/>
        <w:left w:val="none" w:sz="0" w:space="0" w:color="auto"/>
        <w:bottom w:val="none" w:sz="0" w:space="0" w:color="auto"/>
        <w:right w:val="none" w:sz="0" w:space="0" w:color="auto"/>
      </w:divBdr>
    </w:div>
    <w:div w:id="1042828534">
      <w:bodyDiv w:val="1"/>
      <w:marLeft w:val="0"/>
      <w:marRight w:val="0"/>
      <w:marTop w:val="0"/>
      <w:marBottom w:val="0"/>
      <w:divBdr>
        <w:top w:val="none" w:sz="0" w:space="0" w:color="auto"/>
        <w:left w:val="none" w:sz="0" w:space="0" w:color="auto"/>
        <w:bottom w:val="none" w:sz="0" w:space="0" w:color="auto"/>
        <w:right w:val="none" w:sz="0" w:space="0" w:color="auto"/>
      </w:divBdr>
    </w:div>
    <w:div w:id="1199899282">
      <w:bodyDiv w:val="1"/>
      <w:marLeft w:val="0"/>
      <w:marRight w:val="0"/>
      <w:marTop w:val="0"/>
      <w:marBottom w:val="0"/>
      <w:divBdr>
        <w:top w:val="none" w:sz="0" w:space="0" w:color="auto"/>
        <w:left w:val="none" w:sz="0" w:space="0" w:color="auto"/>
        <w:bottom w:val="none" w:sz="0" w:space="0" w:color="auto"/>
        <w:right w:val="none" w:sz="0" w:space="0" w:color="auto"/>
      </w:divBdr>
    </w:div>
    <w:div w:id="1219515736">
      <w:bodyDiv w:val="1"/>
      <w:marLeft w:val="0"/>
      <w:marRight w:val="0"/>
      <w:marTop w:val="0"/>
      <w:marBottom w:val="0"/>
      <w:divBdr>
        <w:top w:val="none" w:sz="0" w:space="0" w:color="auto"/>
        <w:left w:val="none" w:sz="0" w:space="0" w:color="auto"/>
        <w:bottom w:val="none" w:sz="0" w:space="0" w:color="auto"/>
        <w:right w:val="none" w:sz="0" w:space="0" w:color="auto"/>
      </w:divBdr>
    </w:div>
    <w:div w:id="1228687047">
      <w:bodyDiv w:val="1"/>
      <w:marLeft w:val="0"/>
      <w:marRight w:val="0"/>
      <w:marTop w:val="0"/>
      <w:marBottom w:val="0"/>
      <w:divBdr>
        <w:top w:val="none" w:sz="0" w:space="0" w:color="auto"/>
        <w:left w:val="none" w:sz="0" w:space="0" w:color="auto"/>
        <w:bottom w:val="none" w:sz="0" w:space="0" w:color="auto"/>
        <w:right w:val="none" w:sz="0" w:space="0" w:color="auto"/>
      </w:divBdr>
    </w:div>
    <w:div w:id="1236281064">
      <w:bodyDiv w:val="1"/>
      <w:marLeft w:val="0"/>
      <w:marRight w:val="0"/>
      <w:marTop w:val="0"/>
      <w:marBottom w:val="0"/>
      <w:divBdr>
        <w:top w:val="none" w:sz="0" w:space="0" w:color="auto"/>
        <w:left w:val="none" w:sz="0" w:space="0" w:color="auto"/>
        <w:bottom w:val="none" w:sz="0" w:space="0" w:color="auto"/>
        <w:right w:val="none" w:sz="0" w:space="0" w:color="auto"/>
      </w:divBdr>
    </w:div>
    <w:div w:id="1283414360">
      <w:bodyDiv w:val="1"/>
      <w:marLeft w:val="0"/>
      <w:marRight w:val="0"/>
      <w:marTop w:val="0"/>
      <w:marBottom w:val="0"/>
      <w:divBdr>
        <w:top w:val="none" w:sz="0" w:space="0" w:color="auto"/>
        <w:left w:val="none" w:sz="0" w:space="0" w:color="auto"/>
        <w:bottom w:val="none" w:sz="0" w:space="0" w:color="auto"/>
        <w:right w:val="none" w:sz="0" w:space="0" w:color="auto"/>
      </w:divBdr>
    </w:div>
    <w:div w:id="1452437525">
      <w:bodyDiv w:val="1"/>
      <w:marLeft w:val="0"/>
      <w:marRight w:val="0"/>
      <w:marTop w:val="0"/>
      <w:marBottom w:val="0"/>
      <w:divBdr>
        <w:top w:val="none" w:sz="0" w:space="0" w:color="auto"/>
        <w:left w:val="none" w:sz="0" w:space="0" w:color="auto"/>
        <w:bottom w:val="none" w:sz="0" w:space="0" w:color="auto"/>
        <w:right w:val="none" w:sz="0" w:space="0" w:color="auto"/>
      </w:divBdr>
    </w:div>
    <w:div w:id="1477989874">
      <w:bodyDiv w:val="1"/>
      <w:marLeft w:val="0"/>
      <w:marRight w:val="0"/>
      <w:marTop w:val="0"/>
      <w:marBottom w:val="0"/>
      <w:divBdr>
        <w:top w:val="none" w:sz="0" w:space="0" w:color="auto"/>
        <w:left w:val="none" w:sz="0" w:space="0" w:color="auto"/>
        <w:bottom w:val="none" w:sz="0" w:space="0" w:color="auto"/>
        <w:right w:val="none" w:sz="0" w:space="0" w:color="auto"/>
      </w:divBdr>
    </w:div>
    <w:div w:id="1576280807">
      <w:bodyDiv w:val="1"/>
      <w:marLeft w:val="0"/>
      <w:marRight w:val="0"/>
      <w:marTop w:val="0"/>
      <w:marBottom w:val="0"/>
      <w:divBdr>
        <w:top w:val="none" w:sz="0" w:space="0" w:color="auto"/>
        <w:left w:val="none" w:sz="0" w:space="0" w:color="auto"/>
        <w:bottom w:val="none" w:sz="0" w:space="0" w:color="auto"/>
        <w:right w:val="none" w:sz="0" w:space="0" w:color="auto"/>
      </w:divBdr>
    </w:div>
    <w:div w:id="1591739440">
      <w:bodyDiv w:val="1"/>
      <w:marLeft w:val="0"/>
      <w:marRight w:val="0"/>
      <w:marTop w:val="0"/>
      <w:marBottom w:val="0"/>
      <w:divBdr>
        <w:top w:val="none" w:sz="0" w:space="0" w:color="auto"/>
        <w:left w:val="none" w:sz="0" w:space="0" w:color="auto"/>
        <w:bottom w:val="none" w:sz="0" w:space="0" w:color="auto"/>
        <w:right w:val="none" w:sz="0" w:space="0" w:color="auto"/>
      </w:divBdr>
    </w:div>
    <w:div w:id="1611084318">
      <w:bodyDiv w:val="1"/>
      <w:marLeft w:val="0"/>
      <w:marRight w:val="0"/>
      <w:marTop w:val="0"/>
      <w:marBottom w:val="0"/>
      <w:divBdr>
        <w:top w:val="none" w:sz="0" w:space="0" w:color="auto"/>
        <w:left w:val="none" w:sz="0" w:space="0" w:color="auto"/>
        <w:bottom w:val="none" w:sz="0" w:space="0" w:color="auto"/>
        <w:right w:val="none" w:sz="0" w:space="0" w:color="auto"/>
      </w:divBdr>
    </w:div>
    <w:div w:id="1772168232">
      <w:bodyDiv w:val="1"/>
      <w:marLeft w:val="0"/>
      <w:marRight w:val="0"/>
      <w:marTop w:val="0"/>
      <w:marBottom w:val="0"/>
      <w:divBdr>
        <w:top w:val="none" w:sz="0" w:space="0" w:color="auto"/>
        <w:left w:val="none" w:sz="0" w:space="0" w:color="auto"/>
        <w:bottom w:val="none" w:sz="0" w:space="0" w:color="auto"/>
        <w:right w:val="none" w:sz="0" w:space="0" w:color="auto"/>
      </w:divBdr>
    </w:div>
    <w:div w:id="1784960793">
      <w:bodyDiv w:val="1"/>
      <w:marLeft w:val="0"/>
      <w:marRight w:val="0"/>
      <w:marTop w:val="0"/>
      <w:marBottom w:val="0"/>
      <w:divBdr>
        <w:top w:val="none" w:sz="0" w:space="0" w:color="auto"/>
        <w:left w:val="none" w:sz="0" w:space="0" w:color="auto"/>
        <w:bottom w:val="none" w:sz="0" w:space="0" w:color="auto"/>
        <w:right w:val="none" w:sz="0" w:space="0" w:color="auto"/>
      </w:divBdr>
    </w:div>
    <w:div w:id="1816411327">
      <w:bodyDiv w:val="1"/>
      <w:marLeft w:val="0"/>
      <w:marRight w:val="0"/>
      <w:marTop w:val="0"/>
      <w:marBottom w:val="0"/>
      <w:divBdr>
        <w:top w:val="none" w:sz="0" w:space="0" w:color="auto"/>
        <w:left w:val="none" w:sz="0" w:space="0" w:color="auto"/>
        <w:bottom w:val="none" w:sz="0" w:space="0" w:color="auto"/>
        <w:right w:val="none" w:sz="0" w:space="0" w:color="auto"/>
      </w:divBdr>
    </w:div>
    <w:div w:id="1877502957">
      <w:bodyDiv w:val="1"/>
      <w:marLeft w:val="0"/>
      <w:marRight w:val="0"/>
      <w:marTop w:val="0"/>
      <w:marBottom w:val="0"/>
      <w:divBdr>
        <w:top w:val="none" w:sz="0" w:space="0" w:color="auto"/>
        <w:left w:val="none" w:sz="0" w:space="0" w:color="auto"/>
        <w:bottom w:val="none" w:sz="0" w:space="0" w:color="auto"/>
        <w:right w:val="none" w:sz="0" w:space="0" w:color="auto"/>
      </w:divBdr>
    </w:div>
    <w:div w:id="1882089300">
      <w:bodyDiv w:val="1"/>
      <w:marLeft w:val="0"/>
      <w:marRight w:val="0"/>
      <w:marTop w:val="0"/>
      <w:marBottom w:val="0"/>
      <w:divBdr>
        <w:top w:val="none" w:sz="0" w:space="0" w:color="auto"/>
        <w:left w:val="none" w:sz="0" w:space="0" w:color="auto"/>
        <w:bottom w:val="none" w:sz="0" w:space="0" w:color="auto"/>
        <w:right w:val="none" w:sz="0" w:space="0" w:color="auto"/>
      </w:divBdr>
    </w:div>
    <w:div w:id="1965887953">
      <w:bodyDiv w:val="1"/>
      <w:marLeft w:val="0"/>
      <w:marRight w:val="0"/>
      <w:marTop w:val="0"/>
      <w:marBottom w:val="0"/>
      <w:divBdr>
        <w:top w:val="none" w:sz="0" w:space="0" w:color="auto"/>
        <w:left w:val="none" w:sz="0" w:space="0" w:color="auto"/>
        <w:bottom w:val="none" w:sz="0" w:space="0" w:color="auto"/>
        <w:right w:val="none" w:sz="0" w:space="0" w:color="auto"/>
      </w:divBdr>
    </w:div>
    <w:div w:id="1982610659">
      <w:bodyDiv w:val="1"/>
      <w:marLeft w:val="0"/>
      <w:marRight w:val="0"/>
      <w:marTop w:val="0"/>
      <w:marBottom w:val="0"/>
      <w:divBdr>
        <w:top w:val="none" w:sz="0" w:space="0" w:color="auto"/>
        <w:left w:val="none" w:sz="0" w:space="0" w:color="auto"/>
        <w:bottom w:val="none" w:sz="0" w:space="0" w:color="auto"/>
        <w:right w:val="none" w:sz="0" w:space="0" w:color="auto"/>
      </w:divBdr>
    </w:div>
    <w:div w:id="214029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A851A-E70A-43BC-BD45-FC5B2CCC1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2211</Words>
  <Characters>12276</Characters>
  <Application>Microsoft Office Word</Application>
  <DocSecurity>0</DocSecurity>
  <Lines>323</Lines>
  <Paragraphs>195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14292</CharactersWithSpaces>
  <SharedDoc>false</SharedDoc>
  <HLinks>
    <vt:vector size="78" baseType="variant">
      <vt:variant>
        <vt:i4>1376314</vt:i4>
      </vt:variant>
      <vt:variant>
        <vt:i4>74</vt:i4>
      </vt:variant>
      <vt:variant>
        <vt:i4>0</vt:i4>
      </vt:variant>
      <vt:variant>
        <vt:i4>5</vt:i4>
      </vt:variant>
      <vt:variant>
        <vt:lpwstr/>
      </vt:variant>
      <vt:variant>
        <vt:lpwstr>_Toc478625467</vt:lpwstr>
      </vt:variant>
      <vt:variant>
        <vt:i4>1376314</vt:i4>
      </vt:variant>
      <vt:variant>
        <vt:i4>68</vt:i4>
      </vt:variant>
      <vt:variant>
        <vt:i4>0</vt:i4>
      </vt:variant>
      <vt:variant>
        <vt:i4>5</vt:i4>
      </vt:variant>
      <vt:variant>
        <vt:lpwstr/>
      </vt:variant>
      <vt:variant>
        <vt:lpwstr>_Toc478625464</vt:lpwstr>
      </vt:variant>
      <vt:variant>
        <vt:i4>1441850</vt:i4>
      </vt:variant>
      <vt:variant>
        <vt:i4>62</vt:i4>
      </vt:variant>
      <vt:variant>
        <vt:i4>0</vt:i4>
      </vt:variant>
      <vt:variant>
        <vt:i4>5</vt:i4>
      </vt:variant>
      <vt:variant>
        <vt:lpwstr/>
      </vt:variant>
      <vt:variant>
        <vt:lpwstr>_Toc478625458</vt:lpwstr>
      </vt:variant>
      <vt:variant>
        <vt:i4>1441850</vt:i4>
      </vt:variant>
      <vt:variant>
        <vt:i4>56</vt:i4>
      </vt:variant>
      <vt:variant>
        <vt:i4>0</vt:i4>
      </vt:variant>
      <vt:variant>
        <vt:i4>5</vt:i4>
      </vt:variant>
      <vt:variant>
        <vt:lpwstr/>
      </vt:variant>
      <vt:variant>
        <vt:lpwstr>_Toc478625457</vt:lpwstr>
      </vt:variant>
      <vt:variant>
        <vt:i4>1507386</vt:i4>
      </vt:variant>
      <vt:variant>
        <vt:i4>50</vt:i4>
      </vt:variant>
      <vt:variant>
        <vt:i4>0</vt:i4>
      </vt:variant>
      <vt:variant>
        <vt:i4>5</vt:i4>
      </vt:variant>
      <vt:variant>
        <vt:lpwstr/>
      </vt:variant>
      <vt:variant>
        <vt:lpwstr>_Toc478625447</vt:lpwstr>
      </vt:variant>
      <vt:variant>
        <vt:i4>1507386</vt:i4>
      </vt:variant>
      <vt:variant>
        <vt:i4>44</vt:i4>
      </vt:variant>
      <vt:variant>
        <vt:i4>0</vt:i4>
      </vt:variant>
      <vt:variant>
        <vt:i4>5</vt:i4>
      </vt:variant>
      <vt:variant>
        <vt:lpwstr/>
      </vt:variant>
      <vt:variant>
        <vt:lpwstr>_Toc478625446</vt:lpwstr>
      </vt:variant>
      <vt:variant>
        <vt:i4>1507386</vt:i4>
      </vt:variant>
      <vt:variant>
        <vt:i4>38</vt:i4>
      </vt:variant>
      <vt:variant>
        <vt:i4>0</vt:i4>
      </vt:variant>
      <vt:variant>
        <vt:i4>5</vt:i4>
      </vt:variant>
      <vt:variant>
        <vt:lpwstr/>
      </vt:variant>
      <vt:variant>
        <vt:lpwstr>_Toc478625443</vt:lpwstr>
      </vt:variant>
      <vt:variant>
        <vt:i4>1048634</vt:i4>
      </vt:variant>
      <vt:variant>
        <vt:i4>32</vt:i4>
      </vt:variant>
      <vt:variant>
        <vt:i4>0</vt:i4>
      </vt:variant>
      <vt:variant>
        <vt:i4>5</vt:i4>
      </vt:variant>
      <vt:variant>
        <vt:lpwstr/>
      </vt:variant>
      <vt:variant>
        <vt:lpwstr>_Toc478625439</vt:lpwstr>
      </vt:variant>
      <vt:variant>
        <vt:i4>1048634</vt:i4>
      </vt:variant>
      <vt:variant>
        <vt:i4>26</vt:i4>
      </vt:variant>
      <vt:variant>
        <vt:i4>0</vt:i4>
      </vt:variant>
      <vt:variant>
        <vt:i4>5</vt:i4>
      </vt:variant>
      <vt:variant>
        <vt:lpwstr/>
      </vt:variant>
      <vt:variant>
        <vt:lpwstr>_Toc478625438</vt:lpwstr>
      </vt:variant>
      <vt:variant>
        <vt:i4>1048634</vt:i4>
      </vt:variant>
      <vt:variant>
        <vt:i4>20</vt:i4>
      </vt:variant>
      <vt:variant>
        <vt:i4>0</vt:i4>
      </vt:variant>
      <vt:variant>
        <vt:i4>5</vt:i4>
      </vt:variant>
      <vt:variant>
        <vt:lpwstr/>
      </vt:variant>
      <vt:variant>
        <vt:lpwstr>_Toc478625437</vt:lpwstr>
      </vt:variant>
      <vt:variant>
        <vt:i4>1048634</vt:i4>
      </vt:variant>
      <vt:variant>
        <vt:i4>14</vt:i4>
      </vt:variant>
      <vt:variant>
        <vt:i4>0</vt:i4>
      </vt:variant>
      <vt:variant>
        <vt:i4>5</vt:i4>
      </vt:variant>
      <vt:variant>
        <vt:lpwstr/>
      </vt:variant>
      <vt:variant>
        <vt:lpwstr>_Toc478625436</vt:lpwstr>
      </vt:variant>
      <vt:variant>
        <vt:i4>1048634</vt:i4>
      </vt:variant>
      <vt:variant>
        <vt:i4>8</vt:i4>
      </vt:variant>
      <vt:variant>
        <vt:i4>0</vt:i4>
      </vt:variant>
      <vt:variant>
        <vt:i4>5</vt:i4>
      </vt:variant>
      <vt:variant>
        <vt:lpwstr/>
      </vt:variant>
      <vt:variant>
        <vt:lpwstr>_Toc478625435</vt:lpwstr>
      </vt:variant>
      <vt:variant>
        <vt:i4>1048634</vt:i4>
      </vt:variant>
      <vt:variant>
        <vt:i4>2</vt:i4>
      </vt:variant>
      <vt:variant>
        <vt:i4>0</vt:i4>
      </vt:variant>
      <vt:variant>
        <vt:i4>5</vt:i4>
      </vt:variant>
      <vt:variant>
        <vt:lpwstr/>
      </vt:variant>
      <vt:variant>
        <vt:lpwstr>_Toc478625434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cp:lastPrinted>2019-04-25T14:20:00Z</cp:lastPrinted>
  <dcterms:created xsi:type="dcterms:W3CDTF">2020-06-29T14:15:00Z</dcterms:created>
  <dcterms:modified xsi:type="dcterms:W3CDTF">2020-07-14T07:09:00Z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reated using">
    <vt:lpwstr>LW 6.0.1, Build 20180503</vt:lpwstr>
  </property>
  <property fmtid="{D5CDD505-2E9C-101B-9397-08002B2CF9AE}" pid="8" name="CPTemplateID">
    <vt:lpwstr>CP-003</vt:lpwstr>
  </property>
</Properties>
</file>