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8C0C5C7-D4D1-4206-82D2-8D9E9D31EC08" style="width:450.45pt;height:438.9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CRSeparator"/>
        <w:rPr>
          <w:noProof/>
          <w:lang w:val="lv-LV"/>
        </w:rPr>
      </w:pPr>
      <w:bookmarkStart w:id="0" w:name="_GoBack"/>
      <w:bookmarkEnd w:id="0"/>
    </w:p>
    <w:p>
      <w:pPr>
        <w:pStyle w:val="CRReference"/>
        <w:rPr>
          <w:noProof/>
          <w:lang w:val="lv-LV"/>
        </w:rPr>
      </w:pPr>
      <w:r>
        <w:rPr>
          <w:noProof/>
        </w:rPr>
        <w:fldChar w:fldCharType="begin"/>
      </w:r>
      <w:r>
        <w:rPr>
          <w:noProof/>
          <w:lang w:val="lv-LV"/>
        </w:rPr>
        <w:instrText xml:space="preserve"> QUOTE "</w:instrText>
      </w:r>
      <w:r>
        <w:rPr>
          <w:rStyle w:val="CRMarker"/>
          <w:noProof/>
          <w:lang w:val="lv-LV"/>
        </w:rPr>
        <w:instrText>é</w:instrText>
      </w:r>
      <w:r>
        <w:rPr>
          <w:noProof/>
          <w:lang w:val="lv-LV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lv-LV"/>
        </w:rPr>
        <w:t>é</w:t>
      </w:r>
      <w:r>
        <w:rPr>
          <w:noProof/>
        </w:rPr>
        <w:fldChar w:fldCharType="end"/>
      </w:r>
      <w:r>
        <w:rPr>
          <w:noProof/>
          <w:lang w:val="lv-LV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I PIELIKUMS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b/>
          <w:noProof/>
          <w:lang w:eastAsia="fr-BE"/>
        </w:rPr>
      </w:pPr>
      <w:bookmarkStart w:id="1" w:name="_CopyToNewDocument_"/>
      <w:bookmarkEnd w:id="1"/>
      <w:r>
        <w:rPr>
          <w:rFonts w:eastAsia="Times New Roman"/>
          <w:b/>
          <w:noProof/>
          <w:szCs w:val="24"/>
          <w:lang w:eastAsia="fr-BE"/>
        </w:rPr>
        <w:t>Atceltā direktīva ar tajā secīgi veikto grozījumu sarakstu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936"/>
      </w:tblGrid>
      <w:tr>
        <w:tc>
          <w:tcPr>
            <w:tcW w:w="4644" w:type="dxa"/>
            <w:gridSpan w:val="2"/>
          </w:tcPr>
          <w:p>
            <w:pPr>
              <w:widowControl w:val="0"/>
              <w:tabs>
                <w:tab w:val="left" w:pos="-720"/>
                <w:tab w:val="center" w:pos="7344"/>
              </w:tabs>
              <w:suppressAutoHyphens/>
              <w:spacing w:before="0" w:after="240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noProof/>
                <w:szCs w:val="24"/>
              </w:rPr>
              <w:t xml:space="preserve">Eiropas Parlamenta un Padomes </w:t>
            </w:r>
            <w:r>
              <w:rPr>
                <w:noProof/>
                <w:szCs w:val="24"/>
              </w:rPr>
              <w:br/>
              <w:t>Regula</w:t>
            </w:r>
            <w:r>
              <w:rPr>
                <w:rFonts w:eastAsia="Times New Roman"/>
                <w:noProof/>
              </w:rPr>
              <w:t> (EK) Nr. 924/2009</w:t>
            </w:r>
          </w:p>
        </w:tc>
        <w:tc>
          <w:tcPr>
            <w:tcW w:w="4645" w:type="dxa"/>
            <w:gridSpan w:val="2"/>
          </w:tcPr>
          <w:p>
            <w:pPr>
              <w:widowControl w:val="0"/>
              <w:tabs>
                <w:tab w:val="left" w:pos="-720"/>
                <w:tab w:val="center" w:pos="7344"/>
              </w:tabs>
              <w:suppressAutoHyphens/>
              <w:spacing w:before="0" w:after="240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rFonts w:eastAsia="Times New Roman"/>
                <w:noProof/>
              </w:rPr>
              <w:t xml:space="preserve">(OV L 266, 9.10.2009., 11. </w:t>
            </w:r>
            <w:r>
              <w:rPr>
                <w:rFonts w:eastAsia="Calibri"/>
                <w:noProof/>
                <w:lang w:eastAsia="fr-FR"/>
              </w:rPr>
              <w:t>lpp.</w:t>
            </w:r>
            <w:r>
              <w:rPr>
                <w:rFonts w:eastAsia="Times New Roman"/>
                <w:noProof/>
              </w:rPr>
              <w:t>)</w:t>
            </w:r>
          </w:p>
        </w:tc>
      </w:tr>
      <w:tr>
        <w:trPr>
          <w:gridBefore w:val="1"/>
          <w:wBefore w:w="675" w:type="dxa"/>
        </w:trPr>
        <w:tc>
          <w:tcPr>
            <w:tcW w:w="4678" w:type="dxa"/>
            <w:gridSpan w:val="2"/>
          </w:tcPr>
          <w:p>
            <w:pPr>
              <w:widowControl w:val="0"/>
              <w:tabs>
                <w:tab w:val="left" w:pos="-720"/>
                <w:tab w:val="center" w:pos="7344"/>
              </w:tabs>
              <w:suppressAutoHyphens/>
              <w:spacing w:before="0" w:after="240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noProof/>
                <w:szCs w:val="24"/>
              </w:rPr>
              <w:t>Eiropas Parlamenta un Padomes</w:t>
            </w:r>
            <w:r>
              <w:rPr>
                <w:noProof/>
                <w:szCs w:val="24"/>
              </w:rPr>
              <w:br/>
              <w:t>Regula</w:t>
            </w:r>
            <w:r>
              <w:rPr>
                <w:rFonts w:eastAsia="Times New Roman"/>
                <w:noProof/>
              </w:rPr>
              <w:t> (ES) Nr. 260/2012</w:t>
            </w:r>
          </w:p>
        </w:tc>
        <w:tc>
          <w:tcPr>
            <w:tcW w:w="3936" w:type="dxa"/>
          </w:tcPr>
          <w:p>
            <w:pPr>
              <w:widowControl w:val="0"/>
              <w:tabs>
                <w:tab w:val="left" w:pos="-720"/>
                <w:tab w:val="center" w:pos="7344"/>
              </w:tabs>
              <w:suppressAutoHyphens/>
              <w:spacing w:before="0" w:after="240"/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(OV L 94, 30.3.2012., 22. </w:t>
            </w:r>
            <w:r>
              <w:rPr>
                <w:rFonts w:eastAsia="Calibri"/>
                <w:noProof/>
                <w:lang w:eastAsia="fr-FR"/>
              </w:rPr>
              <w:t>lpp.</w:t>
            </w:r>
            <w:r>
              <w:rPr>
                <w:rFonts w:eastAsia="Times New Roman"/>
                <w:noProof/>
              </w:rPr>
              <w:t>)</w:t>
            </w:r>
          </w:p>
        </w:tc>
      </w:tr>
      <w:tr>
        <w:trPr>
          <w:gridBefore w:val="1"/>
          <w:wBefore w:w="675" w:type="dxa"/>
        </w:trPr>
        <w:tc>
          <w:tcPr>
            <w:tcW w:w="4678" w:type="dxa"/>
            <w:gridSpan w:val="2"/>
          </w:tcPr>
          <w:p>
            <w:pPr>
              <w:widowControl w:val="0"/>
              <w:tabs>
                <w:tab w:val="left" w:pos="-720"/>
                <w:tab w:val="center" w:pos="7344"/>
              </w:tabs>
              <w:suppressAutoHyphens/>
              <w:spacing w:before="0" w:after="240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noProof/>
                <w:szCs w:val="24"/>
              </w:rPr>
              <w:t xml:space="preserve">Eiropas Parlamenta un Padomes </w:t>
            </w:r>
            <w:r>
              <w:rPr>
                <w:noProof/>
                <w:szCs w:val="24"/>
              </w:rPr>
              <w:br/>
              <w:t>Regula</w:t>
            </w:r>
            <w:r>
              <w:rPr>
                <w:rFonts w:eastAsia="Times New Roman"/>
                <w:noProof/>
              </w:rPr>
              <w:t xml:space="preserve"> (ES) 2019/518</w:t>
            </w:r>
          </w:p>
        </w:tc>
        <w:tc>
          <w:tcPr>
            <w:tcW w:w="3936" w:type="dxa"/>
          </w:tcPr>
          <w:p>
            <w:pPr>
              <w:widowControl w:val="0"/>
              <w:tabs>
                <w:tab w:val="left" w:pos="-720"/>
                <w:tab w:val="center" w:pos="7344"/>
              </w:tabs>
              <w:suppressAutoHyphens/>
              <w:spacing w:before="0" w:after="240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rFonts w:eastAsia="Times New Roman"/>
                <w:noProof/>
              </w:rPr>
              <w:t xml:space="preserve">(OV L 91, 29.3.2019., 36. </w:t>
            </w:r>
            <w:r>
              <w:rPr>
                <w:rFonts w:eastAsia="Calibri"/>
                <w:noProof/>
                <w:lang w:eastAsia="fr-FR"/>
              </w:rPr>
              <w:t>lpp.</w:t>
            </w:r>
            <w:r>
              <w:rPr>
                <w:rFonts w:eastAsia="Times New Roman"/>
                <w:noProof/>
              </w:rPr>
              <w:t>)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jc w:val="center"/>
        <w:rPr>
          <w:rFonts w:eastAsia="Times New Roman"/>
          <w:noProof/>
          <w:szCs w:val="20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II PIELIKUMS</w:t>
      </w:r>
    </w:p>
    <w:p>
      <w:pPr>
        <w:spacing w:before="360"/>
        <w:jc w:val="center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Atbilstības tabula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4"/>
              </w:rPr>
              <w:t xml:space="preserve">Regula (EK) Nr. </w:t>
            </w:r>
            <w:r>
              <w:rPr>
                <w:noProof/>
                <w:szCs w:val="24"/>
                <w:lang w:eastAsia="en-GB"/>
              </w:rPr>
              <w:t>924/2009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4"/>
              </w:rPr>
              <w:t>Šī regula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panta 1., 2. un 3.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panta 1., 2. un 3.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panta 4.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1.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1.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1.a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2.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2.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3.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4.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panta 4.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3.a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3.b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5.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4. panta 1.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panta 1.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4. panta 3.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panta 2.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4. panta 4.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panta 3.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5.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panta pirmā daļa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panta pirmā daļa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panta otrā daļa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panta otrā daļa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panta trešā daļa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panta ceturtā daļa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8. panta trešā daļa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panta 1. punkta pirmā daļa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panta 1.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panta 1. punkta otrā daļa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panta 2.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9. panta 2. punkts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14. panta 1.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14. panta 2.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14. panta 3. punkts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15.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15.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17. pants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16. pants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 pielikums</w:t>
            </w:r>
          </w:p>
        </w:tc>
      </w:tr>
      <w:tr>
        <w:trPr>
          <w:cantSplit/>
        </w:trPr>
        <w:tc>
          <w:tcPr>
            <w:tcW w:w="4644" w:type="dxa"/>
            <w:tcBorders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II pielikums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A050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2A2F5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E68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34E2E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4242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FE9C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C9C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EDE1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0 09:20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dokumentam"/>
    <w:docVar w:name="LW_ACCOMPAGNANT.CP" w:val="dokumentam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88C0C5C7-D4D1-4206-82D2-8D9E9D31EC08"/>
    <w:docVar w:name="LW_COVERPAGE_TYPE" w:val="1"/>
    <w:docVar w:name="LW_CROSSREFERENCE" w:val="&lt;UNUSED&gt;"/>
    <w:docVar w:name="LW_DocType" w:val="ANNEX"/>
    <w:docVar w:name="LW_EMISSION" w:val="17.7.2020"/>
    <w:docVar w:name="LW_EMISSION_ISODATE" w:val="2020-07-17"/>
    <w:docVar w:name="LW_EMISSION_LOCATION" w:val="BRX"/>
    <w:docVar w:name="LW_EMISSION_PREFIX" w:val="Briselē, "/>
    <w:docVar w:name="LW_EMISSION_SUFFIX" w:val=".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&lt;FMT:Bold&gt;par p\u257?rrobe\u382?u maks\u257?jumiem Savien\u299?b\u257? (kodifik\u257?cija)&lt;/FMT&gt;_x000b__x000b_(Dokuments attiecas uz EEZ)_x000d__x000d__x000b_"/>
    <w:docVar w:name="LW_OBJETACTEPRINCIPAL.CP" w:val="&lt;FMT:Bold&gt;par p\u257?rrobe\u382?u maks\u257?jumiem Savien\u299?b\u257? (kodifik\u257?cija)&lt;/FMT&gt;_x000b__x000b_(Dokuments attiecas uz EEZ)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IELIKUMI"/>
    <w:docVar w:name="LW_TYPE.DOC.CP" w:val="PIELIKUMI"/>
    <w:docVar w:name="LW_TYPEACTEPRINCIPAL" w:val="Priek\u353?likums_x000b__x000b_EIROPAS PARLAMENTA UN PADOMES REGULA"/>
    <w:docVar w:name="LW_TYPEACTEPRINCIPAL.CP" w:val="Priek\u353?likums_x000b__x000b_EIROPAS PARLAMENTA UN PADOMES REGUL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link w:val="CRSeparatorChar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character" w:customStyle="1" w:styleId="CRSeparatorChar">
    <w:name w:val="CR Separator Char"/>
    <w:link w:val="CRSeparator"/>
    <w:uiPriority w:val="99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CRReferenceChar">
    <w:name w:val="CR Reference Char"/>
    <w:link w:val="CRReferenc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link w:val="CRSeparatorChar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character" w:customStyle="1" w:styleId="CRSeparatorChar">
    <w:name w:val="CR Separator Char"/>
    <w:link w:val="CRSeparator"/>
    <w:uiPriority w:val="99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CRReferenceChar">
    <w:name w:val="CR Reference Char"/>
    <w:link w:val="CRReferenc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265</Words>
  <Characters>1148</Characters>
  <Application>Microsoft Office Word</Application>
  <DocSecurity>0</DocSecurity>
  <Lines>95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Seija (SJ)</dc:creator>
  <cp:keywords/>
  <dc:description/>
  <cp:lastModifiedBy>WES PDFC Administrator</cp:lastModifiedBy>
  <cp:revision>9</cp:revision>
  <dcterms:created xsi:type="dcterms:W3CDTF">2020-05-28T12:33:00Z</dcterms:created>
  <dcterms:modified xsi:type="dcterms:W3CDTF">2020-07-10T07:20:00Z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