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A3DEE0D-0EF3-4DCA-92CB-8910F5C13583"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rPr>
          <w:b/>
          <w:noProof/>
        </w:rPr>
      </w:pPr>
      <w:r>
        <w:rPr>
          <w:b/>
          <w:noProof/>
        </w:rPr>
        <w:t>Motiv och syfte med förslaget</w:t>
      </w:r>
    </w:p>
    <w:p>
      <w:pPr>
        <w:rPr>
          <w:noProof/>
        </w:rPr>
      </w:pPr>
      <w:r>
        <w:rPr>
          <w:noProof/>
        </w:rPr>
        <w:t>Enligt artikel 395.1 i rådets direktiv 2006/112/EG av den 28 november 2006 om ett gemensamt system för mervärdesskatt</w:t>
      </w:r>
      <w:r>
        <w:rPr>
          <w:rStyle w:val="FootnoteReference"/>
          <w:noProof/>
        </w:rPr>
        <w:footnoteReference w:id="1"/>
      </w:r>
      <w:r>
        <w:rPr>
          <w:noProof/>
        </w:rPr>
        <w:t xml:space="preserve"> (nedan kallat </w:t>
      </w:r>
      <w:r>
        <w:rPr>
          <w:i/>
          <w:iCs/>
          <w:noProof/>
        </w:rPr>
        <w:t>momsdirektivet</w:t>
      </w:r>
      <w:r>
        <w:rPr>
          <w:noProof/>
        </w:rPr>
        <w:t>) får rådet enhälligt på förslag av kommissionen bemyndiga varje medlemsstat att genomföra särskilda åtgärder som avviker från bestämmelserna i det direktivet, för att förenkla uppbörden av skatt eller för att förhindra vissa slag av skatteundandragande eller skatteflykt.</w:t>
      </w:r>
    </w:p>
    <w:p>
      <w:pPr>
        <w:rPr>
          <w:noProof/>
        </w:rPr>
      </w:pPr>
      <w:r>
        <w:rPr>
          <w:noProof/>
        </w:rPr>
        <w:t>Danmark och Sverige har ansökt om en förlängning av det undantag som ursprungligen beviljades genom beslut 2000/91/EG</w:t>
      </w:r>
      <w:r>
        <w:rPr>
          <w:rStyle w:val="FootnoteReference"/>
          <w:noProof/>
        </w:rPr>
        <w:footnoteReference w:id="2"/>
      </w:r>
      <w:r>
        <w:rPr>
          <w:noProof/>
        </w:rPr>
        <w:t xml:space="preserve"> och som förlängts genom besluten 2003/65/EG</w:t>
      </w:r>
      <w:r>
        <w:rPr>
          <w:rStyle w:val="FootnoteReference"/>
          <w:noProof/>
        </w:rPr>
        <w:footnoteReference w:id="3"/>
      </w:r>
      <w:r>
        <w:rPr>
          <w:noProof/>
        </w:rPr>
        <w:t>, 2007/132/EG</w:t>
      </w:r>
      <w:r>
        <w:rPr>
          <w:rStyle w:val="FootnoteReference"/>
          <w:noProof/>
        </w:rPr>
        <w:footnoteReference w:id="4"/>
      </w:r>
      <w:r>
        <w:rPr>
          <w:noProof/>
        </w:rPr>
        <w:t xml:space="preserve"> och 2013/680/EU</w:t>
      </w:r>
      <w:r>
        <w:rPr>
          <w:rStyle w:val="FootnoteReference"/>
          <w:noProof/>
        </w:rPr>
        <w:footnoteReference w:id="5"/>
      </w:r>
      <w:r>
        <w:rPr>
          <w:noProof/>
        </w:rPr>
        <w:t>. I enlighet med artikel 395.2 i momsdirektivet underrättade kommissionen genom en skrivelse av den 2 april 2020 övriga medlemsstater om Danmarks och Sveriges ansökan. Genom en skrivelse av den 3 april 2020 underrättade kommissionen Danmark och Sverige om att den hade alla uppgifter som den ansåg sig behöva för att kunna behandla ärendet.</w:t>
      </w:r>
    </w:p>
    <w:p>
      <w:pPr>
        <w:rPr>
          <w:b/>
          <w:noProof/>
        </w:rPr>
      </w:pPr>
      <w:r>
        <w:rPr>
          <w:b/>
          <w:noProof/>
        </w:rPr>
        <w:t>Allmän bakgrund</w:t>
      </w:r>
    </w:p>
    <w:p>
      <w:pPr>
        <w:rPr>
          <w:noProof/>
        </w:rPr>
      </w:pPr>
      <w:r>
        <w:rPr>
          <w:noProof/>
        </w:rPr>
        <w:t>Danmark och Sverige har gemensamt infört förenklade regler för återbetalningen av den mervärdesskatt som hänför sig till passageavgifter för nyttjandet av den fasta förbindelsen (Öresundsförbindelsen) mellan Danmark och Sverige. Detta ansågs vara nödvändigt eftersom de vanliga mervärdesskattereglerna skulle leda till onödig byråkrati både för skattebetalare och myndigheter.</w:t>
      </w:r>
    </w:p>
    <w:p>
      <w:pPr>
        <w:rPr>
          <w:noProof/>
        </w:rPr>
      </w:pPr>
      <w:r>
        <w:rPr>
          <w:noProof/>
        </w:rPr>
        <w:t>Enligt de normala mervärdesskattereglerna i artiklarna 168, 169, 170 och 171 i momsdirektivet måste mervärdeskatten dras av i eller återbetalas av den medlemsstat där den skulle ha eller har betalats. Eftersom den fasta Öresundsförbindelsen ligger delvis på danskt och delvis på svenskt territorium bör mervärdesskatten på de passageavgifter som betalas för nyttjandet av förbindelsen vara återvinningsbar från båda dessa länder i den omfattning som avgiften avser deras territorium. Således skulle 50 % vara återvinningsbart i Danmark och 50 % i Sverige.</w:t>
      </w:r>
    </w:p>
    <w:p>
      <w:pPr>
        <w:rPr>
          <w:noProof/>
        </w:rPr>
      </w:pPr>
      <w:r>
        <w:rPr>
          <w:noProof/>
        </w:rPr>
        <w:t xml:space="preserve">I praktiken innebär detta att skattskyldiga personer i Danmark respektive Sverige endast skulle kunna återfå 50 % av mervärdesskatten på sina regelbundna momsdeklarationer i den medlemsstat de är registrerade i. Återstående 50 % skulle den skattskyldige behöva återkräva </w:t>
      </w:r>
      <w:r>
        <w:rPr>
          <w:noProof/>
        </w:rPr>
        <w:lastRenderedPageBreak/>
        <w:t>i form av en återbetalning från den andra medlemsstaten på grundval av direktiv 2008/9/EG</w:t>
      </w:r>
      <w:r>
        <w:rPr>
          <w:rStyle w:val="FootnoteReference"/>
          <w:noProof/>
        </w:rPr>
        <w:footnoteReference w:id="6"/>
      </w:r>
      <w:r>
        <w:rPr>
          <w:noProof/>
        </w:rPr>
        <w:t>. Dessutom skulle skattskyldiga personer som är etablerade i en annan medlemsstat än Danmark eller Sverige behöva begära tillbaka mervärdesskatt via två separata återbetalningsansökningar enligt direktiv 2008/9/EG, dvs. en till Danmark och en till Sverige. På samma sätt skulle skattskyldiga personer utanför unionens territorium enligt direktiv 86/560/EEG</w:t>
      </w:r>
      <w:r>
        <w:rPr>
          <w:rStyle w:val="FootnoteReference"/>
          <w:noProof/>
        </w:rPr>
        <w:footnoteReference w:id="7"/>
      </w:r>
      <w:r>
        <w:rPr>
          <w:noProof/>
        </w:rPr>
        <w:t xml:space="preserve"> behöva sända återbetalningsansökningar till både Danmark och Sverige.</w:t>
      </w:r>
    </w:p>
    <w:p>
      <w:pPr>
        <w:rPr>
          <w:noProof/>
        </w:rPr>
      </w:pPr>
      <w:r>
        <w:rPr>
          <w:noProof/>
        </w:rPr>
        <w:t>Det gällande undantaget för Danmark och Sverige förenklar reglerna för återbetalning av mervärdesskatt. Undantaget innebär att det enbart behöver lämnas in en enda återbetalningsansökan för mervärdesskatten på passageavgiften. De förenklade reglerna föreskriver följande:</w:t>
      </w:r>
    </w:p>
    <w:p>
      <w:pPr>
        <w:rPr>
          <w:noProof/>
        </w:rPr>
      </w:pPr>
      <w:r>
        <w:rPr>
          <w:noProof/>
        </w:rPr>
        <w:t>–</w:t>
      </w:r>
      <w:r>
        <w:rPr>
          <w:noProof/>
        </w:rPr>
        <w:tab/>
        <w:t>Skattskyldiga personer som är etablerade i Danmark och Sverige har rätt att i sin inhemska momsdeklaration dra av hela den avdragsgilla mervärdesskatten för passageavgiften, inbegripet den del av denna skatt som hänför sig till nyttjandet av den del av länken som ligger på den medlemsstats territorium där de inte är etablerade.</w:t>
      </w:r>
    </w:p>
    <w:p>
      <w:pPr>
        <w:rPr>
          <w:noProof/>
        </w:rPr>
      </w:pPr>
      <w:r>
        <w:rPr>
          <w:noProof/>
        </w:rPr>
        <w:t>–</w:t>
      </w:r>
      <w:r>
        <w:rPr>
          <w:noProof/>
        </w:rPr>
        <w:tab/>
        <w:t>Vad gäller sådan återbetalning av mervärdesskatt som är avdragsgill enligt förfarandet i direktiv 2008/9/EG för skattskyldiga personer som är etablerade i en annan medlemsstat än Danmark eller Sverige eller enligt förfarandet i direktiv 86/560/EEG för skattskyldiga personer som är etablerade utanför medlemsstaterna, ska anmälan lämnas enbart till de svenska myndigheterna.</w:t>
      </w:r>
    </w:p>
    <w:p>
      <w:pPr>
        <w:rPr>
          <w:noProof/>
        </w:rPr>
      </w:pPr>
      <w:r>
        <w:rPr>
          <w:noProof/>
        </w:rPr>
        <w:t xml:space="preserve">Danmark och Sverige begär att dessa nu gällande förenklingar ska förlängas med ytterligare en period. </w:t>
      </w:r>
    </w:p>
    <w:p>
      <w:pPr>
        <w:rPr>
          <w:noProof/>
        </w:rPr>
      </w:pPr>
      <w:r>
        <w:rPr>
          <w:noProof/>
        </w:rPr>
        <w:t>Enligt den statistik som Sverige lämnat innebär det undantag som införts för de skattskyldiga personerna att återbetalningen av mervärdesskatten på passageavgiften för Öresundsförbindelsen har förenklats betydligt och det har visat sig fungera väl. Även kommissionen anser att denna typ av gränsöverskridande avdrag kan fungera som förebild för hur man kan förenkla för företagen att uppfylla sina skyldigheter och på sikt utveckla till ett mer generellt system.</w:t>
      </w:r>
    </w:p>
    <w:p>
      <w:pPr>
        <w:rPr>
          <w:noProof/>
        </w:rPr>
      </w:pPr>
      <w:r>
        <w:rPr>
          <w:noProof/>
        </w:rPr>
        <w:t xml:space="preserve">Kommissionen anser således att det gällande undantaget bör förlängas. </w:t>
      </w:r>
    </w:p>
    <w:p>
      <w:pPr>
        <w:rPr>
          <w:b/>
          <w:noProof/>
        </w:rPr>
      </w:pPr>
      <w:r>
        <w:rPr>
          <w:b/>
          <w:noProof/>
        </w:rPr>
        <w:t>Gällande bestämmelser</w:t>
      </w:r>
    </w:p>
    <w:p>
      <w:pPr>
        <w:rPr>
          <w:noProof/>
        </w:rPr>
      </w:pPr>
      <w:r>
        <w:rPr>
          <w:noProof/>
        </w:rPr>
        <w:t>Ett undantag som beviljades Sverige och Danmark den 24 januari 2000 och som därefter förlängts den 21 januari 2003, den 30 januari 2007 och den 13 november 2013.</w:t>
      </w:r>
    </w:p>
    <w:p>
      <w:pPr>
        <w:rPr>
          <w:b/>
          <w:noProof/>
        </w:rPr>
      </w:pPr>
      <w:r>
        <w:rPr>
          <w:b/>
          <w:noProof/>
        </w:rPr>
        <w:t>Förenlighet med unionens politik och mål på andra områden</w:t>
      </w:r>
    </w:p>
    <w:p>
      <w:pPr>
        <w:rPr>
          <w:noProof/>
        </w:rPr>
      </w:pPr>
      <w:r>
        <w:rPr>
          <w:noProof/>
        </w:rPr>
        <w:t>Ej tillämpligt.</w:t>
      </w:r>
    </w:p>
    <w:p>
      <w:pPr>
        <w:pStyle w:val="ManualHeading1"/>
        <w:rPr>
          <w:noProof/>
        </w:rPr>
      </w:pPr>
      <w:r>
        <w:rPr>
          <w:noProof/>
        </w:rPr>
        <w:t>2.</w:t>
      </w:r>
      <w:r>
        <w:rPr>
          <w:noProof/>
        </w:rPr>
        <w:tab/>
        <w:t>RESULTAT AV SAMRÅD MED BERÖRDA PARTER SAMT KONSEKVENSBEDÖMNINGAR</w:t>
      </w:r>
    </w:p>
    <w:p>
      <w:pPr>
        <w:rPr>
          <w:b/>
          <w:noProof/>
        </w:rPr>
      </w:pPr>
      <w:r>
        <w:rPr>
          <w:b/>
          <w:noProof/>
        </w:rPr>
        <w:t>Samråd med berörda parter</w:t>
      </w:r>
    </w:p>
    <w:p>
      <w:pPr>
        <w:rPr>
          <w:noProof/>
        </w:rPr>
      </w:pPr>
      <w:r>
        <w:rPr>
          <w:noProof/>
        </w:rPr>
        <w:t>Ej relevant.</w:t>
      </w:r>
    </w:p>
    <w:p>
      <w:pPr>
        <w:rPr>
          <w:b/>
          <w:noProof/>
        </w:rPr>
      </w:pPr>
      <w:r>
        <w:rPr>
          <w:b/>
          <w:noProof/>
        </w:rPr>
        <w:lastRenderedPageBreak/>
        <w:t>Insamling och användning av sakkunnigutlåtanden</w:t>
      </w:r>
    </w:p>
    <w:p>
      <w:pPr>
        <w:rPr>
          <w:noProof/>
        </w:rPr>
      </w:pPr>
      <w:r>
        <w:rPr>
          <w:noProof/>
        </w:rPr>
        <w:t>Det har inte behövts några externa sakkunnigutlåtanden.</w:t>
      </w:r>
    </w:p>
    <w:p>
      <w:pPr>
        <w:rPr>
          <w:b/>
          <w:noProof/>
        </w:rPr>
      </w:pPr>
      <w:r>
        <w:rPr>
          <w:b/>
          <w:noProof/>
        </w:rPr>
        <w:t>Konsekvensbedömning</w:t>
      </w:r>
    </w:p>
    <w:p>
      <w:pPr>
        <w:rPr>
          <w:noProof/>
        </w:rPr>
      </w:pPr>
      <w:r>
        <w:rPr>
          <w:noProof/>
        </w:rPr>
        <w:t>Förslaget till beslut syftar till att förenkla förfarandet för återbetalning av mervärdesskatt på passageavgifter för skattskyldiga som använder den fasta Öresundsförbindelsen mellan Danmark och Sverige, vilket innebär att det potentiellt har en gynnsam ekonomisk inverkan.</w:t>
      </w:r>
    </w:p>
    <w:p>
      <w:pPr>
        <w:rPr>
          <w:noProof/>
        </w:rPr>
      </w:pPr>
      <w:r>
        <w:rPr>
          <w:noProof/>
        </w:rPr>
        <w:t>Det rör sig hursomhelst om en begränsad inverkan, eftersom undantaget har en begränsad omfattning.</w:t>
      </w:r>
    </w:p>
    <w:p>
      <w:pPr>
        <w:pStyle w:val="ManualHeading1"/>
        <w:rPr>
          <w:noProof/>
        </w:rPr>
      </w:pPr>
      <w:r>
        <w:rPr>
          <w:noProof/>
        </w:rPr>
        <w:t>3.</w:t>
      </w:r>
      <w:r>
        <w:rPr>
          <w:noProof/>
        </w:rPr>
        <w:tab/>
        <w:t>FÖRSLAGETS RÄTTSLIGA ASPEKTER</w:t>
      </w:r>
    </w:p>
    <w:p>
      <w:pPr>
        <w:rPr>
          <w:b/>
          <w:noProof/>
        </w:rPr>
      </w:pPr>
      <w:r>
        <w:rPr>
          <w:b/>
          <w:noProof/>
        </w:rPr>
        <w:t>Sammanfattning av den föreslagna åtgärden</w:t>
      </w:r>
    </w:p>
    <w:p>
      <w:pPr>
        <w:rPr>
          <w:noProof/>
        </w:rPr>
      </w:pPr>
      <w:r>
        <w:rPr>
          <w:noProof/>
        </w:rPr>
        <w:t>Bemyndigande för Danmark och Sverige att genomföra en åtgärd som avviker från artiklarna 168, 169, 170 och 171 i momsdirektivet med avseende på avdragsrätten för skattskyldiga.</w:t>
      </w:r>
    </w:p>
    <w:p>
      <w:pPr>
        <w:rPr>
          <w:b/>
          <w:noProof/>
        </w:rPr>
      </w:pPr>
      <w:r>
        <w:rPr>
          <w:b/>
          <w:noProof/>
        </w:rPr>
        <w:t>Rättslig grund</w:t>
      </w:r>
    </w:p>
    <w:p>
      <w:pPr>
        <w:rPr>
          <w:noProof/>
        </w:rPr>
      </w:pPr>
      <w:r>
        <w:rPr>
          <w:noProof/>
        </w:rPr>
        <w:t>Artikel 395 i rådets direktiv 2006/112/EG av den 28 november 2006 om ett gemensamt system för mervärdesskatt.</w:t>
      </w:r>
    </w:p>
    <w:p>
      <w:pPr>
        <w:rPr>
          <w:b/>
          <w:noProof/>
        </w:rPr>
      </w:pPr>
      <w:r>
        <w:rPr>
          <w:b/>
          <w:noProof/>
        </w:rPr>
        <w:t>Subsidiaritetsprincipen</w:t>
      </w:r>
    </w:p>
    <w:p>
      <w:pPr>
        <w:rPr>
          <w:noProof/>
        </w:rPr>
      </w:pPr>
      <w:r>
        <w:rPr>
          <w:noProof/>
        </w:rPr>
        <w:t>Förslaget avser ett område där unionen har exklusiv befogenhet. Subsidiaritetsprincipen är därför inte tillämplig.</w:t>
      </w:r>
    </w:p>
    <w:p>
      <w:pPr>
        <w:rPr>
          <w:b/>
          <w:noProof/>
        </w:rPr>
      </w:pPr>
      <w:r>
        <w:rPr>
          <w:b/>
          <w:noProof/>
        </w:rPr>
        <w:t>Proportionalitetsprincipen</w:t>
      </w:r>
    </w:p>
    <w:p>
      <w:pPr>
        <w:rPr>
          <w:noProof/>
        </w:rPr>
      </w:pPr>
      <w:r>
        <w:rPr>
          <w:noProof/>
        </w:rPr>
        <w:t>Förslaget är förenligt med proportionalitetsprincipen av följande skäl:</w:t>
      </w:r>
    </w:p>
    <w:p>
      <w:pPr>
        <w:rPr>
          <w:noProof/>
        </w:rPr>
      </w:pPr>
      <w:r>
        <w:rPr>
          <w:noProof/>
        </w:rPr>
        <w:t>Beslutet avser ett tillstånd som beviljas två medlemsstater på egen begäran och utgör därför ingen förpliktelse.</w:t>
      </w:r>
    </w:p>
    <w:p>
      <w:pPr>
        <w:rPr>
          <w:noProof/>
        </w:rPr>
      </w:pPr>
      <w:r>
        <w:rPr>
          <w:noProof/>
        </w:rPr>
        <w:t>På grund av avvikelsens begränsade tillämpningsområde står den särskilda åtgärden i proportion till det mål som eftersträvas.</w:t>
      </w:r>
    </w:p>
    <w:p>
      <w:pPr>
        <w:rPr>
          <w:b/>
          <w:noProof/>
        </w:rPr>
      </w:pPr>
      <w:r>
        <w:rPr>
          <w:b/>
          <w:noProof/>
        </w:rPr>
        <w:t>Val av regleringsform</w:t>
      </w:r>
    </w:p>
    <w:p>
      <w:pPr>
        <w:rPr>
          <w:noProof/>
        </w:rPr>
      </w:pPr>
      <w:r>
        <w:rPr>
          <w:noProof/>
        </w:rPr>
        <w:t>Föreslagen regleringsform: annan.</w:t>
      </w:r>
    </w:p>
    <w:p>
      <w:pPr>
        <w:rPr>
          <w:noProof/>
        </w:rPr>
      </w:pPr>
      <w:r>
        <w:rPr>
          <w:noProof/>
        </w:rPr>
        <w:t>Övriga regleringsformer skulle vara olämpliga av följande skäl:</w:t>
      </w:r>
    </w:p>
    <w:p>
      <w:pPr>
        <w:rPr>
          <w:noProof/>
        </w:rPr>
      </w:pPr>
      <w:r>
        <w:rPr>
          <w:noProof/>
        </w:rPr>
        <w:t>Enligt artikel 395 i direktiv 2006/112/EG av den 28 november 2006 om ett gemensamt system för mervärdesskatt kan åtgärder som avviker från de gemensamma bestämmelserna om mervärdesskatt endast bemyndigas av rådet efter enhälligt beslut på kommissionens förslag. Ett rådets genomförandebeslut är den enda lämpliga regleringsformen, eftersom det kan riktas till en enskild medlemsstat.</w:t>
      </w:r>
    </w:p>
    <w:p>
      <w:pPr>
        <w:pStyle w:val="ManualHeading1"/>
        <w:rPr>
          <w:noProof/>
        </w:rPr>
      </w:pPr>
      <w:r>
        <w:rPr>
          <w:noProof/>
        </w:rPr>
        <w:t>4.</w:t>
      </w:r>
      <w:r>
        <w:rPr>
          <w:noProof/>
        </w:rPr>
        <w:tab/>
        <w:t xml:space="preserve">BUDGETKONSEKVENSER </w:t>
      </w:r>
    </w:p>
    <w:p>
      <w:pPr>
        <w:rPr>
          <w:noProof/>
        </w:rPr>
      </w:pPr>
      <w:r>
        <w:rPr>
          <w:noProof/>
        </w:rPr>
        <w:t>Förslaget påverkar inte unionens budget.</w:t>
      </w:r>
    </w:p>
    <w:p>
      <w:pPr>
        <w:pStyle w:val="ManualHeading1"/>
        <w:rPr>
          <w:noProof/>
        </w:rPr>
      </w:pPr>
      <w:r>
        <w:rPr>
          <w:noProof/>
        </w:rPr>
        <w:t>5.</w:t>
      </w:r>
      <w:r>
        <w:rPr>
          <w:noProof/>
        </w:rPr>
        <w:tab/>
        <w:t xml:space="preserve">ÖVRIGA INSLAG </w:t>
      </w:r>
    </w:p>
    <w:p>
      <w:pPr>
        <w:rPr>
          <w:b/>
          <w:noProof/>
        </w:rPr>
      </w:pPr>
      <w:r>
        <w:rPr>
          <w:b/>
          <w:noProof/>
        </w:rPr>
        <w:t>Översyn/ändring/tidsbegränsning</w:t>
      </w:r>
    </w:p>
    <w:p>
      <w:pPr>
        <w:rPr>
          <w:noProof/>
        </w:rPr>
      </w:pPr>
      <w:r>
        <w:rPr>
          <w:noProof/>
        </w:rPr>
        <w:t>Förslaget innehåller en bestämmelse om tidsbegränsning.</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2020/0147 (NLE)</w:t>
      </w:r>
    </w:p>
    <w:p>
      <w:pPr>
        <w:pStyle w:val="Statut"/>
        <w:rPr>
          <w:noProof/>
        </w:rPr>
      </w:pPr>
      <w:r>
        <w:rPr>
          <w:noProof/>
        </w:rPr>
        <w:t>Förslag till</w:t>
      </w:r>
    </w:p>
    <w:p>
      <w:pPr>
        <w:pStyle w:val="Typedudocument"/>
        <w:rPr>
          <w:noProof/>
        </w:rPr>
      </w:pPr>
      <w:r>
        <w:rPr>
          <w:noProof/>
        </w:rPr>
        <w:t>RÅDETS GENOMFÖRANDEBESLUT</w:t>
      </w:r>
    </w:p>
    <w:p>
      <w:pPr>
        <w:pStyle w:val="Titreobjet"/>
        <w:rPr>
          <w:noProof/>
        </w:rPr>
      </w:pPr>
      <w:r>
        <w:rPr>
          <w:noProof/>
        </w:rPr>
        <w:t>om ändring av genomförandebeslut 2013/680/EU om bemyndigande för Konungariket Danmark och Konungariket Sverige att förlänga tillämpningen av en särskild åtgärd som avviker från artiklarna 168, 169, 170 och 171 i direktiv 2006/112/EG om ett gemensamt system för mervärdesskatt</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w:t>
      </w:r>
    </w:p>
    <w:p>
      <w:pPr>
        <w:rPr>
          <w:noProof/>
        </w:rPr>
      </w:pPr>
      <w:r>
        <w:rPr>
          <w:noProof/>
        </w:rPr>
        <w:t>med beaktande av rådets direktiv 2006/112/EG av den 28 november 2006 om ett gemensamt system för mervärdesskatt</w:t>
      </w:r>
      <w:r>
        <w:rPr>
          <w:rStyle w:val="FootnoteReference"/>
          <w:noProof/>
        </w:rPr>
        <w:footnoteReference w:id="8"/>
      </w:r>
      <w:r>
        <w:rPr>
          <w:noProof/>
        </w:rPr>
        <w:t>, särskilt artikel 395.1,</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Genom skrivelser som registrerades hos kommissionen den 20 februari 2020 ansökte Danmark och Sverige om bemyndigande att förlänga tillämpningen av en särskild åtgärd som avviker från artiklarna 168, 169, 170 och 171 i direktiv 2006/112/EG enligt vilka en skattskyldig person ska utnyttja sin rätt till avdrag eller återbetalning i den medlemsstat där mervärdesskatten har betalats. </w:t>
      </w:r>
    </w:p>
    <w:p>
      <w:pPr>
        <w:pStyle w:val="ManualConsidrant"/>
        <w:rPr>
          <w:noProof/>
        </w:rPr>
      </w:pPr>
      <w:r>
        <w:t>(2)</w:t>
      </w:r>
      <w:r>
        <w:tab/>
      </w:r>
      <w:r>
        <w:rPr>
          <w:noProof/>
        </w:rPr>
        <w:t>I enlighet med artikel 395.2 andra stycket i direktiv 2006/112/EG underrättade kommissionen genom en skrivelse av den 2 april 2020 övriga medlemsstater om Danmarks och Sveriges ansökan. Genom en skrivelse av den 3 april 2020 underrättade kommissionen Danmark och Sverige om att den hade alla uppgifter som den ansåg sig behöva för att kunna behandla ärendet.</w:t>
      </w:r>
    </w:p>
    <w:p>
      <w:pPr>
        <w:pStyle w:val="ManualConsidrant"/>
        <w:rPr>
          <w:noProof/>
        </w:rPr>
      </w:pPr>
      <w:r>
        <w:t>(3)</w:t>
      </w:r>
      <w:r>
        <w:tab/>
      </w:r>
      <w:r>
        <w:rPr>
          <w:noProof/>
        </w:rPr>
        <w:t>Ansökan om avvikelse avser återbetalningen av mervärdesskatt som betalas för passageavgifter för nyttjandet av den fasta Öresundsförbindelsen mellan Danmark och Sverige. Enligt mervärdesskattereglerna rörande platsen för tillhandahållande av tjänster med anknytning till fast egendom ska mervärdesskatten på passageavgiften för Öresundsförbindelsen till viss del betalas i Danmark och till viss del i Sverige.</w:t>
      </w:r>
    </w:p>
    <w:p>
      <w:pPr>
        <w:pStyle w:val="ManualConsidrant"/>
        <w:rPr>
          <w:noProof/>
        </w:rPr>
      </w:pPr>
      <w:r>
        <w:t>(4)</w:t>
      </w:r>
      <w:r>
        <w:tab/>
      </w:r>
      <w:r>
        <w:rPr>
          <w:noProof/>
        </w:rPr>
        <w:t>Genom rådets beslut 2000/91/EG</w:t>
      </w:r>
      <w:r>
        <w:rPr>
          <w:rStyle w:val="FootnoteReference"/>
          <w:noProof/>
        </w:rPr>
        <w:footnoteReference w:id="9"/>
      </w:r>
      <w:r>
        <w:rPr>
          <w:noProof/>
        </w:rPr>
        <w:t xml:space="preserve"> bemyndigades Danmark och Sverige, genom avvikelse från kravet att en skattskyldig person ska utnyttja sin rätt till avdrag eller återbetalning i den medlemsstat där mervärdesskatten har betalats, att till och med den 31 december 2002 genomföra en särskild åtgärd som innebär att en skattskyldig person endast behöver vända sig till ett enda lands förvaltning för att återfå mervärdesskatten. Bemyndigandet att genomföra denna särskilda åtgärd förlängdes </w:t>
      </w:r>
      <w:r>
        <w:rPr>
          <w:noProof/>
        </w:rPr>
        <w:lastRenderedPageBreak/>
        <w:t>därefter genom rådets beslut 2003/65/EG</w:t>
      </w:r>
      <w:r>
        <w:rPr>
          <w:rStyle w:val="FootnoteReference"/>
          <w:noProof/>
        </w:rPr>
        <w:footnoteReference w:id="10"/>
      </w:r>
      <w:r>
        <w:rPr>
          <w:noProof/>
        </w:rPr>
        <w:t xml:space="preserve"> till och med den 31 december 2006 och genom rådets beslut 2007/132/EG</w:t>
      </w:r>
      <w:r>
        <w:rPr>
          <w:rStyle w:val="FootnoteReference"/>
          <w:noProof/>
        </w:rPr>
        <w:footnoteReference w:id="11"/>
      </w:r>
      <w:r>
        <w:rPr>
          <w:noProof/>
        </w:rPr>
        <w:t xml:space="preserve"> till och med den 31 december 2013. Genom rådets genomförandebeslut 2013/680/EU</w:t>
      </w:r>
      <w:r>
        <w:rPr>
          <w:rStyle w:val="FootnoteReference"/>
          <w:noProof/>
        </w:rPr>
        <w:footnoteReference w:id="12"/>
      </w:r>
      <w:r>
        <w:rPr>
          <w:noProof/>
        </w:rPr>
        <w:t xml:space="preserve"> bemyndigades Danmark och Sverige att genomföra en särskild åtgärd som avviker från artiklarna 168, 169, 170 och 171 i direktiv 2006/112/EG från och med den 1 januari 2014 till och med den 31 december 2020.</w:t>
      </w:r>
    </w:p>
    <w:p>
      <w:pPr>
        <w:pStyle w:val="ManualConsidrant"/>
        <w:rPr>
          <w:noProof/>
        </w:rPr>
      </w:pPr>
      <w:r>
        <w:t>(5)</w:t>
      </w:r>
      <w:r>
        <w:tab/>
      </w:r>
      <w:r>
        <w:rPr>
          <w:noProof/>
        </w:rPr>
        <w:t xml:space="preserve">Den rättsliga och faktiska situation som berättigade undantaget har inte förändrats utan föreligger fortfarande. Danmark och Sverige bör därför bemyndigas att genomföra den särskilda åtgärden under ytterligare en tidsbegränsad period. </w:t>
      </w:r>
    </w:p>
    <w:p>
      <w:pPr>
        <w:pStyle w:val="ManualConsidrant"/>
        <w:rPr>
          <w:noProof/>
        </w:rPr>
      </w:pPr>
      <w:r>
        <w:t>(6)</w:t>
      </w:r>
      <w:r>
        <w:tab/>
      </w:r>
      <w:r>
        <w:rPr>
          <w:noProof/>
        </w:rPr>
        <w:t>Undantaget har ingen negativ inverkan på den del av unionens egna medel som härrör från mervärdesskatt.</w:t>
      </w:r>
    </w:p>
    <w:p>
      <w:pPr>
        <w:pStyle w:val="ManualConsidrant"/>
        <w:rPr>
          <w:noProof/>
        </w:rPr>
      </w:pPr>
      <w:r>
        <w:t>(7)</w:t>
      </w:r>
      <w:r>
        <w:tab/>
      </w:r>
      <w:r>
        <w:rPr>
          <w:noProof/>
        </w:rPr>
        <w:t>Genomförandebeslut 2013/680/EU bör därför ändras i enlighet med detta.</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I artikel 2 i genomförandebeslut 2013/680/EU ska datumet ”31 december 2020” ersättas med ”31 december 2027”.</w:t>
      </w:r>
    </w:p>
    <w:p>
      <w:pPr>
        <w:pStyle w:val="Titrearticle"/>
        <w:rPr>
          <w:noProof/>
        </w:rPr>
      </w:pPr>
      <w:r>
        <w:rPr>
          <w:noProof/>
        </w:rPr>
        <w:t>Artikel 2</w:t>
      </w:r>
    </w:p>
    <w:p>
      <w:pPr>
        <w:rPr>
          <w:noProof/>
        </w:rPr>
      </w:pPr>
      <w:r>
        <w:rPr>
          <w:noProof/>
        </w:rPr>
        <w:t>Detta beslut riktar sig till Konungariket Danmark och Konungariket Sverige.</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347, 11.12.2006, s. 1.</w:t>
      </w:r>
    </w:p>
  </w:footnote>
  <w:footnote w:id="2">
    <w:p>
      <w:pPr>
        <w:pStyle w:val="FootnoteText"/>
      </w:pPr>
      <w:r>
        <w:rPr>
          <w:rStyle w:val="FootnoteReference"/>
        </w:rPr>
        <w:footnoteRef/>
      </w:r>
      <w:r>
        <w:tab/>
        <w:t>Rådets beslut av den 24 januari 2000 om tillstånd för Konungariket Danmark och Konungariket Sverige att genomföra en särskild åtgärd som avviker från artikel 17 i sjätte direktivet 77/388/EEG om harmonisering av medlemsstaternas lagstiftning rörande omsättningsskatter (EGT L 28, 3.2.2000, s. 38).</w:t>
      </w:r>
    </w:p>
  </w:footnote>
  <w:footnote w:id="3">
    <w:p>
      <w:pPr>
        <w:pStyle w:val="FootnoteText"/>
      </w:pPr>
      <w:r>
        <w:rPr>
          <w:rStyle w:val="FootnoteReference"/>
        </w:rPr>
        <w:footnoteRef/>
      </w:r>
      <w:r>
        <w:tab/>
        <w:t>Rådets beslut av den 21 januari 2003 om förlängning av tillämpning av beslut 2000/91/EG om tillstånd för Konungariket Danmark och Konungariket Sverige att genomföra en särskild åtgärd som avviker från artikel 17 i sjätte direktivet 77/388/EEG om harmonisering av medlemsstaternas lagstiftning rörande omsättningsskatter (EGT L 25, 30.1.2003, s. 40).</w:t>
      </w:r>
    </w:p>
  </w:footnote>
  <w:footnote w:id="4">
    <w:p>
      <w:pPr>
        <w:pStyle w:val="FootnoteText"/>
      </w:pPr>
      <w:r>
        <w:rPr>
          <w:rStyle w:val="FootnoteReference"/>
        </w:rPr>
        <w:footnoteRef/>
      </w:r>
      <w:r>
        <w:tab/>
        <w:t>Rådets beslut av den 30 januari 2007 om förlängning av tillämpning av beslut 2000/91/EG om tillstånd för Konungariket Danmark och Konungariket Sverige att genomföra en särskild åtgärd som avviker från artikel 17 i sjätte direktivet 77/388/EEG om harmonisering av medlemsstaternas lagstiftning rörande omsättningsskatter (EUT L 57, 24.2.2007, s. 10).</w:t>
      </w:r>
    </w:p>
  </w:footnote>
  <w:footnote w:id="5">
    <w:p>
      <w:pPr>
        <w:pStyle w:val="FootnoteText"/>
      </w:pPr>
      <w:r>
        <w:rPr>
          <w:rStyle w:val="FootnoteReference"/>
        </w:rPr>
        <w:footnoteRef/>
      </w:r>
      <w:r>
        <w:tab/>
        <w:t>Rådets genomförandebeslut av den 15 november 2013 om bemyndigande för Konungariket Danmark och Konungariket Sverige att förlänga tillämpningen av en särskild åtgärd som avviker från artiklarna 168, 169, 170 och 171 i direktiv 2006/112/EG om ett gemensamt system för mervärdesskatt (EUT L 316, 27.11.2013, s. 39)</w:t>
      </w:r>
    </w:p>
  </w:footnote>
  <w:footnote w:id="6">
    <w:p>
      <w:pPr>
        <w:pStyle w:val="FootnoteText"/>
      </w:pPr>
      <w:r>
        <w:rPr>
          <w:rStyle w:val="FootnoteReference"/>
        </w:rPr>
        <w:footnoteRef/>
      </w:r>
      <w:r>
        <w:tab/>
        <w:t>Rådets direktiv 2008/9/EG av den 12 februari 2008 om fastställande av närmare regler för återbetalning enligt direktiv 2006/112/EG av mervärdesskatt till beskattningsbara personer som inte är etablerade i den återbetalande medlemsstaten men i en annan medlemsstat (EUT L 44, 20.2.2008, s. 23).</w:t>
      </w:r>
    </w:p>
  </w:footnote>
  <w:footnote w:id="7">
    <w:p>
      <w:pPr>
        <w:pStyle w:val="FootnoteText"/>
      </w:pPr>
      <w:r>
        <w:rPr>
          <w:rStyle w:val="FootnoteReference"/>
        </w:rPr>
        <w:footnoteRef/>
      </w:r>
      <w:r>
        <w:tab/>
        <w:t>Rådets trettonde direktiv 86/560/EEG av den 17 november 1986 om harmonisering av medlemsstaternas lagstiftning om omsättningsskatter – Regler om återbetalning av mervärdeskatt till skattskyldiga personer som inte är etablerade i gemenskapens territorium (EGT L 326, 21.11.1986, s. 40).</w:t>
      </w:r>
    </w:p>
  </w:footnote>
  <w:footnote w:id="8">
    <w:p>
      <w:pPr>
        <w:pStyle w:val="FootnoteText"/>
      </w:pPr>
      <w:r>
        <w:rPr>
          <w:rStyle w:val="FootnoteReference"/>
        </w:rPr>
        <w:footnoteRef/>
      </w:r>
      <w:r>
        <w:tab/>
        <w:t>EUT L 347, 11.12.2006, s. 1.</w:t>
      </w:r>
    </w:p>
  </w:footnote>
  <w:footnote w:id="9">
    <w:p>
      <w:pPr>
        <w:pStyle w:val="FootnoteText"/>
      </w:pPr>
      <w:r>
        <w:rPr>
          <w:rStyle w:val="FootnoteReference"/>
        </w:rPr>
        <w:footnoteRef/>
      </w:r>
      <w:r>
        <w:tab/>
        <w:t>Rådets beslut 2000/91/EG av den 24 januari 2000 om tillstånd för Konungariket Danmark och Konungariket Sverige att genomföra en särskild åtgärd som avviker från artikel 17 i sjätte direktivet 77/388/EEG om harmonisering av medlemsstaternas lagstiftning rörande omsättningsskatter (EGT L 28, 3.2.2000, s. 38).</w:t>
      </w:r>
    </w:p>
  </w:footnote>
  <w:footnote w:id="10">
    <w:p>
      <w:pPr>
        <w:pStyle w:val="FootnoteText"/>
      </w:pPr>
      <w:r>
        <w:rPr>
          <w:rStyle w:val="FootnoteReference"/>
        </w:rPr>
        <w:footnoteRef/>
      </w:r>
      <w:r>
        <w:tab/>
        <w:t>Rådets beslut 2003/65/EG av den 21 januari 2003 om förlängning av tillämpning av beslut 2000/91/EG om tillstånd för Konungariket Danmark och Konungariket Sverige att genomföra en särskild åtgärd som avviker från artikel 17 i sjätte direktivet 77/388/EEG om harmonisering av medlemsstaternas lagstiftning rörande omsättningsskatter (EGT L 25, 30.1.2003, s. 40).</w:t>
      </w:r>
    </w:p>
    <w:p>
      <w:pPr>
        <w:pStyle w:val="FootnoteText"/>
        <w:ind w:left="0" w:firstLine="0"/>
      </w:pPr>
    </w:p>
  </w:footnote>
  <w:footnote w:id="11">
    <w:p>
      <w:pPr>
        <w:pStyle w:val="FootnoteText"/>
      </w:pPr>
      <w:r>
        <w:rPr>
          <w:rStyle w:val="FootnoteReference"/>
        </w:rPr>
        <w:footnoteRef/>
      </w:r>
      <w:r>
        <w:tab/>
        <w:t>Rådets beslut 2007/132/EG av den 30 januari 2007 om förlängning av tillämpning av beslut 2000/91/EG om tillstånd för Konungariket Danmark och Konungariket Sverige att genomföra en särskild åtgärd som avviker från artikel 17 i sjätte direktivet 77/388/EEG om harmonisering av medlemsstaternas lagstiftning rörande omsättningsskatter (EUT L 57, 24.2.2007, s. 10).</w:t>
      </w:r>
    </w:p>
  </w:footnote>
  <w:footnote w:id="12">
    <w:p>
      <w:pPr>
        <w:pStyle w:val="FootnoteText"/>
      </w:pPr>
      <w:r>
        <w:rPr>
          <w:rStyle w:val="FootnoteReference"/>
        </w:rPr>
        <w:footnoteRef/>
      </w:r>
      <w:r>
        <w:tab/>
        <w:t>Rådets genomförandebeslut 2013/680/EU av den 15 november 2013 om bemyndigande för Konungariket Danmark och Konungariket Sverige att förlänga tillämpningen av en särskild åtgärd som avviker från artiklarna 168, 169, 170 och 171 i direktiv 2006/112/EG om ett gemensamt system för mervärdesskatt (EUT L 316, 27.11.2013, s.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E236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626D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12F3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607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100C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1CA7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32B05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44BB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57"/>
  <w:characterSpacingControl w:val="doNotCompress"/>
  <w:hdrShapeDefaults>
    <o:shapedefaults v:ext="edit" spidmax="604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20-07-17 17:06: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A3DEE0D-0EF3-4DCA-92CB-8910F5C13583"/>
    <w:docVar w:name="LW_COVERPAGE_TYPE" w:val="1"/>
    <w:docVar w:name="LW_CROSSREFERENCE" w:val="&lt;UNUSED&gt;"/>
    <w:docVar w:name="LW_DocType" w:val="COM"/>
    <w:docVar w:name="LW_EMISSION" w:val="20.7.2020"/>
    <w:docVar w:name="LW_EMISSION_ISODATE" w:val="2020-07-20"/>
    <w:docVar w:name="LW_EMISSION_LOCATION" w:val="BRX"/>
    <w:docVar w:name="LW_EMISSION_PREFIX" w:val="Bryssel den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47"/>
    <w:docVar w:name="LW_REF.II.NEW.CP_YEAR" w:val="2020"/>
    <w:docVar w:name="LW_REF.INST.NEW" w:val="COM"/>
    <w:docVar w:name="LW_REF.INST.NEW_ADOPTED" w:val="final"/>
    <w:docVar w:name="LW_REF.INST.NEW_TEXT" w:val="(2020) 3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genomförandebeslut 2013/680/EU om bemyndigande för Konungariket Danmark och Konungariket Sverige att förlänga tillämpningen av en särskild åtgärd som avviker från artiklarna 168, 169, 170 och 171 i direktiv 2006/112/EG om ett gemensamt system för mervärdesskatt"/>
    <w:docVar w:name="LW_TYPE.DOC.CP" w:val="RÅDETS GENOMFÖRANDEBESLU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semiHidden/>
    <w:unhideWhenUsed/>
    <w:qFormat/>
    <w:rPr>
      <w:b/>
      <w:bCs/>
      <w:sz w:val="20"/>
      <w:szCs w:val="20"/>
    </w:rPr>
  </w:style>
  <w:style w:type="paragraph" w:styleId="TableofFigures">
    <w:name w:val="table of figures"/>
    <w:basedOn w:val="Normal"/>
    <w:next w:val="Normal"/>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Revision">
    <w:name w:val="Revision"/>
    <w:hidden/>
    <w:uiPriority w:val="99"/>
    <w:semiHidden/>
    <w:rPr>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60B9-492C-4A4A-92CE-674AC758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1414</Words>
  <Characters>8781</Characters>
  <Application>Microsoft Office Word</Application>
  <DocSecurity>0</DocSecurity>
  <Lines>165</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19</cp:revision>
  <cp:lastPrinted>2020-06-02T12:49:00Z</cp:lastPrinted>
  <dcterms:created xsi:type="dcterms:W3CDTF">2020-07-05T12:43:00Z</dcterms:created>
  <dcterms:modified xsi:type="dcterms:W3CDTF">2020-07-17T15:06:00Z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7.0.1, Build 20190916</vt:lpwstr>
  </property>
  <property fmtid="{D5CDD505-2E9C-101B-9397-08002B2CF9AE}" pid="5" name="Created using">
    <vt:lpwstr>LW 5.8.2, Build 20120919</vt:lpwstr>
  </property>
  <property fmtid="{D5CDD505-2E9C-101B-9397-08002B2CF9AE}" pid="6" name="LWTemplateID">
    <vt:lpwstr>SJ-020</vt:lpwstr>
  </property>
  <property fmtid="{D5CDD505-2E9C-101B-9397-08002B2CF9AE}" pid="7" name="Level of sensitivity">
    <vt:lpwstr>Standard treatment</vt:lpwstr>
  </property>
  <property fmtid="{D5CDD505-2E9C-101B-9397-08002B2CF9AE}" pid="8" name="Part">
    <vt:lpwstr>1</vt:lpwstr>
  </property>
  <property fmtid="{D5CDD505-2E9C-101B-9397-08002B2CF9AE}" pid="9" name="Total parts">
    <vt:lpwstr>1</vt:lpwstr>
  </property>
  <property fmtid="{D5CDD505-2E9C-101B-9397-08002B2CF9AE}" pid="10" name="DQCStatus">
    <vt:lpwstr>Green (DQC version 03)</vt:lpwstr>
  </property>
</Properties>
</file>