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5B80AAEC-CD6D-4996-965A-5BC03EB9DC3E" style="width:450.75pt;height:393pt">
            <v:imagedata r:id="rId8" o:title=""/>
          </v:shape>
        </w:pict>
      </w:r>
    </w:p>
    <w:bookmarkEnd w:id="0"/>
    <w:p>
      <w:pPr>
        <w:rPr>
          <w:noProof/>
          <w:lang w:val="en-GB"/>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jc w:val="center"/>
        <w:rPr>
          <w:rFonts w:ascii="Times New Roman" w:hAnsi="Times New Roman" w:cs="Times New Roman"/>
          <w:noProof/>
          <w:sz w:val="24"/>
          <w:szCs w:val="24"/>
        </w:rPr>
      </w:pPr>
      <w:bookmarkStart w:id="1" w:name="_GoBack"/>
      <w:bookmarkEnd w:id="1"/>
      <w:r>
        <w:rPr>
          <w:rFonts w:ascii="Times New Roman" w:hAnsi="Times New Roman"/>
          <w:b/>
          <w:noProof/>
          <w:sz w:val="24"/>
          <w:szCs w:val="24"/>
        </w:rPr>
        <w:lastRenderedPageBreak/>
        <w:t>LIITE</w:t>
      </w:r>
      <w:r>
        <w:rPr>
          <w:noProof/>
        </w:rPr>
        <w:t xml:space="preserve"> </w:t>
      </w:r>
      <w:r>
        <w:rPr>
          <w:noProof/>
        </w:rPr>
        <w:br/>
      </w:r>
      <w:r>
        <w:rPr>
          <w:rFonts w:ascii="Times New Roman" w:hAnsi="Times New Roman"/>
          <w:b/>
          <w:noProof/>
          <w:sz w:val="24"/>
          <w:szCs w:val="24"/>
        </w:rPr>
        <w:t xml:space="preserve"> </w:t>
      </w:r>
      <w:r>
        <w:rPr>
          <w:noProof/>
        </w:rPr>
        <w:t xml:space="preserve"> </w:t>
      </w:r>
      <w:r>
        <w:rPr>
          <w:noProof/>
        </w:rPr>
        <w:br/>
      </w:r>
      <w:r>
        <w:rPr>
          <w:rFonts w:ascii="Times New Roman" w:hAnsi="Times New Roman"/>
          <w:b/>
          <w:noProof/>
          <w:sz w:val="24"/>
          <w:szCs w:val="24"/>
        </w:rPr>
        <w:t>YLEISKATSAUS – YHTEISHANKINNAT</w:t>
      </w:r>
    </w:p>
    <w:p>
      <w:pPr>
        <w:rPr>
          <w:rFonts w:ascii="Times New Roman" w:hAnsi="Times New Roman" w:cs="Times New Roman"/>
          <w:noProof/>
          <w:sz w:val="24"/>
          <w:szCs w:val="24"/>
          <w:u w:val="single"/>
        </w:rPr>
      </w:pPr>
      <w:r>
        <w:rPr>
          <w:rFonts w:ascii="Times New Roman" w:hAnsi="Times New Roman"/>
          <w:noProof/>
          <w:sz w:val="24"/>
          <w:szCs w:val="24"/>
          <w:u w:val="single"/>
        </w:rPr>
        <w:t>Yhteishankintasopimus – oikeusperusta ja tavoitteet</w:t>
      </w:r>
    </w:p>
    <w:p>
      <w:pPr>
        <w:spacing w:after="100" w:afterAutospacing="1" w:line="276" w:lineRule="auto"/>
        <w:jc w:val="both"/>
        <w:rPr>
          <w:rFonts w:ascii="Times New Roman" w:eastAsia="Times New Roman" w:hAnsi="Times New Roman" w:cs="Times New Roman"/>
          <w:noProof/>
          <w:sz w:val="24"/>
          <w:szCs w:val="24"/>
        </w:rPr>
      </w:pPr>
      <w:r>
        <w:rPr>
          <w:rFonts w:ascii="Times New Roman" w:hAnsi="Times New Roman"/>
          <w:noProof/>
          <w:sz w:val="24"/>
          <w:szCs w:val="24"/>
        </w:rPr>
        <w:t>Komissio hyväksyi 10. huhtikuuta 2014 EU:n toimielinten yhteishankintasopimuksen</w:t>
      </w:r>
      <w:r>
        <w:rPr>
          <w:rStyle w:val="FootnoteReference"/>
          <w:rFonts w:ascii="Times New Roman" w:eastAsia="Times New Roman" w:hAnsi="Times New Roman" w:cs="Times New Roman"/>
          <w:noProof/>
          <w:sz w:val="24"/>
          <w:szCs w:val="24"/>
          <w:lang w:eastAsia="fr-BE"/>
        </w:rPr>
        <w:footnoteReference w:id="1"/>
      </w:r>
      <w:r>
        <w:rPr>
          <w:rFonts w:ascii="Times New Roman" w:hAnsi="Times New Roman"/>
          <w:noProof/>
          <w:sz w:val="24"/>
          <w:szCs w:val="24"/>
        </w:rPr>
        <w:t>. Tarkoituksena on yhdessä sopimukseen liittyneiden maiden kanssa hankkia rokotteita, viruslääkkeitä ja terveydenhuollon tarvikkeita ja laitteita rajat ylittäviin vakaviin terveysuhkiin. Yhteishankintasopimuksen olivat allekirjoittaneet huhtikuuhun 2020 mennessä kaikki 27 EU-maata, Yhdistynyt kuningaskunta ja kolme ETA-maata (Norja, Islanti ja Liechtenstein) sekä Albania, Bosnia ja Hertsegovina, Montenegro, Serbia, Pohjois-Makedonia ja Kosovo</w:t>
      </w:r>
      <w:r>
        <w:rPr>
          <w:rStyle w:val="FootnoteReference"/>
          <w:rFonts w:ascii="Times New Roman" w:eastAsia="Times New Roman" w:hAnsi="Times New Roman" w:cs="Times New Roman"/>
          <w:noProof/>
          <w:sz w:val="24"/>
          <w:szCs w:val="24"/>
          <w:lang w:eastAsia="fr-BE"/>
        </w:rPr>
        <w:footnoteReference w:id="2"/>
      </w:r>
      <w:r>
        <w:rPr>
          <w:rFonts w:ascii="Times New Roman" w:hAnsi="Times New Roman"/>
          <w:noProof/>
          <w:sz w:val="24"/>
          <w:szCs w:val="24"/>
        </w:rPr>
        <w:t xml:space="preserve"> </w:t>
      </w:r>
      <w:r>
        <w:rPr>
          <w:rStyle w:val="FootnoteReference"/>
          <w:rFonts w:ascii="Times New Roman" w:eastAsia="Times New Roman" w:hAnsi="Times New Roman" w:cs="Times New Roman"/>
          <w:noProof/>
          <w:sz w:val="24"/>
          <w:szCs w:val="24"/>
          <w:lang w:eastAsia="fr-BE"/>
        </w:rPr>
        <w:footnoteReference w:id="3"/>
      </w:r>
      <w:r>
        <w:rPr>
          <w:rFonts w:ascii="Times New Roman" w:hAnsi="Times New Roman"/>
          <w:noProof/>
          <w:sz w:val="24"/>
          <w:szCs w:val="24"/>
        </w:rPr>
        <w:t>. Nämä maat voivat osallistua tuleviin yhteishankintamenettelyihin. Yhteishankintasopimuksen on allekirjoittanut 37 sopimuskumppania ja se kattaa 537 miljoonaa ihmistä. Yhteishankintamekanismin perustamisen tavoitteena oli parantaa jäsenvaltioiden valmiutta reagoida hätätilanteisiin eli perustaa terveydenhuollon tarvikkeiden ja laitteiden varastoja ennen hätätilanteen syntymistä. Sitä ei ensisijaisesti suunniteltu välineeksi, jota käytettäisiin hätätilanteen aikana. Nykyiset olosuhteet toivat esiin valmiuden merkityksellisyyden, ja mekanismiin kohdistui valtavia paineita. Nämä välineet ovat kuitenkin kuormituksesta huolimatta osoittautuneet jo hyödyllisiksi.</w:t>
      </w:r>
    </w:p>
    <w:p>
      <w:pPr>
        <w:rPr>
          <w:rFonts w:ascii="Times New Roman" w:hAnsi="Times New Roman" w:cs="Times New Roman"/>
          <w:noProof/>
          <w:sz w:val="24"/>
          <w:szCs w:val="24"/>
          <w:u w:val="single"/>
        </w:rPr>
      </w:pPr>
      <w:r>
        <w:rPr>
          <w:rFonts w:ascii="Times New Roman" w:hAnsi="Times New Roman"/>
          <w:noProof/>
          <w:sz w:val="24"/>
          <w:szCs w:val="24"/>
          <w:u w:val="single"/>
        </w:rPr>
        <w:t>Käytännön menettelytavat ja koronavirusepidemiaan liittyvien yhteisten hankintojen toteuttamisaikataulu</w:t>
      </w:r>
    </w:p>
    <w:p>
      <w:pPr>
        <w:spacing w:line="276" w:lineRule="auto"/>
        <w:jc w:val="both"/>
        <w:rPr>
          <w:rFonts w:ascii="Times New Roman" w:hAnsi="Times New Roman" w:cs="Times New Roman"/>
          <w:noProof/>
          <w:sz w:val="24"/>
          <w:szCs w:val="24"/>
        </w:rPr>
      </w:pPr>
      <w:r>
        <w:rPr>
          <w:rFonts w:ascii="Times New Roman" w:hAnsi="Times New Roman"/>
          <w:noProof/>
          <w:sz w:val="24"/>
          <w:szCs w:val="24"/>
        </w:rPr>
        <w:t>Koronavirusepidemian yhteydessä käytetään äärimmäiseen kiireeseen perustuvaa neuvottelumenettelyä. Tämä tarkoittaa sitä, että mahdolliset tarjoajat yksilöidään markkina-analyysin perusteella ja tarjouksen voivat jättää vain yritykset, joilta sitä on pyydetty. Kun tarjous on hyväksytty, osallistuvat jäsenvaltiot saavat tilattujen tai varattujen tarvikkeiden ja laitteiden koko määrän. Toimitusnopeus riippuu kuitenkin valmistajien tuotantokapasiteetista ja sovellettavista jakoperusteista. Terveydenhuollon tarvikkeiden ja laitteiden käytettävissä olevien määrien lopullisen jaon tekee ohjauskomitea. Komissio on omasta aloitteestaan ehdottanut useita poikkeustoimenpiteitä menettelyjen nopeuttamiseksi. Menettelyt hidastuvat, kun odotetaan kaikkien asianomaisten jäsenvaltioiden toimittavan ilmoituksen tarpeistaan ja yritysten/markkinoiden reagoivan tarjouspyyntöön.</w:t>
      </w:r>
    </w:p>
    <w:p>
      <w:pPr>
        <w:rPr>
          <w:rFonts w:ascii="Times New Roman" w:hAnsi="Times New Roman" w:cs="Times New Roman"/>
          <w:noProof/>
          <w:sz w:val="24"/>
          <w:szCs w:val="24"/>
          <w:u w:val="single"/>
        </w:rPr>
      </w:pPr>
      <w:bookmarkStart w:id="2" w:name="_Toc35595807"/>
      <w:r>
        <w:rPr>
          <w:rFonts w:ascii="Times New Roman" w:hAnsi="Times New Roman"/>
          <w:noProof/>
          <w:sz w:val="24"/>
          <w:szCs w:val="24"/>
          <w:u w:val="single"/>
        </w:rPr>
        <w:t>Käynnissä olevat koronavirusepidemiaan liittyvät yhteiset hankinnat</w:t>
      </w:r>
      <w:bookmarkEnd w:id="2"/>
    </w:p>
    <w:p>
      <w:pPr>
        <w:spacing w:line="276" w:lineRule="auto"/>
        <w:jc w:val="both"/>
        <w:rPr>
          <w:rFonts w:ascii="Times New Roman" w:hAnsi="Times New Roman" w:cs="Times New Roman"/>
          <w:noProof/>
          <w:sz w:val="24"/>
          <w:szCs w:val="24"/>
        </w:rPr>
      </w:pPr>
      <w:r>
        <w:rPr>
          <w:rFonts w:ascii="Times New Roman" w:hAnsi="Times New Roman"/>
          <w:noProof/>
          <w:sz w:val="24"/>
          <w:szCs w:val="24"/>
        </w:rPr>
        <w:t>Epidemian yhteydessä on käynnistetty viisi yhteishankintamenettelyä, jotka kattavat henkilönsuojaimet, hengityslaitteet ja laboratoriolaitteet. Ensimmäisessä henkilönsuojainten hankinnassa jäsenvaltiot ovat voineet tilata suojakäsineitä huhtikuun alusta lähtien. Toukokuun alusta alkaen jäsenvaltiot ovat voineet tilata myös suojahaalareita. Toisessa henkilönsuojainten hankinnassa jäsenvaltiot ovat voineet tilata suojalaseja sekä kasvosuojia ja -naamareja huhtikuun alusta lähtien. Kolmas hankinta sisälsi hengityslaitteet, ja jäsenvaltiot ovat voineet tehdä tilauksia 15. huhtikuuta lähtien.  Neljäs yhteishankinta koski laboratoriolaitteita, ja jäsenvaltioilla on ollut mahdollisuus tehdä tilauksia toukokuusta lähtien. Tehohoitoyksiköissä käytettäviä lääkkeitä koskeva viides yhteishankinta käynnistettiin 17. kesäkuuta.</w:t>
      </w:r>
    </w:p>
    <w:p>
      <w:pPr>
        <w:jc w:val="both"/>
        <w:rPr>
          <w:rFonts w:ascii="Times New Roman" w:hAnsi="Times New Roman" w:cs="Times New Roman"/>
          <w:noProof/>
          <w:sz w:val="24"/>
          <w:szCs w:val="24"/>
        </w:rPr>
      </w:pPr>
      <w:r>
        <w:rPr>
          <w:rFonts w:ascii="Times New Roman" w:hAnsi="Times New Roman"/>
          <w:noProof/>
          <w:sz w:val="24"/>
          <w:szCs w:val="24"/>
        </w:rPr>
        <w:t xml:space="preserve">Henkilönsuojaimia ja hengityslaitteita ja laboratoriolaitteita koskevien sopimusten kautta jäsenvaltioilla on käytettävissä yhteensä yli </w:t>
      </w:r>
      <w:r>
        <w:rPr>
          <w:rFonts w:ascii="Times New Roman" w:hAnsi="Times New Roman"/>
          <w:b/>
          <w:noProof/>
          <w:sz w:val="24"/>
          <w:szCs w:val="24"/>
        </w:rPr>
        <w:t>3,3 miljardin euron budjetti kriittisille tarvikkeille</w:t>
      </w:r>
      <w:r>
        <w:rPr>
          <w:rFonts w:ascii="Times New Roman" w:hAnsi="Times New Roman"/>
          <w:noProof/>
          <w:sz w:val="24"/>
          <w:szCs w:val="24"/>
        </w:rPr>
        <w:t>, joita ne voivat hankkia vuoden aikana.</w:t>
      </w:r>
      <w:r>
        <w:rPr>
          <w:rStyle w:val="FootnoteReference"/>
          <w:rFonts w:ascii="Times New Roman" w:hAnsi="Times New Roman" w:cs="Times New Roman"/>
          <w:noProof/>
          <w:sz w:val="24"/>
          <w:szCs w:val="24"/>
        </w:rPr>
        <w:footnoteReference w:id="4"/>
      </w:r>
    </w:p>
    <w:p>
      <w:pPr>
        <w:spacing w:line="276" w:lineRule="auto"/>
        <w:jc w:val="both"/>
        <w:rPr>
          <w:rFonts w:ascii="Times New Roman" w:hAnsi="Times New Roman" w:cs="Times New Roman"/>
          <w:noProof/>
          <w:sz w:val="24"/>
          <w:szCs w:val="24"/>
        </w:rPr>
      </w:pPr>
      <w:r>
        <w:rPr>
          <w:rFonts w:ascii="Times New Roman" w:hAnsi="Times New Roman"/>
          <w:noProof/>
          <w:sz w:val="24"/>
          <w:szCs w:val="24"/>
        </w:rPr>
        <w:t>Uusia yhteisiä hankintoja voidaan tarvittaessa käynnistää milloin tahansa. Käynnistämiseen tarvitaan vähintään neljä jäsenvaltiota ja komissio.</w:t>
      </w:r>
    </w:p>
    <w:sectPr>
      <w:headerReference w:type="even" r:id="rId15"/>
      <w:headerReference w:type="default" r:id="rId16"/>
      <w:footerReference w:type="even" r:id="rId17"/>
      <w:footerReference w:type="default" r:id="rId18"/>
      <w:headerReference w:type="first" r:id="rId19"/>
      <w:footerReference w:type="first" r:id="rId20"/>
      <w:pgSz w:w="11906" w:h="16838"/>
      <w:pgMar w:top="567" w:right="1440" w:bottom="568" w:left="1440" w:header="426" w:footer="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10255"/>
      <w:docPartObj>
        <w:docPartGallery w:val="Page Numbers (Bottom of Page)"/>
        <w:docPartUnique/>
      </w:docPartObj>
    </w:sdtPr>
    <w:sdtEndPr>
      <w:rPr>
        <w:rFonts w:ascii="Times New Roman" w:hAnsi="Times New Roman" w:cs="Times New Roman"/>
        <w:noProof/>
        <w:sz w:val="24"/>
        <w:szCs w:val="24"/>
      </w:rPr>
    </w:sdtEndPr>
    <w:sdtContent>
      <w:p>
        <w:pPr>
          <w:pStyle w:val="Footer"/>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t xml:space="preserve"> </w:t>
      </w:r>
      <w:r>
        <w:rPr>
          <w:rFonts w:ascii="Times New Roman" w:hAnsi="Times New Roman"/>
          <w:sz w:val="16"/>
          <w:szCs w:val="16"/>
        </w:rPr>
        <w:t>Yhteishankintasopimusta koskevat säännökset sisältyvät päätöksen 1082/2013/EU 5 artiklaan.</w:t>
      </w:r>
    </w:p>
  </w:footnote>
  <w:footnote w:id="2">
    <w:p>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t xml:space="preserve"> </w:t>
      </w:r>
      <w:r>
        <w:rPr>
          <w:rFonts w:ascii="Times New Roman" w:hAnsi="Times New Roman"/>
          <w:sz w:val="16"/>
          <w:szCs w:val="16"/>
        </w:rPr>
        <w:t>Tämä nimitys ei vaikuta asemaa koskeviin kantoihin, ja se on YK:n turvallisuusneuvoston päätöslauselman 1244/1999 ja Kansainvälisen tuomioistuimen Kosovon itsenäisyysjulistuksesta antaman lausunnon mukainen.</w:t>
      </w:r>
    </w:p>
  </w:footnote>
  <w:footnote w:id="3">
    <w:p>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t xml:space="preserve"> </w:t>
      </w:r>
      <w:r>
        <w:rPr>
          <w:rFonts w:ascii="Times New Roman" w:hAnsi="Times New Roman"/>
          <w:sz w:val="16"/>
          <w:szCs w:val="16"/>
        </w:rPr>
        <w:t>Eurooppa-neuvosto kehotti 26. maaliskuuta 2020 antamaan Länsi-Balkanin maille mahdollisuuden osallistua yhteishankintasopimukseen, minkä jälkeen kuuden asianomaisen kumppanin kanssa aloitettiin keskustelut. Joissakin maissa ei ole vielä saatettu päätökseen kansallisia hyväksyntämenettelyjä. Vasta kun nämä maat ovat toimittaneet komissiolle sopimuksen liitteen II mukaisen ilmoituksen, ne otetaan huomioon pyrittäessä saavuttamaan yhteinen kanta, määräenemmistö tai yksinkertainen enemmistö sopimuksen nojalla.</w:t>
      </w:r>
    </w:p>
  </w:footnote>
  <w:footnote w:id="4">
    <w:p>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t xml:space="preserve"> </w:t>
      </w:r>
      <w:r>
        <w:rPr>
          <w:rFonts w:ascii="Times New Roman" w:hAnsi="Times New Roman"/>
          <w:sz w:val="16"/>
          <w:szCs w:val="16"/>
        </w:rPr>
        <w:t>Enimmäismääriä voidaan mukauttaa, kun useammista sopimuksista on saatu neuvottelut päätökseen.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asiakirjaan"/>
    <w:docVar w:name="LW_ANNEX_NBR_FIRST" w:val="1"/>
    <w:docVar w:name="LW_ANNEX_NBR_LAST" w:val="1"/>
    <w:docVar w:name="LW_ANNEX_UNIQUE" w:val="1"/>
    <w:docVar w:name="LW_CORRIGENDUM" w:val="&lt;UNUSED&gt;"/>
    <w:docVar w:name="LW_COVERPAGE_EXISTS" w:val="True"/>
    <w:docVar w:name="LW_COVERPAGE_GUID" w:val="5B80AAEC-CD6D-4996-965A-5BC03EB9DC3E"/>
    <w:docVar w:name="LW_COVERPAGE_TYPE" w:val="1"/>
    <w:docVar w:name="LW_CROSSREFERENCE" w:val="&lt;UNUSED&gt;"/>
    <w:docVar w:name="LW_DocType" w:val="NORMAL"/>
    <w:docVar w:name="LW_EMISSION" w:val="15.7.2020"/>
    <w:docVar w:name="LW_EMISSION_ISODATE" w:val="2020-07-15"/>
    <w:docVar w:name="LW_EMISSION_LOCATION" w:val="BRX"/>
    <w:docVar w:name="LW_EMISSION_PREFIX" w:val="Bryssel "/>
    <w:docVar w:name="LW_EMISSION_SUFFIX" w:val=" "/>
    <w:docVar w:name="LW_ID_DOCTYPE_NONLW" w:val="CP-039"/>
    <w:docVar w:name="LW_LANGUE" w:val="FI"/>
    <w:docVar w:name="LW_LEVEL_OF_SENSITIVITY" w:val="Standard treatment"/>
    <w:docVar w:name="LW_NOM.INST" w:val="EUROOPAN KOMISSIO"/>
    <w:docVar w:name="LW_NOM.INST_JOINTDOC" w:val="&lt;EMPTY&gt;"/>
    <w:docVar w:name="LW_OBJETACTEPRINCIPAL.CP" w:val="&lt;FMT:Bold&gt;EU:n lyhyen aikavälin terveydenhuoltovalmiudesta koronavirusepidemioiden varalta&lt;/FMT&gt;"/>
    <w:docVar w:name="LW_PART_NBR" w:val="1"/>
    <w:docVar w:name="LW_PART_NBR_TOTAL" w:val="1"/>
    <w:docVar w:name="LW_REF.INST.NEW" w:val="COM"/>
    <w:docVar w:name="LW_REF.INST.NEW_ADOPTED" w:val="final"/>
    <w:docVar w:name="LW_REF.INST.NEW_TEXT" w:val="(2020) 31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LIITE_x000b_"/>
    <w:docVar w:name="LW_TYPEACTEPRINCIPAL.CP" w:val="KOMISSION TIEDONANTO EUROOPAN PARLAMENTILLE, NEUVOSTOLLE, EUROOPAN TALOUS- JA SOSIAALIKOMITEALLE JA ALUEIDEN KOMITEALL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lang w:val="fi-FI"/>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fi-FI"/>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fi-FI"/>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fi-FI"/>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lang w:val="fi-FI"/>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fi-FI"/>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fi-FI"/>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fi-FI"/>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0B5E8-3A7B-4467-8A2E-9E1B66835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348</Words>
  <Characters>3190</Characters>
  <Application>Microsoft Office Word</Application>
  <DocSecurity>0</DocSecurity>
  <Lines>48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2020-07-10T19:02:00Z</dcterms:created>
  <dcterms:modified xsi:type="dcterms:W3CDTF">2020-07-20T13:50:00Z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First annex">
    <vt:lpwstr>1</vt:lpwstr>
  </property>
  <property fmtid="{D5CDD505-2E9C-101B-9397-08002B2CF9AE}" pid="5" name="Last annex">
    <vt:lpwstr>1</vt:lpwstr>
  </property>
  <property fmtid="{D5CDD505-2E9C-101B-9397-08002B2CF9AE}" pid="6" name="Unique annex">
    <vt:lpwstr>1</vt:lpwstr>
  </property>
  <property fmtid="{D5CDD505-2E9C-101B-9397-08002B2CF9AE}" pid="7" name="Part">
    <vt:lpwstr>1</vt:lpwstr>
  </property>
  <property fmtid="{D5CDD505-2E9C-101B-9397-08002B2CF9AE}" pid="8" name="Total parts">
    <vt:lpwstr>1</vt:lpwstr>
  </property>
  <property fmtid="{D5CDD505-2E9C-101B-9397-08002B2CF9AE}" pid="9" name="DocStatus">
    <vt:lpwstr>Green</vt:lpwstr>
  </property>
  <property fmtid="{D5CDD505-2E9C-101B-9397-08002B2CF9AE}" pid="10" name="CPTemplateID">
    <vt:lpwstr>CP-039</vt:lpwstr>
  </property>
</Properties>
</file>