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B5FBC07B-4DC8-45F8-A1E2-A3A663B158B2" style="width:450.8pt;height:379.35pt">
            <v:imagedata r:id="rId8" o:title=""/>
          </v:shape>
        </w:pict>
      </w:r>
    </w:p>
    <w:bookmarkEnd w:id="0"/>
    <w:p>
      <w:pPr>
        <w:rPr>
          <w:noProof/>
          <w:lang w:val="en-GB"/>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jc w:val="center"/>
        <w:rPr>
          <w:rFonts w:ascii="Times New Roman" w:hAnsi="Times New Roman" w:cs="Times New Roman"/>
          <w:noProof/>
          <w:sz w:val="24"/>
          <w:szCs w:val="24"/>
        </w:rPr>
      </w:pPr>
      <w:bookmarkStart w:id="1" w:name="_GoBack"/>
      <w:bookmarkEnd w:id="1"/>
      <w:r>
        <w:rPr>
          <w:rFonts w:ascii="Times New Roman" w:hAnsi="Times New Roman"/>
          <w:b/>
          <w:noProof/>
          <w:sz w:val="24"/>
          <w:szCs w:val="24"/>
        </w:rPr>
        <w:lastRenderedPageBreak/>
        <w:t xml:space="preserve">PŘÍLOHA </w:t>
      </w:r>
      <w:r>
        <w:rPr>
          <w:noProof/>
        </w:rPr>
        <w:t xml:space="preserve"> </w:t>
      </w:r>
      <w:r>
        <w:rPr>
          <w:noProof/>
        </w:rPr>
        <w:br/>
      </w:r>
      <w:r>
        <w:rPr>
          <w:rFonts w:ascii="Times New Roman" w:hAnsi="Times New Roman"/>
          <w:b/>
          <w:noProof/>
          <w:sz w:val="24"/>
          <w:szCs w:val="24"/>
        </w:rPr>
        <w:t xml:space="preserve">. </w:t>
      </w:r>
      <w:r>
        <w:rPr>
          <w:noProof/>
        </w:rPr>
        <w:t xml:space="preserve"> </w:t>
      </w:r>
      <w:r>
        <w:rPr>
          <w:noProof/>
        </w:rPr>
        <w:br/>
      </w:r>
      <w:r>
        <w:rPr>
          <w:rFonts w:ascii="Times New Roman" w:hAnsi="Times New Roman"/>
          <w:b/>
          <w:noProof/>
          <w:sz w:val="24"/>
          <w:szCs w:val="24"/>
        </w:rPr>
        <w:t>PŘEHLED – SPOLEČNÉ ZADÁVÁNÍ VEŘEJNÝCH ZAKÁZEK</w:t>
      </w:r>
    </w:p>
    <w:p>
      <w:pPr>
        <w:rPr>
          <w:rFonts w:ascii="Times New Roman" w:hAnsi="Times New Roman" w:cs="Times New Roman"/>
          <w:noProof/>
          <w:sz w:val="24"/>
          <w:szCs w:val="24"/>
          <w:u w:val="single"/>
        </w:rPr>
      </w:pPr>
      <w:r>
        <w:rPr>
          <w:rFonts w:ascii="Times New Roman" w:hAnsi="Times New Roman"/>
          <w:noProof/>
          <w:sz w:val="24"/>
          <w:szCs w:val="24"/>
          <w:u w:val="single"/>
        </w:rPr>
        <w:t>Dohoda o společném zadávání veřejných zakázek – právní základ a cíle</w:t>
      </w:r>
    </w:p>
    <w:p>
      <w:pPr>
        <w:spacing w:after="100" w:afterAutospacing="1" w:line="276" w:lineRule="auto"/>
        <w:jc w:val="both"/>
        <w:rPr>
          <w:rFonts w:ascii="Times New Roman" w:eastAsia="Times New Roman" w:hAnsi="Times New Roman" w:cs="Times New Roman"/>
          <w:noProof/>
          <w:sz w:val="24"/>
          <w:szCs w:val="24"/>
        </w:rPr>
      </w:pPr>
      <w:r>
        <w:rPr>
          <w:rFonts w:ascii="Times New Roman" w:hAnsi="Times New Roman"/>
          <w:noProof/>
          <w:sz w:val="24"/>
          <w:szCs w:val="24"/>
        </w:rPr>
        <w:t>Komise dne 10. dubna 2014 přijala Dohodu o společném zadávání veřejných zakázek</w:t>
      </w:r>
      <w:r>
        <w:rPr>
          <w:rStyle w:val="FootnoteReference"/>
          <w:rFonts w:ascii="Times New Roman" w:eastAsia="Times New Roman" w:hAnsi="Times New Roman" w:cs="Times New Roman"/>
          <w:noProof/>
          <w:sz w:val="24"/>
          <w:szCs w:val="24"/>
          <w:lang w:eastAsia="fr-BE"/>
        </w:rPr>
        <w:footnoteReference w:id="1"/>
      </w:r>
      <w:r>
        <w:rPr>
          <w:rFonts w:ascii="Times New Roman" w:hAnsi="Times New Roman"/>
          <w:noProof/>
          <w:sz w:val="24"/>
          <w:szCs w:val="24"/>
        </w:rPr>
        <w:t xml:space="preserve"> pro orgány EU, aby spolu se státy, které se k této dohodě připojily, nakoupila očkovací látky, antivirotika a lékařská protiopatření pro vážné přeshraniční zdravotní hrozby. K dubnu 2020 podepsalo tuto dohodu všech 27 zemí EU, Spojené království, tři země EHP (Norsko, Island a Lichtenštejnsko) a také Albánie, Bosna a Hercegovina, Černá Hora, Srbsko, Severní Makedonie a Kosovo</w:t>
      </w:r>
      <w:r>
        <w:rPr>
          <w:rStyle w:val="FootnoteReference"/>
          <w:rFonts w:ascii="Times New Roman" w:eastAsia="Times New Roman" w:hAnsi="Times New Roman" w:cs="Times New Roman"/>
          <w:noProof/>
          <w:sz w:val="24"/>
          <w:szCs w:val="24"/>
          <w:lang w:eastAsia="fr-BE"/>
        </w:rPr>
        <w:footnoteReference w:id="2"/>
      </w:r>
      <w:r>
        <w:rPr>
          <w:rStyle w:val="FootnoteReference"/>
          <w:rFonts w:ascii="Times New Roman" w:eastAsia="Times New Roman" w:hAnsi="Times New Roman" w:cs="Times New Roman"/>
          <w:noProof/>
          <w:sz w:val="24"/>
          <w:szCs w:val="24"/>
          <w:lang w:eastAsia="fr-BE"/>
        </w:rPr>
        <w:footnoteReference w:id="3"/>
      </w:r>
      <w:r>
        <w:rPr>
          <w:rFonts w:ascii="Times New Roman" w:hAnsi="Times New Roman"/>
          <w:noProof/>
          <w:sz w:val="24"/>
          <w:szCs w:val="24"/>
        </w:rPr>
        <w:t>. Tyto země se mohou účastnit všech budoucích společných zadávacích řízení. Dohodu o společném zadávání veřejných zakázek podepsalo celkem 37 partnerů a týká se 537 milionů lidí. Mechanismus společného zadávání veřejných zakázek byl zřízen s cílem zlepšit připravenost členských států reagovat na mimořádné situace, tj. vytvořit zásoby lékařských protiopatření dříve, než mimořádná situace nastane. Nebyl primárně zřízen jako nástroj pro použití v mimořádné situaci. Současné okolnosti, které vedly k enormnímu zatížení tohoto mechanismu, ukazují, jak je připravenost důležitá. Přesto nástroje i pod současným tlakem již začínají prokazovat svou užitečnost.</w:t>
      </w:r>
    </w:p>
    <w:p>
      <w:pPr>
        <w:rPr>
          <w:rFonts w:ascii="Times New Roman" w:hAnsi="Times New Roman" w:cs="Times New Roman"/>
          <w:noProof/>
          <w:sz w:val="24"/>
          <w:szCs w:val="24"/>
          <w:u w:val="single"/>
        </w:rPr>
      </w:pPr>
      <w:bookmarkStart w:id="2" w:name="_Toc35595806"/>
      <w:r>
        <w:rPr>
          <w:rFonts w:ascii="Times New Roman" w:hAnsi="Times New Roman"/>
          <w:noProof/>
          <w:sz w:val="24"/>
          <w:szCs w:val="24"/>
          <w:u w:val="single"/>
        </w:rPr>
        <w:t xml:space="preserve">Praktické postupy </w:t>
      </w:r>
      <w:bookmarkEnd w:id="2"/>
      <w:r>
        <w:rPr>
          <w:rFonts w:ascii="Times New Roman" w:hAnsi="Times New Roman"/>
          <w:noProof/>
          <w:sz w:val="24"/>
          <w:szCs w:val="24"/>
          <w:u w:val="single"/>
        </w:rPr>
        <w:t>a rychlost provádění společného zadávání veřejných zakázek v souvislosti s COVID-19</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V souvislosti s COVID-19 se z důvodu krajní naléhavosti použije jednací řízení. To znamená, že případní uchazeči se zjišťují analýzou trhu a že nabídku mohou podat pouze vyzvané společnosti. Po přidělení nabídky obdrží zúčastněné členské státy celkové množství objednaných nebo zamluvených opatření. Lhůta dodání však závisí na výrobní kapacitě výrobců a použitelných kritérií přidělování. Konečný příděl dostupného množství lékařských protiopatření provede příslušný řídící výbor. Komise z vlastní iniciativy navrhla řadu výjimek, aby se postupy urychlily. Tyto postupy jsou zpomalovány jednak tím, že všechny členské státy, které projeví zájem, potřebují čas, aby předložily svou konečnou žádost ohledně potřeb, a jednak schopností podniků/trhu reagovat.</w:t>
      </w:r>
    </w:p>
    <w:p>
      <w:pPr>
        <w:rPr>
          <w:rFonts w:ascii="Times New Roman" w:hAnsi="Times New Roman" w:cs="Times New Roman"/>
          <w:noProof/>
          <w:sz w:val="24"/>
          <w:szCs w:val="24"/>
          <w:u w:val="single"/>
        </w:rPr>
      </w:pPr>
      <w:bookmarkStart w:id="3" w:name="_Toc35595807"/>
      <w:r>
        <w:rPr>
          <w:rFonts w:ascii="Times New Roman" w:hAnsi="Times New Roman"/>
          <w:noProof/>
          <w:sz w:val="24"/>
          <w:szCs w:val="24"/>
          <w:u w:val="single"/>
        </w:rPr>
        <w:t>Probíhající společné zadávání veřejných zakázek v souvislosti s COVID-19</w:t>
      </w:r>
      <w:bookmarkEnd w:id="3"/>
    </w:p>
    <w:p>
      <w:pPr>
        <w:spacing w:line="276" w:lineRule="auto"/>
        <w:jc w:val="both"/>
        <w:rPr>
          <w:rFonts w:ascii="Times New Roman" w:hAnsi="Times New Roman" w:cs="Times New Roman"/>
          <w:noProof/>
          <w:sz w:val="24"/>
          <w:szCs w:val="24"/>
        </w:rPr>
      </w:pPr>
      <w:r>
        <w:rPr>
          <w:rFonts w:ascii="Times New Roman" w:hAnsi="Times New Roman"/>
          <w:noProof/>
          <w:sz w:val="24"/>
          <w:szCs w:val="24"/>
        </w:rPr>
        <w:t>Bylo zahájeno pět společných zadávacích řízení na osobní ochranné prostředky, ventilátory a laboratorní vybavení. V rámci prvního společného zadávacího řízení na ochranné osobní prostředky mohly členské státy od dubna objednávat rukavice. Od začátku května mohou členské státy objednávat také kombinézy. V rámci druhého společného zadávacího řízení na ochranné osobní prostředky mohou členské státy od začátku dubna objednávat ochranné brýle, obličejové štíty a roušky. V rámci třetího společného zadávacího řízení na ventilátory mohou členské státy podávat objednávky od 15. dubna.  V rámci čtvrtého společného zadávacího řízení na laboratorní vybavení mohou členské státy objednávat od května. Páté společné zadávací řízení na léčivé přípravky pro jednotky intenzivní péče bylo zahájeno 17. června.</w:t>
      </w:r>
    </w:p>
    <w:p>
      <w:pPr>
        <w:jc w:val="both"/>
        <w:rPr>
          <w:rFonts w:ascii="Times New Roman" w:hAnsi="Times New Roman" w:cs="Times New Roman"/>
          <w:noProof/>
          <w:sz w:val="24"/>
          <w:szCs w:val="24"/>
        </w:rPr>
      </w:pPr>
      <w:r>
        <w:rPr>
          <w:rFonts w:ascii="Times New Roman" w:hAnsi="Times New Roman"/>
          <w:noProof/>
          <w:sz w:val="24"/>
          <w:szCs w:val="24"/>
        </w:rPr>
        <w:t xml:space="preserve">Smlouvy na osobní ochranné prostředky, ventilátory a laboratorní vybavení členským státům nabízejí možnost během jednoho roku pořizovat </w:t>
      </w:r>
      <w:r>
        <w:rPr>
          <w:rFonts w:ascii="Times New Roman" w:hAnsi="Times New Roman"/>
          <w:b/>
          <w:bCs/>
          <w:noProof/>
          <w:sz w:val="24"/>
          <w:szCs w:val="24"/>
        </w:rPr>
        <w:t>nejdůležitější dodávky</w:t>
      </w:r>
      <w:r>
        <w:rPr>
          <w:rFonts w:ascii="Times New Roman" w:hAnsi="Times New Roman"/>
          <w:noProof/>
          <w:sz w:val="24"/>
          <w:szCs w:val="24"/>
        </w:rPr>
        <w:t xml:space="preserve"> se stropem ve výši více než </w:t>
      </w:r>
      <w:r>
        <w:rPr>
          <w:rFonts w:ascii="Times New Roman" w:hAnsi="Times New Roman"/>
          <w:b/>
          <w:noProof/>
          <w:sz w:val="24"/>
          <w:szCs w:val="24"/>
        </w:rPr>
        <w:t>3,3 mld. EUR</w:t>
      </w:r>
      <w:r>
        <w:rPr>
          <w:rStyle w:val="FootnoteReference"/>
          <w:rFonts w:ascii="Times New Roman" w:hAnsi="Times New Roman" w:cs="Times New Roman"/>
          <w:noProof/>
          <w:sz w:val="24"/>
          <w:szCs w:val="24"/>
        </w:rPr>
        <w:footnoteReference w:id="4"/>
      </w:r>
      <w:r>
        <w:rPr>
          <w:noProof/>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V případě potřeby mohou být kdykoli zahájena další společná zadávání veřejných zakázek. Předpokladem je účast nejméně čtyř členských států a Komise.</w:t>
      </w:r>
    </w:p>
    <w:sectPr>
      <w:headerReference w:type="even" r:id="rId15"/>
      <w:headerReference w:type="default" r:id="rId16"/>
      <w:footerReference w:type="even" r:id="rId17"/>
      <w:footerReference w:type="default" r:id="rId18"/>
      <w:headerReference w:type="first" r:id="rId19"/>
      <w:footerReference w:type="first" r:id="rId20"/>
      <w:pgSz w:w="11906" w:h="16838"/>
      <w:pgMar w:top="567" w:right="1440" w:bottom="568" w:left="1440" w:header="426" w:footer="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10255"/>
      <w:docPartObj>
        <w:docPartGallery w:val="Page Numbers (Bottom of Page)"/>
        <w:docPartUnique/>
      </w:docPartObj>
    </w:sdtPr>
    <w:sdtEndPr>
      <w:rPr>
        <w:rFonts w:ascii="Times New Roman" w:hAnsi="Times New Roman" w:cs="Times New Roman"/>
        <w:noProof/>
        <w:sz w:val="24"/>
        <w:szCs w:val="24"/>
      </w:rPr>
    </w:sdtEndPr>
    <w:sdtContent>
      <w:p>
        <w:pPr>
          <w:pStyle w:val="Foot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Ustanovení o Dohodě o společném zadávání veřejných zakázek jsou obsažena v článku 5 rozhodnutí 1082/2013/EU.</w:t>
      </w:r>
    </w:p>
  </w:footnote>
  <w:footnote w:id="2">
    <w:p>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Tímto označením nejsou dotčeny postoje k otázce statusu a označení je v souladu s rezolucí Rady bezpečnosti OSN 1244 (1999) a se stanoviskem Mezinárodního soudního dvora k vyhlášení nezávislosti Kosova.</w:t>
      </w:r>
    </w:p>
  </w:footnote>
  <w:footnote w:id="3">
    <w:p>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V návaznosti na výzvu Evropské rady ze dne 26. března 2020 otevřít Dohodu o společném zadávání veřejných zakázek zemím západního Balkánu byly zahájeny rozhovory s šesti dotčenými partnery. Některé země dosud neukončily své vnitrostátní schvalovací postupy. Dokud Komisi neoznámí schválení předložením přílohy II, nebudou pro účely dosažení společné dohody, kvalifikované většiny nebo prosté většiny v rámci dohody brány v úvahu.</w:t>
      </w:r>
    </w:p>
  </w:footnote>
  <w:footnote w:id="4">
    <w:p>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Style w:val="FootnoteReference"/>
          <w:rFonts w:ascii="Times New Roman" w:hAnsi="Times New Roman"/>
          <w:sz w:val="16"/>
          <w:szCs w:val="16"/>
        </w:rPr>
        <w:t xml:space="preserve"> </w:t>
      </w:r>
      <w:r>
        <w:rPr>
          <w:rFonts w:ascii="Times New Roman" w:hAnsi="Times New Roman"/>
          <w:sz w:val="16"/>
          <w:szCs w:val="16"/>
        </w:rPr>
        <w:t>(Strop může být upraven, jakmile bude vyjednáno více smluv.)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 "/>
    <w:docVar w:name="LW_ANNEX_NBR_FIRST" w:val="1"/>
    <w:docVar w:name="LW_ANNEX_NBR_LAST" w:val="1"/>
    <w:docVar w:name="LW_ANNEX_UNIQUE" w:val="1"/>
    <w:docVar w:name="LW_CORRIGENDUM" w:val="&lt;UNUSED&gt;"/>
    <w:docVar w:name="LW_COVERPAGE_EXISTS" w:val="True"/>
    <w:docVar w:name="LW_COVERPAGE_GUID" w:val="B5FBC07B-4DC8-45F8-A1E2-A3A663B158B2"/>
    <w:docVar w:name="LW_COVERPAGE_TYPE" w:val="1"/>
    <w:docVar w:name="LW_CROSSREFERENCE" w:val="&lt;UNUSED&gt;"/>
    <w:docVar w:name="LW_DocType" w:val="NORMAL"/>
    <w:docVar w:name="LW_EMISSION" w:val="15.7.2020"/>
    <w:docVar w:name="LW_EMISSION_ISODATE" w:val="2020-07-15"/>
    <w:docVar w:name="LW_EMISSION_LOCATION" w:val="BRX"/>
    <w:docVar w:name="LW_EMISSION_PREFIX" w:val="V Bruselu dne "/>
    <w:docVar w:name="LW_EMISSION_SUFFIX" w:val=" "/>
    <w:docVar w:name="LW_ID_DOCTYPE_NONLW" w:val="CP-039"/>
    <w:docVar w:name="LW_LANGUE" w:val="CS"/>
    <w:docVar w:name="LW_LEVEL_OF_SENSITIVITY" w:val="Standard treatment"/>
    <w:docVar w:name="LW_NOM.INST" w:val="EVROPSKÁ KOMISE"/>
    <w:docVar w:name="LW_NOM.INST_JOINTDOC" w:val="&lt;EMPTY&gt;"/>
    <w:docVar w:name="LW_OBJETACTEPRINCIPAL.CP" w:val="Krátkodobá zdravotní p\u345?ipravenost EU na roz\u353?í\u345?ení onemocn\u283?ní COVID-19"/>
    <w:docVar w:name="LW_PART_NBR" w:val="1"/>
    <w:docVar w:name="LW_PART_NBR_TOTAL" w:val="1"/>
    <w:docVar w:name="LW_REF.INST.NEW" w:val="COM"/>
    <w:docVar w:name="LW_REF.INST.NEW_ADOPTED" w:val="final"/>
    <w:docVar w:name="LW_REF.INST.NEW_TEXT" w:val="(2020) 31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P\u344?ÍLOHA_x000b_"/>
    <w:docVar w:name="LW_TYPEACTEPRINCIPAL.CP" w:val="SD\u282?LENÍ KOMISE EVROPSKÉMU PARLAMENTU, RAD\u282?, EVROPSKÉMU HOSPODÁ\u344?SKÉMU A SOCIÁLNÍMU VÝBORU A VÝBORU REGION\u366?"/>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cs-CZ"/>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cs-CZ"/>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cs-CZ"/>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cs-CZ"/>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cs-CZ"/>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cs-CZ"/>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cs-CZ"/>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cs-CZ"/>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E65BB-0772-42F5-9F91-AAED2A1E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2876</Characters>
  <Application>Microsoft Office Word</Application>
  <DocSecurity>0</DocSecurity>
  <Lines>46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2020-07-10T19:02:00Z</dcterms:created>
  <dcterms:modified xsi:type="dcterms:W3CDTF">2020-07-20T13:50:00Z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First annex">
    <vt:lpwstr>1</vt:lpwstr>
  </property>
  <property fmtid="{D5CDD505-2E9C-101B-9397-08002B2CF9AE}" pid="5" name="Last annex">
    <vt:lpwstr>1</vt:lpwstr>
  </property>
  <property fmtid="{D5CDD505-2E9C-101B-9397-08002B2CF9AE}" pid="6" name="Unique annex">
    <vt:lpwstr>1</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y fmtid="{D5CDD505-2E9C-101B-9397-08002B2CF9AE}" pid="10" name="CPTemplateID">
    <vt:lpwstr>CP-039</vt:lpwstr>
  </property>
</Properties>
</file>