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0DD3C009-FB13-4D32-A4D6-D685A914B798" style="width:450.8pt;height:406.95pt">
            <v:imagedata r:id="rId8" o:title=""/>
          </v:shape>
        </w:pict>
      </w:r>
    </w:p>
    <w:bookmarkEnd w:id="0"/>
    <w:p>
      <w:pPr>
        <w:rPr>
          <w:noProof/>
          <w:lang w:val="en-GB"/>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jc w:val="center"/>
        <w:rPr>
          <w:rFonts w:ascii="Times New Roman" w:hAnsi="Times New Roman" w:cs="Times New Roman"/>
          <w:noProof/>
          <w:sz w:val="24"/>
          <w:szCs w:val="24"/>
        </w:rPr>
      </w:pPr>
      <w:bookmarkStart w:id="1" w:name="_GoBack"/>
      <w:bookmarkEnd w:id="1"/>
      <w:r>
        <w:rPr>
          <w:rFonts w:ascii="Times New Roman" w:hAnsi="Times New Roman"/>
          <w:b/>
          <w:noProof/>
          <w:sz w:val="24"/>
          <w:szCs w:val="24"/>
        </w:rPr>
        <w:lastRenderedPageBreak/>
        <w:t>ANEXĂ</w:t>
      </w:r>
      <w:r>
        <w:rPr>
          <w:noProof/>
        </w:rPr>
        <w:t xml:space="preserve"> </w:t>
      </w:r>
      <w:r>
        <w:rPr>
          <w:noProof/>
        </w:rPr>
        <w:br/>
      </w:r>
      <w:r>
        <w:rPr>
          <w:rFonts w:ascii="Times New Roman" w:hAnsi="Times New Roman"/>
          <w:b/>
          <w:noProof/>
          <w:sz w:val="24"/>
          <w:szCs w:val="24"/>
        </w:rPr>
        <w:t xml:space="preserve"> </w:t>
      </w:r>
      <w:r>
        <w:rPr>
          <w:noProof/>
        </w:rPr>
        <w:t xml:space="preserve"> </w:t>
      </w:r>
      <w:r>
        <w:rPr>
          <w:noProof/>
        </w:rPr>
        <w:br/>
      </w:r>
      <w:r>
        <w:rPr>
          <w:rFonts w:ascii="Times New Roman" w:hAnsi="Times New Roman"/>
          <w:b/>
          <w:noProof/>
          <w:sz w:val="24"/>
          <w:szCs w:val="24"/>
        </w:rPr>
        <w:t>ACHIZIȚII PUBLICE COMUNE – PREZENTARE GENERALĂ</w:t>
      </w:r>
    </w:p>
    <w:p>
      <w:pPr>
        <w:rPr>
          <w:rFonts w:ascii="Times New Roman" w:hAnsi="Times New Roman" w:cs="Times New Roman"/>
          <w:noProof/>
          <w:sz w:val="24"/>
          <w:szCs w:val="24"/>
          <w:u w:val="single"/>
        </w:rPr>
      </w:pPr>
      <w:r>
        <w:rPr>
          <w:rFonts w:ascii="Times New Roman" w:hAnsi="Times New Roman"/>
          <w:noProof/>
          <w:sz w:val="24"/>
          <w:szCs w:val="24"/>
          <w:u w:val="single"/>
        </w:rPr>
        <w:t>Acordul privind achizițiile publice comune – temei juridic și obiective</w:t>
      </w:r>
    </w:p>
    <w:p>
      <w:pPr>
        <w:spacing w:after="100" w:afterAutospacing="1" w:line="276" w:lineRule="auto"/>
        <w:jc w:val="both"/>
        <w:rPr>
          <w:rFonts w:ascii="Times New Roman" w:eastAsia="Times New Roman" w:hAnsi="Times New Roman" w:cs="Times New Roman"/>
          <w:noProof/>
          <w:sz w:val="24"/>
          <w:szCs w:val="24"/>
        </w:rPr>
      </w:pPr>
      <w:r>
        <w:rPr>
          <w:rFonts w:ascii="Times New Roman" w:hAnsi="Times New Roman"/>
          <w:noProof/>
          <w:sz w:val="24"/>
          <w:szCs w:val="24"/>
        </w:rPr>
        <w:t>La 10 aprilie 2014, Comisia a adoptat Acordul privind achizițiile publice comune</w:t>
      </w:r>
      <w:r>
        <w:rPr>
          <w:rStyle w:val="FootnoteReference"/>
          <w:rFonts w:ascii="Times New Roman" w:eastAsia="Times New Roman" w:hAnsi="Times New Roman" w:cs="Times New Roman"/>
          <w:noProof/>
          <w:sz w:val="24"/>
          <w:szCs w:val="24"/>
          <w:lang w:eastAsia="fr-BE"/>
        </w:rPr>
        <w:footnoteReference w:id="1"/>
      </w:r>
      <w:r>
        <w:rPr>
          <w:rFonts w:ascii="Times New Roman" w:hAnsi="Times New Roman"/>
          <w:noProof/>
          <w:sz w:val="24"/>
          <w:szCs w:val="24"/>
        </w:rPr>
        <w:t xml:space="preserve"> pentru instituțiile UE, împreună cu statele care s-au alăturat acestui acord, pentru a achiziționa vaccinuri, antivirale și contramăsuri medicale pentru amenințările transfrontaliere grave la adresa sănătății. Începând cu aprilie 2020, Acordul privind achizițiile publice comune a fost semnat de toate cele 27 de state membre ale UE, de Regatul Unit, de cele 3 țări SEE (Norvegia, Islanda și Liechtenstein), precum și de Albania, Bosnia și Herțegovina, Muntenegru, Serbia, Kosovo</w:t>
      </w:r>
      <w:r>
        <w:rPr>
          <w:rStyle w:val="FootnoteReference"/>
          <w:rFonts w:ascii="Times New Roman" w:eastAsia="Times New Roman" w:hAnsi="Times New Roman" w:cs="Times New Roman"/>
          <w:noProof/>
          <w:sz w:val="24"/>
          <w:szCs w:val="24"/>
          <w:lang w:eastAsia="fr-BE"/>
        </w:rPr>
        <w:footnoteReference w:id="2"/>
      </w:r>
      <w:r>
        <w:rPr>
          <w:rFonts w:ascii="Times New Roman" w:hAnsi="Times New Roman"/>
          <w:noProof/>
          <w:sz w:val="24"/>
          <w:szCs w:val="24"/>
        </w:rPr>
        <w:t xml:space="preserve"> și Macedonia de Nord</w:t>
      </w:r>
      <w:r>
        <w:rPr>
          <w:rStyle w:val="FootnoteReference"/>
          <w:rFonts w:ascii="Times New Roman" w:eastAsia="Times New Roman" w:hAnsi="Times New Roman" w:cs="Times New Roman"/>
          <w:noProof/>
          <w:sz w:val="24"/>
          <w:szCs w:val="24"/>
          <w:lang w:eastAsia="fr-BE"/>
        </w:rPr>
        <w:footnoteReference w:id="3"/>
      </w:r>
      <w:r>
        <w:rPr>
          <w:rFonts w:ascii="Times New Roman" w:hAnsi="Times New Roman"/>
          <w:noProof/>
          <w:sz w:val="24"/>
          <w:szCs w:val="24"/>
        </w:rPr>
        <w:t>. Aceste țări pot participa la orice viitoare procedură de achiziții publice comune. Acordul privind achizițiile publice comune a fost semnat de 37 de parteneri și acoperă 537 de milioane de persoane. Mecanismul de achiziții publice comune a fost instituit cu scopul de a îmbunătăți gradul de pregătire a statelor membre în fața situațiilor de urgență, și anume de a face stocuri de contramăsuri medicale înainte de apariția unei situații de urgență. El nu a avut ca obiectiv principal să fie utilizat în timpul unei situații de urgență. Circumstanțele actuale evidențiază importanța pregătirii, punând în același timp o presiune enormă asupra mecanismului. Cu toate acestea, instrumentele au început deja să se dovedească utile, în pofida presiunilor la care sunt supuse.</w:t>
      </w:r>
    </w:p>
    <w:p>
      <w:pPr>
        <w:rPr>
          <w:rFonts w:ascii="Times New Roman" w:hAnsi="Times New Roman" w:cs="Times New Roman"/>
          <w:noProof/>
          <w:sz w:val="24"/>
          <w:szCs w:val="24"/>
          <w:u w:val="single"/>
        </w:rPr>
      </w:pPr>
      <w:bookmarkStart w:id="2" w:name="_Toc35595806"/>
      <w:r>
        <w:rPr>
          <w:rFonts w:ascii="Times New Roman" w:hAnsi="Times New Roman"/>
          <w:noProof/>
          <w:sz w:val="24"/>
          <w:szCs w:val="24"/>
          <w:u w:val="single"/>
        </w:rPr>
        <w:t>Modalitățile practice</w:t>
      </w:r>
      <w:bookmarkEnd w:id="2"/>
      <w:r>
        <w:rPr>
          <w:rFonts w:ascii="Times New Roman" w:hAnsi="Times New Roman"/>
          <w:noProof/>
          <w:sz w:val="24"/>
          <w:szCs w:val="24"/>
          <w:u w:val="single"/>
        </w:rPr>
        <w:t xml:space="preserve"> și viteza de punere în aplicare a achizițiilor publice comune legate de COVID-19</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În contextul COVID-19, se utilizează procedura negociată din motive de extremă urgență, ceea ce înseamnă că potențialii ofertanți sunt identificați cu ajutorul unei analize de piață și că numai societățile invitate pot depune o ofertă. După atribuirea contractului, statele membre participante primesc cantitatea totală de măsuri comandate sau rezervate. Rata de livrare depinde însă de capacitatea de producție a producătorilor și de criteriile de alocare aplicabile. Alocarea finală a cantităților disponibile de contramăsuri medicale este efectuată de comitetul director specific. Din proprie inițiativă, Comisia a propus o serie de măsuri de excepție pentru a accelera procesele. Procesele sunt încetinite de timpul necesar ca toate statele membre interesate să finalizeze declararea necesităților și de rapiditatea de reacție a societăților/pieței.</w:t>
      </w:r>
    </w:p>
    <w:p>
      <w:pPr>
        <w:rPr>
          <w:rFonts w:ascii="Times New Roman" w:hAnsi="Times New Roman" w:cs="Times New Roman"/>
          <w:noProof/>
          <w:sz w:val="24"/>
          <w:szCs w:val="24"/>
          <w:u w:val="single"/>
        </w:rPr>
      </w:pPr>
      <w:bookmarkStart w:id="3" w:name="_Toc35595807"/>
      <w:r>
        <w:rPr>
          <w:rFonts w:ascii="Times New Roman" w:hAnsi="Times New Roman"/>
          <w:noProof/>
          <w:sz w:val="24"/>
          <w:szCs w:val="24"/>
          <w:u w:val="single"/>
        </w:rPr>
        <w:t>Achizițiile publice comune în curs legate de COVID-19</w:t>
      </w:r>
      <w:bookmarkEnd w:id="3"/>
    </w:p>
    <w:p>
      <w:pPr>
        <w:spacing w:line="276" w:lineRule="auto"/>
        <w:jc w:val="both"/>
        <w:rPr>
          <w:rFonts w:ascii="Times New Roman" w:hAnsi="Times New Roman" w:cs="Times New Roman"/>
          <w:noProof/>
          <w:sz w:val="24"/>
          <w:szCs w:val="24"/>
        </w:rPr>
      </w:pPr>
      <w:r>
        <w:rPr>
          <w:rFonts w:ascii="Times New Roman" w:hAnsi="Times New Roman"/>
          <w:noProof/>
          <w:sz w:val="24"/>
          <w:szCs w:val="24"/>
        </w:rPr>
        <w:t>Au fost lansate cinci proceduri de achiziții publice comune care vizează echipamentele individuale de protecție (EIP), ventilatoarele mecanice și echipamentele de laborator. În cazul primei achiziții publice, de EIP, statele membre au putut comanda mănuși de la începutul lunii aprilie. De la începutul lunii mai, statele membre pot face de asemenea comenzi de combinezoane. În cazul celei de-a doua achiziții publice, de EIP, statele membre pot comanda ochelari de protecție, viziere și măști de la începutul lunii aprilie. În cazul celei de-a treia achiziții publice, de ventilatoare mecanice, statele membre au putut face comenzi de la 15 aprilie.  În cazul celei de-a patra achiziții publice comune, de echipamente de laborator, statele membre au avut deja posibilitatea de a face comenzi începând cu luna mai. În cazul celei de-a cincea achiziții publice comune, de medicamente pentru UTI, licitația a fost lansată la 17 iunie.</w:t>
      </w:r>
    </w:p>
    <w:p>
      <w:pPr>
        <w:jc w:val="both"/>
        <w:rPr>
          <w:rFonts w:ascii="Times New Roman" w:hAnsi="Times New Roman" w:cs="Times New Roman"/>
          <w:noProof/>
          <w:sz w:val="24"/>
          <w:szCs w:val="24"/>
        </w:rPr>
      </w:pPr>
      <w:r>
        <w:rPr>
          <w:rFonts w:ascii="Times New Roman" w:hAnsi="Times New Roman"/>
          <w:noProof/>
          <w:sz w:val="24"/>
          <w:szCs w:val="24"/>
        </w:rPr>
        <w:t xml:space="preserve">Contractele pentru echipamente individuale de protecție, ventilatoare mecanice și echipamente de laborator vor oferi statelor membre un plafon bugetar total de peste </w:t>
      </w:r>
      <w:r>
        <w:rPr>
          <w:rFonts w:ascii="Times New Roman" w:hAnsi="Times New Roman"/>
          <w:b/>
          <w:noProof/>
          <w:sz w:val="24"/>
          <w:szCs w:val="24"/>
        </w:rPr>
        <w:t xml:space="preserve">3,3 miliarde EUR pentru consumabile critice </w:t>
      </w:r>
      <w:r>
        <w:rPr>
          <w:rFonts w:ascii="Times New Roman" w:hAnsi="Times New Roman"/>
          <w:noProof/>
          <w:sz w:val="24"/>
          <w:szCs w:val="24"/>
        </w:rPr>
        <w:t xml:space="preserve"> pe care le pot achiziționa în decurs de un an</w:t>
      </w:r>
      <w:r>
        <w:rPr>
          <w:rStyle w:val="FootnoteReference"/>
          <w:rFonts w:ascii="Times New Roman" w:hAnsi="Times New Roman" w:cs="Times New Roman"/>
          <w:noProof/>
          <w:sz w:val="24"/>
          <w:szCs w:val="24"/>
        </w:rPr>
        <w:footnoteReference w:id="4"/>
      </w:r>
      <w:r>
        <w:rPr>
          <w:noProof/>
        </w:rPr>
        <w:t>.</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Vor putea fi lansate noi proceduri de achiziții publice comune oricând va fi necesar. Pentru lansarea unei astfel de proceduri este necesară participarea a cel puțin patru state membre și a Comisiei.</w:t>
      </w:r>
    </w:p>
    <w:sectPr>
      <w:headerReference w:type="even" r:id="rId15"/>
      <w:headerReference w:type="default" r:id="rId16"/>
      <w:footerReference w:type="even" r:id="rId17"/>
      <w:footerReference w:type="default" r:id="rId18"/>
      <w:headerReference w:type="first" r:id="rId19"/>
      <w:footerReference w:type="first" r:id="rId20"/>
      <w:pgSz w:w="11906" w:h="16838"/>
      <w:pgMar w:top="567" w:right="1440" w:bottom="568" w:left="1440" w:header="426" w:footer="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10255"/>
      <w:docPartObj>
        <w:docPartGallery w:val="Page Numbers (Bottom of Page)"/>
        <w:docPartUnique/>
      </w:docPartObj>
    </w:sdtPr>
    <w:sdtEndPr>
      <w:rPr>
        <w:rFonts w:ascii="Times New Roman" w:hAnsi="Times New Roman" w:cs="Times New Roman"/>
        <w:noProof/>
        <w:sz w:val="24"/>
        <w:szCs w:val="24"/>
      </w:rPr>
    </w:sdtEndPr>
    <w:sdtContent>
      <w:p>
        <w:pPr>
          <w:pStyle w:val="Footer"/>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Dispozițiile referitoare la Acordul privind achizițiile publice comune sunt incluse la articolul 5 din Decizia 1082/2013/UE.</w:t>
      </w:r>
    </w:p>
  </w:footnote>
  <w:footnote w:id="2">
    <w:p>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Această denumire nu aduce atingere pozițiilor privind statutul și este conformă cu RCSONU 1244/1999, precum și cu Avizul CIJ privind Declarația de independență a Kosovo.</w:t>
      </w:r>
    </w:p>
  </w:footnote>
  <w:footnote w:id="3">
    <w:p>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În urma solicitării Consiliului European din 26 martie 2020 de deschidere a Acordului privind achizițiile publice comune către Balcanii de Vest, au fost demarate discuții cu cei șase parteneri în cauză. Unele țări nu și-au finalizat încă procedurile naționale de aprobare. Până când Comisia nu este notificată de aceste țări prin transmiterea anexei II, ele nu sunt luate în considerare în scopul obținerii unui acord comun, a unei majorități calificate sau a unei majorități simple în temeiul acordului.</w:t>
      </w:r>
    </w:p>
  </w:footnote>
  <w:footnote w:id="4">
    <w:p>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Style w:val="FootnoteReference"/>
          <w:rFonts w:ascii="Times New Roman" w:hAnsi="Times New Roman"/>
          <w:sz w:val="16"/>
          <w:szCs w:val="16"/>
        </w:rPr>
        <w:t xml:space="preserve"> </w:t>
      </w:r>
      <w:r>
        <w:rPr>
          <w:rFonts w:ascii="Times New Roman" w:hAnsi="Times New Roman"/>
          <w:sz w:val="16"/>
          <w:szCs w:val="16"/>
        </w:rPr>
        <w:t>(Se pot face ajustări ale plafoanelor pe măsură ce se negociază mai multe contracte.)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removePersonalInformation/>
  <w:removeDateAndTime/>
  <w:hideSpellingErrors/>
  <w:hideGrammaticalErrors/>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a"/>
    <w:docVar w:name="LW_ANNEX_NBR_FIRST" w:val="1"/>
    <w:docVar w:name="LW_ANNEX_NBR_LAST" w:val="1"/>
    <w:docVar w:name="LW_ANNEX_UNIQUE" w:val="1"/>
    <w:docVar w:name="LW_CORRIGENDUM" w:val="&lt;UNUSED&gt;"/>
    <w:docVar w:name="LW_COVERPAGE_EXISTS" w:val="True"/>
    <w:docVar w:name="LW_COVERPAGE_GUID" w:val="0DD3C009-FB13-4D32-A4D6-D685A914B798"/>
    <w:docVar w:name="LW_COVERPAGE_TYPE" w:val="1"/>
    <w:docVar w:name="LW_CROSSREFERENCE" w:val="&lt;UNUSED&gt;"/>
    <w:docVar w:name="LW_DocType" w:val="NORMAL"/>
    <w:docVar w:name="LW_EMISSION" w:val="15.7.2020"/>
    <w:docVar w:name="LW_EMISSION_ISODATE" w:val="2020-07-15"/>
    <w:docVar w:name="LW_EMISSION_LOCATION" w:val="BRX"/>
    <w:docVar w:name="LW_EMISSION_PREFIX" w:val="Bruxelles, "/>
    <w:docVar w:name="LW_EMISSION_SUFFIX" w:val=" "/>
    <w:docVar w:name="LW_ID_DOCTYPE_NONLW" w:val="CP-039"/>
    <w:docVar w:name="LW_LANGUE" w:val="RO"/>
    <w:docVar w:name="LW_LEVEL_OF_SENSITIVITY" w:val="Standard treatment"/>
    <w:docVar w:name="LW_NOM.INST" w:val="COMISIA EUROPEAN\u258?"/>
    <w:docVar w:name="LW_NOM.INST_JOINTDOC" w:val="&lt;EMPTY&gt;"/>
    <w:docVar w:name="LW_OBJETACTEPRINCIPAL.CP" w:val="Preg\u259?tirea pe termen scurt a UE în materie de s\u259?n\u259?tate în cazul apari\u539?iei de noi focare de COVID-19"/>
    <w:docVar w:name="LW_PART_NBR" w:val="1"/>
    <w:docVar w:name="LW_PART_NBR_TOTAL" w:val="1"/>
    <w:docVar w:name="LW_REF.INST.NEW" w:val="COM"/>
    <w:docVar w:name="LW_REF.INST.NEW_ADOPTED" w:val="final"/>
    <w:docVar w:name="LW_REF.INST.NEW_TEXT" w:val="(2020) 31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EX\u258?_x000b_"/>
    <w:docVar w:name="LW_TYPEACTEPRINCIPAL.CP" w:val="COMUNICAREA COMISIEI C\u258?TRE PARLAMENTUL EUROPEAN, CONSILIU, COMITETUL ECONOMIC \u536?I SOCIAL EUROPEAN \u536?I COMITETUL REGIUNILOR"/>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ro-RO"/>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ro-RO"/>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ro-RO"/>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ro-RO"/>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ro-RO"/>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ro-RO"/>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ro-RO"/>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ro-RO"/>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ABFF6-441A-4F70-8404-12D3ABE3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3316</Characters>
  <Application>Microsoft Office Word</Application>
  <DocSecurity>0</DocSecurity>
  <Lines>50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2020-07-10T19:02:00Z</dcterms:created>
  <dcterms:modified xsi:type="dcterms:W3CDTF">2020-07-20T13:51:00Z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First annex">
    <vt:lpwstr>1</vt:lpwstr>
  </property>
  <property fmtid="{D5CDD505-2E9C-101B-9397-08002B2CF9AE}" pid="5" name="Last annex">
    <vt:lpwstr>1</vt:lpwstr>
  </property>
  <property fmtid="{D5CDD505-2E9C-101B-9397-08002B2CF9AE}" pid="6" name="Unique annex">
    <vt:lpwstr>1</vt:lpwstr>
  </property>
  <property fmtid="{D5CDD505-2E9C-101B-9397-08002B2CF9AE}" pid="7" name="Part">
    <vt:lpwstr>1</vt:lpwstr>
  </property>
  <property fmtid="{D5CDD505-2E9C-101B-9397-08002B2CF9AE}" pid="8" name="Total parts">
    <vt:lpwstr>1</vt:lpwstr>
  </property>
  <property fmtid="{D5CDD505-2E9C-101B-9397-08002B2CF9AE}" pid="9" name="DocStatus">
    <vt:lpwstr>Green</vt:lpwstr>
  </property>
  <property fmtid="{D5CDD505-2E9C-101B-9397-08002B2CF9AE}" pid="10" name="CPTemplateID">
    <vt:lpwstr>CP-039</vt:lpwstr>
  </property>
</Properties>
</file>