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3C42AF5-D551-47B8-A8AC-01573118B4F8" style="width:450.4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Spravedlivé zdanění je jedním z hlavních základů evropského sociálně tržního hospodářství a je jedním z klíčových pilířů závazku Komise v oblasti „</w:t>
      </w:r>
      <w:r>
        <w:rPr>
          <w:i/>
          <w:noProof/>
        </w:rPr>
        <w:t>hospodářství, které pracuje ve prospěch lidí</w:t>
      </w:r>
      <w:r>
        <w:rPr>
          <w:noProof/>
        </w:rPr>
        <w:t>“</w:t>
      </w:r>
      <w:r>
        <w:rPr>
          <w:rStyle w:val="FootnoteReference"/>
          <w:noProof/>
        </w:rPr>
        <w:footnoteReference w:id="1"/>
      </w:r>
      <w:r>
        <w:rPr>
          <w:noProof/>
        </w:rPr>
        <w:t xml:space="preserve"> Spravedlivé zdanění podporuje sociální spravedlnost a rovné podmínky v EU. Spravedlivý daňový systém by měl být založen na daňových předpisech, které zajistí, že všichni zaplatí svůj spravedlivý podíl, a daňovým poplatníkům, ať už se jedná o podniky nebo občany, zároveň usnadní dodržovat pravidla. Spravedlivé a účinné zdanění je zásadní při zajišťování dostatečných příjmů na veřejné investice do lidí a infrastruktury a zároveň na vytvoření podnikatelského prostředí v rámci jednotného trhu, v němž mohou inovativní podniky prosperovat. </w:t>
      </w:r>
    </w:p>
    <w:p>
      <w:pPr>
        <w:pBdr>
          <w:top w:val="nil"/>
          <w:left w:val="nil"/>
          <w:bottom w:val="nil"/>
          <w:right w:val="nil"/>
          <w:between w:val="nil"/>
          <w:bar w:val="nil"/>
        </w:pBdr>
        <w:spacing w:before="0" w:after="240"/>
        <w:rPr>
          <w:noProof/>
        </w:rPr>
      </w:pPr>
      <w:r>
        <w:rPr>
          <w:noProof/>
        </w:rPr>
        <w:t>Pandemie COVID-19 zvyšuje naléhavost potřeby chránit veřejné finance a omezit její sociálně-ekonomické důsledky. Členské státy budou vyžadovat odpovídající daňové příjmy k financování jejich značného úsilí o omezení negativního hospodářského dopadu opatření proti pandemii COVID-19, přičemž zajistí, aby při zvýšení těchto příjmů nenesly zátěž nejzranitelnější skupiny. Dnes je důležitější než kdy jindy nutnost zajistit daňovou spravedlnost tím, že se zabrání daňovým podvodům, únikům a vyhýbání se daňovým povinnostem. V této souvislosti má v boji proti vyhýbání se daňovým povinnostem a proti daňovým únikům v Unii zásadní význam posílení správní spolupráce a výměny informací. Jak je zdůrazněno ve sdělení Komise „Chvíle pro Evropu: náprava škod a příprava na příští generaci“</w:t>
      </w:r>
      <w:r>
        <w:rPr>
          <w:rStyle w:val="FootnoteReference"/>
          <w:noProof/>
        </w:rPr>
        <w:footnoteReference w:id="2"/>
      </w:r>
      <w:r>
        <w:rPr>
          <w:noProof/>
        </w:rPr>
        <w:t>,</w:t>
      </w:r>
      <w:r>
        <w:rPr>
          <w:rStyle w:val="Aucun"/>
          <w:b/>
          <w:bCs/>
          <w:noProof/>
        </w:rPr>
        <w:t xml:space="preserve"> </w:t>
      </w:r>
      <w:r>
        <w:rPr>
          <w:noProof/>
        </w:rPr>
        <w:t>aby Komise</w:t>
      </w:r>
      <w:r>
        <w:rPr>
          <w:rStyle w:val="Aucun"/>
          <w:b/>
          <w:bCs/>
          <w:noProof/>
        </w:rPr>
        <w:t xml:space="preserve"> </w:t>
      </w:r>
      <w:r>
        <w:rPr>
          <w:noProof/>
        </w:rPr>
        <w:t>zajistila, že solidarita a spravedlnost budou středobodem oživení, zintenzivní boj proti daňovým podvodům a jiným nekalým praktikám. To pomůže členským státům vytvořit daňové příjmy, které jsou potřebné k reakci na hlavní výzvy současné krize.</w:t>
      </w:r>
    </w:p>
    <w:p>
      <w:pPr>
        <w:pBdr>
          <w:top w:val="nil"/>
          <w:left w:val="nil"/>
          <w:bottom w:val="nil"/>
          <w:right w:val="nil"/>
          <w:between w:val="nil"/>
          <w:bar w:val="nil"/>
        </w:pBdr>
        <w:spacing w:before="0" w:after="240"/>
        <w:rPr>
          <w:rFonts w:eastAsia="Arial Unicode MS"/>
          <w:noProof/>
        </w:rPr>
      </w:pPr>
      <w:r>
        <w:rPr>
          <w:noProof/>
        </w:rPr>
        <w:t>Tento legislativní návrh je součástí balíčku týkajícího se spravedlivého a jednoduchého zdanění podporujícího oživení v EU, který zahrnuje sdělení o akčním plánu, který předkládá řadu nadcházejících iniciativ pro spravedlivé a jednoduché zdanění podporující strategii obnovy</w:t>
      </w:r>
      <w:r>
        <w:rPr>
          <w:rStyle w:val="FootnoteReference"/>
          <w:noProof/>
        </w:rPr>
        <w:footnoteReference w:id="3"/>
      </w:r>
      <w:r>
        <w:rPr>
          <w:noProof/>
        </w:rPr>
        <w:t xml:space="preserve">, a sdělení Komise o </w:t>
      </w:r>
      <w:r>
        <w:rPr>
          <w:rStyle w:val="Aucun"/>
          <w:noProof/>
        </w:rPr>
        <w:t>řádné správě v oblasti daní v EU i mimo ni</w:t>
      </w:r>
      <w:r>
        <w:rPr>
          <w:rStyle w:val="FootnoteReference"/>
          <w:noProof/>
        </w:rPr>
        <w:footnoteReference w:id="4"/>
      </w:r>
      <w:r>
        <w:rPr>
          <w:rStyle w:val="Aucun"/>
          <w:noProof/>
        </w:rPr>
        <w:t>, které reviduje pokrok dosažený při posilování řádné správy v oblasti daní v EU, ale i navenek, a navrhne oblasti pro zlepšení.</w:t>
      </w:r>
    </w:p>
    <w:p>
      <w:pPr>
        <w:pBdr>
          <w:top w:val="nil"/>
          <w:left w:val="nil"/>
          <w:bottom w:val="nil"/>
          <w:right w:val="nil"/>
          <w:between w:val="nil"/>
          <w:bar w:val="nil"/>
        </w:pBdr>
        <w:spacing w:before="0" w:after="240"/>
        <w:rPr>
          <w:rFonts w:eastAsia="Arial Unicode MS"/>
          <w:noProof/>
        </w:rPr>
      </w:pPr>
      <w:r>
        <w:rPr>
          <w:noProof/>
        </w:rPr>
        <w:t>EU zaměřila v posledních letech své úsilí na boj proti daňovým podvodům, daňovým únikům a vyhýbání se daňovým povinnostem a na zvýšení transparentnosti. Přestože došlo k významným zlepšením zejména v oblasti výměny informací, vyhodnocení</w:t>
      </w:r>
      <w:r>
        <w:rPr>
          <w:rStyle w:val="FootnoteReference"/>
          <w:noProof/>
        </w:rPr>
        <w:footnoteReference w:id="5"/>
      </w:r>
      <w:r>
        <w:rPr>
          <w:noProof/>
        </w:rPr>
        <w:t xml:space="preserve"> uplatňování směrnice Rady 2011/16/EU ze dne 15. února 2011 o správní spolupráci v oblasti daní</w:t>
      </w:r>
      <w:r>
        <w:rPr>
          <w:rStyle w:val="FootnoteReference"/>
          <w:noProof/>
        </w:rPr>
        <w:footnoteReference w:id="6"/>
      </w:r>
      <w:r>
        <w:rPr>
          <w:noProof/>
        </w:rPr>
        <w:t xml:space="preserve"> ukázalo, že je stále třeba zlepšit stávající ustanovení, která se týkají všech forem výměny informací a správní spolupráce. Mezi nejproblematičtějšími prvky rámce se z důvodu jejich </w:t>
      </w:r>
      <w:r>
        <w:rPr>
          <w:noProof/>
        </w:rPr>
        <w:lastRenderedPageBreak/>
        <w:t xml:space="preserve">nejasnosti objevily zejména představy o předpokládaném významu a žádosti o informace o skupině daňových poplatníků. </w:t>
      </w:r>
    </w:p>
    <w:p>
      <w:pPr>
        <w:pBdr>
          <w:top w:val="nil"/>
          <w:left w:val="nil"/>
          <w:bottom w:val="nil"/>
          <w:right w:val="nil"/>
          <w:between w:val="nil"/>
          <w:bar w:val="nil"/>
        </w:pBdr>
        <w:spacing w:before="0" w:after="240"/>
        <w:rPr>
          <w:rFonts w:eastAsia="Arial Unicode MS"/>
          <w:noProof/>
        </w:rPr>
      </w:pPr>
      <w:r>
        <w:rPr>
          <w:noProof/>
        </w:rPr>
        <w:t>Vyhodnocení rovněž prokázalo, že pravidla používání souběžných kontrol a umožňující přítomnost úředníků členského státu v průběhu šetření v jiném členském státě postrádala v některých vnitrostátních systémech právní základ, výsledkem této situace je v současné době zamezení účinnému využívání těchto ustanovení. Tento bod podrobněji rozebírá zpráva o společných fórech o převodních cenách z roku 2018 o kontrolách převodních cen v rámci EU</w:t>
      </w:r>
      <w:r>
        <w:rPr>
          <w:rStyle w:val="FootnoteReference"/>
          <w:noProof/>
        </w:rPr>
        <w:footnoteReference w:id="7"/>
      </w:r>
      <w:r>
        <w:rPr>
          <w:noProof/>
        </w:rPr>
        <w:t xml:space="preserve">. Zpráva čerpala ze stávající praxe členských států, aby upozornila na současné nedostatky a navrhla možná vylepšení při používání kontrol převodních cen ve dvou nebo více členských státech. Zpráva doporučila </w:t>
      </w:r>
      <w:r>
        <w:rPr>
          <w:i/>
          <w:noProof/>
        </w:rPr>
        <w:t>přijmout „koordinovaný přístup k provádění kontrol převodních cen [který] by přispěl k lepšímu fungování vnitřního trhu na dvou frontách: Nabídl by správcům daně transparentní a účinný nástroj, který by usnadnil rozdělení práv zdanění a zabránil by rovněž dvojímu zdanění a dvojímu nezdanění“.</w:t>
      </w:r>
      <w:r>
        <w:rPr>
          <w:noProof/>
        </w:rPr>
        <w:t xml:space="preserve"> </w:t>
      </w:r>
    </w:p>
    <w:p>
      <w:pPr>
        <w:pBdr>
          <w:top w:val="nil"/>
          <w:left w:val="nil"/>
          <w:bottom w:val="nil"/>
          <w:right w:val="nil"/>
          <w:between w:val="nil"/>
          <w:bar w:val="nil"/>
        </w:pBdr>
        <w:spacing w:before="0" w:after="240"/>
        <w:rPr>
          <w:rFonts w:eastAsia="Arial Unicode MS"/>
          <w:noProof/>
        </w:rPr>
      </w:pPr>
      <w:r>
        <w:rPr>
          <w:noProof/>
        </w:rPr>
        <w:t>Je proto zřejmé, že je třeba zlepšit stávající rámec výměny informací a správní spolupráce v EU. Na počátku svého funkčního období předsedkyně Komise skutečně zdůraznila, že je třeba prověřit, jak lze zlepšit spolupráci mezi vnitrostátními orgány</w:t>
      </w:r>
      <w:r>
        <w:rPr>
          <w:rStyle w:val="FootnoteReference"/>
          <w:noProof/>
        </w:rPr>
        <w:footnoteReference w:id="8"/>
      </w:r>
      <w:r>
        <w:rPr>
          <w:noProof/>
        </w:rPr>
        <w:t xml:space="preserve">. Zlepšení výměny informací a správní spolupráce v EU hraje ústřední roli.  </w:t>
      </w:r>
    </w:p>
    <w:p>
      <w:pPr>
        <w:pBdr>
          <w:top w:val="nil"/>
          <w:left w:val="nil"/>
          <w:bottom w:val="nil"/>
          <w:right w:val="nil"/>
          <w:between w:val="nil"/>
          <w:bar w:val="nil"/>
        </w:pBdr>
        <w:spacing w:before="0" w:after="240"/>
        <w:rPr>
          <w:rFonts w:eastAsia="Arial Unicode MS"/>
          <w:noProof/>
        </w:rPr>
      </w:pPr>
      <w:r>
        <w:rPr>
          <w:noProof/>
        </w:rPr>
        <w:t>Kromě posílení stávajících pravidel je v EU nutné rozšířit správní spolupráci do nových oblastí, aby bylo možné čelit výzvám, které přináší digitalizace hospodářství, a pomoci správcům daně lépe a účinněji vybírat daně a udržet krok s novými směry vývoje. Charakteristiky ekonomiky digitální platformy velmi ztěžují správcům daní sledovatelnost a odhalování uskutečnění zdanitelného plnění. Tento problém se prohlubuje zejména tehdy, když jsou takové transakce prováděny prostřednictvím provozovatelů digitálních platforem se sídlem v jiné jurisdikci. Nedostatek oznamování příjmů prodejců za poskytování služeb nebo prodej zboží prostřednictvím digitálních platforem vede ke snížení daňových příjmů členských států. Poskytuje také prodejcům výhodu ve srovnání s těmi, kteří nejsou aktivní na digitálních platformách. Pokud nebude tato mezera v předpisech odstraněna, nelze zajistit dosažení cíle spravedlivého zdanění.</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Navrhované právní předpisy se zabývají širokou politickou prioritou zaměřenou na transparentnost zdanění, která je předpokladem účinného boje proti daňovým podvodům, daňovým únikům a vyhýbání se daňovým povinnostem. V nedávných letech dohodly členské státy EU řadu právních nástrojů v oblasti transparentnosti, v rámci kterých musí vnitrostátní daňové orgány úzce spolupracovat ve výměně informací. Směrnice Rady 2011/16/EU nahradila směrnici Rady 77/799/EHS a znamenala začátek posílené správní spolupráce mezi daňovými orgány v EU. Vytvořila užitečné nástroje pro lepší spolupráci v těchto oblastech:</w:t>
      </w:r>
    </w:p>
    <w:p>
      <w:pPr>
        <w:pStyle w:val="ListNumber"/>
        <w:rPr>
          <w:rFonts w:eastAsia="Arial Unicode MS"/>
          <w:noProof/>
        </w:rPr>
      </w:pPr>
      <w:r>
        <w:rPr>
          <w:noProof/>
        </w:rPr>
        <w:t xml:space="preserve">výměna informací na žádost; </w:t>
      </w:r>
    </w:p>
    <w:p>
      <w:pPr>
        <w:pStyle w:val="ListNumber"/>
        <w:rPr>
          <w:rFonts w:eastAsia="Arial Unicode MS"/>
          <w:noProof/>
        </w:rPr>
      </w:pPr>
      <w:r>
        <w:rPr>
          <w:noProof/>
        </w:rPr>
        <w:t xml:space="preserve">spontánní výměna informací; </w:t>
      </w:r>
    </w:p>
    <w:p>
      <w:pPr>
        <w:pStyle w:val="ListNumber"/>
        <w:rPr>
          <w:rFonts w:eastAsia="Arial Unicode MS"/>
          <w:noProof/>
        </w:rPr>
      </w:pPr>
      <w:r>
        <w:rPr>
          <w:noProof/>
        </w:rPr>
        <w:t xml:space="preserve">automatické výměny informací o úplném seznamu otázek (tj. příjmy ze zaměstnání; odměny ředitelů; produkty životního pojištění, na něž se nevztahují jiné směrnice; důchody; vlastnictví nemovitého majetku a příjmy z něj); </w:t>
      </w:r>
    </w:p>
    <w:p>
      <w:pPr>
        <w:pStyle w:val="ListNumber"/>
        <w:rPr>
          <w:rFonts w:eastAsia="Arial Unicode MS"/>
          <w:noProof/>
        </w:rPr>
      </w:pPr>
      <w:r>
        <w:rPr>
          <w:noProof/>
        </w:rPr>
        <w:lastRenderedPageBreak/>
        <w:t>účast zahraničních úředníků na správních šetřeních;</w:t>
      </w:r>
    </w:p>
    <w:p>
      <w:pPr>
        <w:pStyle w:val="ListNumber"/>
        <w:rPr>
          <w:rFonts w:eastAsia="Arial Unicode MS"/>
          <w:noProof/>
        </w:rPr>
      </w:pPr>
      <w:r>
        <w:rPr>
          <w:noProof/>
        </w:rPr>
        <w:t xml:space="preserve">souběžné kontroly a </w:t>
      </w:r>
    </w:p>
    <w:p>
      <w:pPr>
        <w:pStyle w:val="ListNumber"/>
        <w:rPr>
          <w:rFonts w:eastAsia="Arial Unicode MS"/>
          <w:noProof/>
        </w:rPr>
      </w:pPr>
      <w:r>
        <w:rPr>
          <w:noProof/>
        </w:rPr>
        <w:t xml:space="preserve">oznamování daňových rozhodnutí jiným správcům daní. </w:t>
      </w:r>
    </w:p>
    <w:p>
      <w:pPr>
        <w:rPr>
          <w:noProof/>
        </w:rPr>
      </w:pPr>
      <w:r>
        <w:rPr>
          <w:noProof/>
        </w:rPr>
        <w:t xml:space="preserve">Směrnice Rady 2011/16/EU byla několikrát změněna těmito iniciativami: </w:t>
      </w:r>
    </w:p>
    <w:p>
      <w:pPr>
        <w:pStyle w:val="ListBullet"/>
        <w:rPr>
          <w:rFonts w:eastAsia="Arial Unicode MS"/>
          <w:noProof/>
        </w:rPr>
      </w:pPr>
      <w:r>
        <w:rPr>
          <w:noProof/>
        </w:rPr>
        <w:t>Směrnice Rady 2014/107/EU ze dne úterý 9. prosince 2014</w:t>
      </w:r>
      <w:r>
        <w:rPr>
          <w:rStyle w:val="FootnoteReference"/>
          <w:rFonts w:eastAsia="Arial Unicode MS"/>
          <w:noProof/>
        </w:rPr>
        <w:footnoteReference w:id="9"/>
      </w:r>
      <w:r>
        <w:rPr>
          <w:noProof/>
        </w:rPr>
        <w:t xml:space="preserve"> (DAC2), pokud jde o automatickou výměnu informací o finančních účtech mezi členskými státy na základě společného standardu pro oznamování (CRS – Common Reporting Standard), v němž se nařizuje automatická výměna informací o finančních účtech nerezidentů.</w:t>
      </w:r>
    </w:p>
    <w:p>
      <w:pPr>
        <w:pStyle w:val="ListBullet"/>
        <w:rPr>
          <w:rFonts w:eastAsia="Arial Unicode MS"/>
          <w:noProof/>
        </w:rPr>
      </w:pPr>
      <w:r>
        <w:rPr>
          <w:noProof/>
        </w:rPr>
        <w:t>Směrnice Rady (EU) 2015/2376 ze dne 8. prosince 2015</w:t>
      </w:r>
      <w:r>
        <w:rPr>
          <w:rStyle w:val="FootnoteReference"/>
          <w:rFonts w:eastAsia="Arial Unicode MS"/>
          <w:noProof/>
        </w:rPr>
        <w:footnoteReference w:id="10"/>
      </w:r>
      <w:r>
        <w:rPr>
          <w:noProof/>
        </w:rPr>
        <w:t xml:space="preserve"> (DAC3), pokud jde o povinnou automatickou výměnu informací o předběžných daňových rozhodnutích s přeshraničním účinkem;</w:t>
      </w:r>
    </w:p>
    <w:p>
      <w:pPr>
        <w:pStyle w:val="ListBullet"/>
        <w:rPr>
          <w:rFonts w:eastAsia="Arial Unicode MS"/>
          <w:noProof/>
        </w:rPr>
      </w:pPr>
      <w:r>
        <w:rPr>
          <w:noProof/>
        </w:rPr>
        <w:t>Směrnice Rady (EU) 2016/881 ze dne 25. května 2016</w:t>
      </w:r>
      <w:r>
        <w:rPr>
          <w:rStyle w:val="FootnoteReference"/>
          <w:rFonts w:eastAsia="Arial Unicode MS"/>
          <w:noProof/>
        </w:rPr>
        <w:footnoteReference w:id="11"/>
      </w:r>
      <w:r>
        <w:rPr>
          <w:noProof/>
        </w:rPr>
        <w:t xml:space="preserve"> (DAC4), pokud jde o povinnou automatickou výměnu informací mezi správci daně ohledně podávání zpráv podle jednotlivých zemí (CbCR);</w:t>
      </w:r>
    </w:p>
    <w:p>
      <w:pPr>
        <w:pStyle w:val="ListBullet"/>
        <w:rPr>
          <w:rFonts w:eastAsia="Arial Unicode MS"/>
          <w:noProof/>
        </w:rPr>
      </w:pPr>
      <w:r>
        <w:rPr>
          <w:noProof/>
        </w:rPr>
        <w:t>Směrnice Rady (EU) 2016/2258 ze dne 6. prosince 2016</w:t>
      </w:r>
      <w:r>
        <w:rPr>
          <w:rStyle w:val="FootnoteReference"/>
          <w:rFonts w:eastAsia="Arial Unicode MS"/>
          <w:noProof/>
        </w:rPr>
        <w:footnoteReference w:id="12"/>
      </w:r>
      <w:r>
        <w:rPr>
          <w:noProof/>
        </w:rPr>
        <w:t xml:space="preserve"> (DAC5), pokud jde o přístup daňových orgánů k informacím pro boj proti praní peněz;</w:t>
      </w:r>
    </w:p>
    <w:p>
      <w:pPr>
        <w:pStyle w:val="ListBullet"/>
        <w:rPr>
          <w:rFonts w:eastAsia="Arial Unicode MS"/>
          <w:noProof/>
        </w:rPr>
      </w:pPr>
      <w:r>
        <w:rPr>
          <w:noProof/>
        </w:rPr>
        <w:t>Směrnice Rady (EU) 2018/822 ze dne 25. května 2018</w:t>
      </w:r>
      <w:r>
        <w:rPr>
          <w:rStyle w:val="FootnoteReference"/>
          <w:rFonts w:eastAsia="Arial Unicode MS"/>
          <w:noProof/>
        </w:rPr>
        <w:footnoteReference w:id="13"/>
      </w:r>
      <w:r>
        <w:rPr>
          <w:noProof/>
        </w:rPr>
        <w:t xml:space="preserve"> (DAC6), pokud jde o povinnou automatickou výměnu informací v oblasti daní ve vztahu k přeshraničním uspořádáním, která se mají oznamovat.</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Stávající ustanovení směrnice se vzájemně ovlivňují s obecným nařízením o ochraně osobních údajů</w:t>
      </w:r>
      <w:r>
        <w:rPr>
          <w:rStyle w:val="FootnoteReference"/>
          <w:rFonts w:eastAsia="Arial Unicode MS"/>
          <w:noProof/>
        </w:rPr>
        <w:footnoteReference w:id="14"/>
      </w:r>
      <w:r>
        <w:rPr>
          <w:noProof/>
        </w:rPr>
        <w:t xml:space="preserve"> (GDPR) v několika případech, kdy jsou osobní údaje relevantní, a současně obsahují konkrétní ustanovení a záruky v oblasti ochrany údajů. Navrhované změny budou i nadále respektovat a dodržovat tyto záruky. Jakýkoli možný negativní dopad na osobní údaje bude minimalizován IT a procedurálními opatřeními. Výměna údajů bude prováděna zabezpečeným elektronickým systémem, který zašifruje a dešifruje údaje a zajistí, aby v každé daňové správě měli k těmto informacím přístup pouze pověření úředníci. Jako společní správci údajů budou muset zajistit bezpečné a specifické ukládání dat. </w:t>
      </w:r>
    </w:p>
    <w:p>
      <w:pPr>
        <w:pBdr>
          <w:top w:val="nil"/>
          <w:left w:val="nil"/>
          <w:bottom w:val="nil"/>
          <w:right w:val="nil"/>
          <w:between w:val="nil"/>
          <w:bar w:val="nil"/>
        </w:pBdr>
        <w:spacing w:before="0" w:after="240"/>
        <w:rPr>
          <w:rFonts w:eastAsia="Arial Unicode MS"/>
          <w:noProof/>
        </w:rPr>
      </w:pPr>
      <w:r>
        <w:rPr>
          <w:noProof/>
        </w:rPr>
        <w:t xml:space="preserve">Komise působí v několika oblastech politiky vztahujících se k digitální ekonomice včetně provozovatelů digitálních platforem, na něž se vztahuje navrhovaná iniciativa. Navrhovaná iniciativa nezasahuje do jiných souběžně probíhajících projektů Komise, neboť je zaměřena </w:t>
      </w:r>
      <w:r>
        <w:rPr>
          <w:noProof/>
        </w:rPr>
        <w:lastRenderedPageBreak/>
        <w:t>konkrétně na řešení některých otázek souvisejících s daněmi. Aniž by byly dotčeny jakékoli požadavky na informace, které mohou být pro poskytovatele digitálních služeb vzaty v úvahu v rámci balíčku zákonů o digitálních službách v souvislosti s nadcházející revizí stávající směrnice o elektronickém obchodu</w:t>
      </w:r>
      <w:r>
        <w:rPr>
          <w:rStyle w:val="FootnoteReference"/>
          <w:rFonts w:eastAsia="Arial Unicode MS"/>
          <w:noProof/>
        </w:rPr>
        <w:footnoteReference w:id="15"/>
      </w:r>
      <w:r>
        <w:rPr>
          <w:noProof/>
        </w:rPr>
        <w:t xml:space="preserve"> nebo z iniciativy zaměřené na zlepšení pracovních podmínek lidé pracující prostřednictvím digitálních platforem.</w:t>
      </w:r>
    </w:p>
    <w:p>
      <w:pPr>
        <w:pBdr>
          <w:top w:val="nil"/>
          <w:left w:val="nil"/>
          <w:bottom w:val="nil"/>
          <w:right w:val="nil"/>
          <w:between w:val="nil"/>
          <w:bar w:val="nil"/>
        </w:pBdr>
        <w:spacing w:before="0" w:after="240"/>
        <w:rPr>
          <w:rFonts w:eastAsia="Arial Unicode MS"/>
          <w:noProof/>
        </w:rPr>
      </w:pPr>
      <w:r>
        <w:rPr>
          <w:noProof/>
        </w:rPr>
        <w:t>Oblast působnosti navrhovaných pravidel zahrnuje služby skupinového financování, které sestávají ze skupinového investování a úvěrování. S ohledem na to a s cílem zajistit soulad s politikami Unie v oblasti regulace finančního trhu se definice služeb skupinového financování a poskytovatelů služeb vztahuje na příslušné právní předpisy v této oblasti.</w:t>
      </w:r>
    </w:p>
    <w:p>
      <w:pPr>
        <w:pBdr>
          <w:top w:val="nil"/>
          <w:left w:val="nil"/>
          <w:bottom w:val="nil"/>
          <w:right w:val="nil"/>
          <w:between w:val="nil"/>
          <w:bar w:val="nil"/>
        </w:pBdr>
        <w:spacing w:before="0" w:after="240"/>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Právním základem pro legislativní iniciativy v oblasti přímých daní je článek 115 Smlouvy o fungování Evropské unie (SFEU). Ačkoli není uveden výslovný odkaz na přímé daně, odvolává se článek 115 na směrnice o sbližování vnitrostátních právních předpisů, jelikož přímo ovlivňují vytváření nebo fungování vnitřního trhu. Aby byla tato podmínka splněna, je potřebné, aby cílem navrhovaných právních předpisů EU v oblasti přímých daní bylo napravit existující nesrovnalosti ve fungování vnitřního trhu. Vzhledem k tomu, že informace vyměňované podle této směrnice lze rovněž použít v oblasti DPH a jiných nepřímých daní, je jako právní základ rovněž citován článek 113 smlouvy SFEU.</w:t>
      </w:r>
    </w:p>
    <w:p>
      <w:pPr>
        <w:pBdr>
          <w:top w:val="nil"/>
          <w:left w:val="nil"/>
          <w:bottom w:val="nil"/>
          <w:right w:val="nil"/>
          <w:between w:val="nil"/>
          <w:bar w:val="nil"/>
        </w:pBdr>
        <w:spacing w:before="0" w:after="240"/>
        <w:rPr>
          <w:rFonts w:eastAsia="Arial Unicode MS"/>
          <w:noProof/>
        </w:rPr>
      </w:pPr>
      <w:r>
        <w:rPr>
          <w:noProof/>
        </w:rPr>
        <w:t xml:space="preserve">Vzhledem k tomu, že navrhovaná iniciativa mění směrnici, je podstatné, že právní základ zůstává stejný. Navrhovaná pravidla, jejichž cílem je zlepšit stávající rámec, pokud jde o výměnu informací a správní spolupráci, se neodchylují od předmětu směrnice. Předpokládané úpravy zejména poskytnou jasnou definici předpokládaného významu a explicitní právní rámec pro provádění společných auditů. Jednotného uplatňování těchto ustanovení lze dosáhnout pouze sbližováním vnitrostátních právních předpisů. </w:t>
      </w:r>
    </w:p>
    <w:p>
      <w:pPr>
        <w:pBdr>
          <w:top w:val="nil"/>
          <w:left w:val="nil"/>
          <w:bottom w:val="nil"/>
          <w:right w:val="nil"/>
          <w:between w:val="nil"/>
          <w:bar w:val="nil"/>
        </w:pBdr>
        <w:spacing w:before="0" w:after="240"/>
        <w:rPr>
          <w:rFonts w:eastAsia="Arial Unicode MS"/>
          <w:noProof/>
        </w:rPr>
      </w:pPr>
      <w:r>
        <w:rPr>
          <w:noProof/>
        </w:rPr>
        <w:t>Kromě stávajícího rámce zavádí návrh jako reakci na problémy vznikající při používání digitálních platforem při různých činnostech pravidla oznamování provozovatelů digitálních platforem. Digitální povaha platforem umožňuje prodejcům zboží a služeb využívat tyto digitální platformy k výkonu jejich činnosti a zároveň potenciálně neoznamovat příjem získaný v členském státě jejich sídla. Takže členské státy trpí ztrátou daňových příjmů v důsledku neoznámených příjmů. Taková situace rovněž vytváří podmínky pro nekalou daňovou soutěž vůči jednotlivcům nebo podnikům, které nevykonávají svou činnost prostřednictvím digitálních platforem, což narušuje fungování vnitřního trhu. Z toho vyplývá, že takovou situaci lze řešit pouze jednotným přístupem, jak je to stanoveno v článku 115 SFEU.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 xml:space="preserve">Návrh je plně v souladu se zásadou subsidiarity stanovenou v článku 5 SFEU. Zabývá se správní spoluprací v daňové oblasti. To zahrnuje určité změny pravidel s cílem zlepšit fungování stávajících právních ustanovení, která se zabývají přeshraniční spoluprací mezi správci daně různých členských států. Návrh rovněž zahrnuje rozšíření oblasti působnosti </w:t>
      </w:r>
      <w:r>
        <w:rPr>
          <w:noProof/>
        </w:rPr>
        <w:lastRenderedPageBreak/>
        <w:t xml:space="preserve">automatické výměny informací na provozovatele digitálních platforem tím, že jim ukládá povinnost oznamovat příjmy prodejců zboží a služeb, kteří využívají příslušné platformy. </w:t>
      </w:r>
    </w:p>
    <w:p>
      <w:pPr>
        <w:pBdr>
          <w:top w:val="nil"/>
          <w:left w:val="nil"/>
          <w:bottom w:val="nil"/>
          <w:right w:val="nil"/>
          <w:between w:val="nil"/>
          <w:bar w:val="nil"/>
        </w:pBdr>
        <w:spacing w:before="0" w:after="240"/>
        <w:rPr>
          <w:rFonts w:eastAsia="Arial Unicode MS"/>
          <w:noProof/>
        </w:rPr>
      </w:pPr>
      <w:r>
        <w:rPr>
          <w:noProof/>
        </w:rPr>
        <w:t>Uplatňování stávajících ustanovení směrnice ukázalo mezi členskými státy značné rozdíly. Zatímco některé členské státy jsou ochotny plně spolupracovat a vyměňovat si informace, jiné členské státy přistupují k výměně informací restriktivně nebo ji dokonce odmítají. Kromě toho se v průběhu času ukázala některá ustanovení při řešení potřeb správců daní ve spolupráci s jinými členskými státy jako nedostatečná.</w:t>
      </w:r>
    </w:p>
    <w:p>
      <w:pPr>
        <w:pBdr>
          <w:top w:val="nil"/>
          <w:left w:val="nil"/>
          <w:bottom w:val="nil"/>
          <w:right w:val="nil"/>
          <w:between w:val="nil"/>
          <w:bar w:val="nil"/>
        </w:pBdr>
        <w:spacing w:before="0" w:after="240"/>
        <w:rPr>
          <w:rFonts w:eastAsia="Arial Unicode MS"/>
          <w:noProof/>
        </w:rPr>
      </w:pPr>
      <w:r>
        <w:rPr>
          <w:noProof/>
        </w:rPr>
        <w:t>Zvýšené využívání digitálních platforem pro poskytování služeb a prodej zboží navíc vedlo k nejednotným prohlášením o příjmech prodejců, což představuje vysoké riziko daňových úniků. Zatímco několik členských států uložilo ve svých vnitrostátních právních předpisech povinnost oznamování, zkušenosti ukazují, že vnitrostátní předpisy proti daňovým únikům nemohou být plně účinné, zejména pokud jsou cílové činnosti prováděny přes hranice.</w:t>
      </w:r>
    </w:p>
    <w:p>
      <w:pPr>
        <w:pBdr>
          <w:top w:val="nil"/>
          <w:left w:val="nil"/>
          <w:bottom w:val="nil"/>
          <w:right w:val="nil"/>
          <w:between w:val="nil"/>
          <w:bar w:val="nil"/>
        </w:pBdr>
        <w:spacing w:before="0" w:after="240"/>
        <w:rPr>
          <w:rFonts w:eastAsia="Arial Unicode MS"/>
          <w:noProof/>
        </w:rPr>
      </w:pPr>
      <w:r>
        <w:rPr>
          <w:noProof/>
        </w:rPr>
        <w:t xml:space="preserve">Právní jistotu a jasnost lze zajistit pouze řešením těchto neefektivních situací prostřednictvím jednotného souboru pravidel platných pro všechny členské státy. Vnitřní trh potřebuje robustní mechanismus k řešení těchto mezer v jednotné úpravě a k nápravě existujících narušení zajištěním toho, že správci daně dostanou včas příslušné informace. Harmonizovaný rámec oznamování v celé EU se jeví jako nezbytný zejména s ohledem na převládající přeshraniční rozměr služeb poskytovaných provozovateli platforem. Vzhledem k tomu, že cílem povinného oznamování týkajícího se příjmů získaných z používání digitálních platforem je především informovat správce daně o činnostech s rozměrem přesahujícím jednu jurisdikci, je nutné zahájit takovou iniciativu prostřednictvím opatření na úrovni EU s cílem zajistit jednotný přístup k zjištěnému problému. </w:t>
      </w:r>
    </w:p>
    <w:p>
      <w:pPr>
        <w:pBdr>
          <w:top w:val="nil"/>
          <w:left w:val="nil"/>
          <w:bottom w:val="nil"/>
          <w:right w:val="nil"/>
          <w:between w:val="nil"/>
          <w:bar w:val="nil"/>
        </w:pBdr>
        <w:spacing w:before="0" w:after="240"/>
        <w:rPr>
          <w:rFonts w:eastAsia="Arial Unicode MS"/>
          <w:noProof/>
        </w:rPr>
      </w:pPr>
      <w:r>
        <w:rPr>
          <w:noProof/>
        </w:rPr>
        <w:t>EU má proto lepší postavení k řešení zjištěných problémů a zajištění účinnosti a úplnosti systému výměny informací a správní spolupráce než jednotlivé členské státy. Zaprvé zajistí důsledné uplatňování pravidel v celé EU. Zadruhé, všechny digitální platformy ve stanoveném rozsahu budou podléhat stejným požadavkům na oznamování. Zatřetí bude oznamování doprovázeno výměnou informací a jako takové umožní správcům daně získat komplexní soubor informací o příjmech získaných prostřednictvím digitální platformy.</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rFonts w:eastAsia="Arial Unicode MS"/>
          <w:noProof/>
        </w:rPr>
      </w:pPr>
      <w:r>
        <w:rPr>
          <w:noProof/>
        </w:rPr>
        <w:t xml:space="preserve">Návrh spočívá ve zlepšení stávajících ustanovení směrnice a rozšiřuje rozsah automatické výměny na určité konkrétní informace oznamované provozovateli digitálních platforem. Uvedená zlepšení nepřekračují rámec toho, co je nezbytné k dosažení cíle výměny informací a obecněji administrativní spolupráce. Vzhledem k tomu, že zjištěná narušení ve fungování vnitřního trhu se obvykle rozšiřují za hranice jednoho členského státu, společná pravidla EU představují minimum potřebné k efektivnímu řešení problémů. </w:t>
      </w:r>
    </w:p>
    <w:p>
      <w:pPr>
        <w:pBdr>
          <w:top w:val="nil"/>
          <w:left w:val="nil"/>
          <w:bottom w:val="nil"/>
          <w:right w:val="nil"/>
          <w:between w:val="nil"/>
          <w:bar w:val="nil"/>
        </w:pBdr>
        <w:spacing w:before="0" w:after="240"/>
        <w:rPr>
          <w:rFonts w:eastAsia="Arial Unicode MS"/>
          <w:noProof/>
        </w:rPr>
      </w:pPr>
      <w:r>
        <w:rPr>
          <w:noProof/>
        </w:rPr>
        <w:t>Navrhovaná pravidla tak přispívají k jasnějšímu, důslednějšímu a účinnějšímu uplatňování směrnice, což vede k lepším způsobům dosažení jejích cílů. Předpokládaná povinnost provozovatelů digitálních platforem oznamovat příjmy dosažené jejich uživateli, tj. prodejci, nabízí také proveditelné řešení proti daňovým únikům pomocí mechanismů výměny informací, které již byly dříve vyzkoušeny pro DAC2 a DAC4. V tomto ohledu lze tvrdit, že navrhovaná iniciativa představuje přiměřenou odpověď na zjištěné nesrovnalosti ve směrnici a jejím cílem je také řešení problému daňových úniků.</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Volba nástroje</w:t>
      </w:r>
    </w:p>
    <w:p>
      <w:pPr>
        <w:pBdr>
          <w:top w:val="nil"/>
          <w:left w:val="nil"/>
          <w:bottom w:val="nil"/>
          <w:right w:val="nil"/>
          <w:between w:val="nil"/>
          <w:bar w:val="nil"/>
        </w:pBdr>
        <w:spacing w:before="0" w:after="240"/>
        <w:rPr>
          <w:rFonts w:eastAsia="Arial Unicode MS"/>
          <w:noProof/>
        </w:rPr>
      </w:pPr>
      <w:r>
        <w:rPr>
          <w:noProof/>
        </w:rPr>
        <w:t>Právní základ tohoto návrhu je dvojí: Články 113 a 115 SFEU, v nichž se výslovně stanoví, že právní předpisy v této oblasti mohou být uzákoněny pouze právní formou směrnice. Pokud de o rozšíření závazných pravidel týkajících se zdanění, není proto přípustné použít žádný jiný typ právního aktu EU. Navrhovaná směrnice navíc představuje šestou změnu směrnice o správní spolupráci; následuje tudíž po směrnicích Rady 2014/107/EU, (EU) 2015/2376, (EU) 2016/881, (EU) 2016/2258 a (EU) 2018/822.</w:t>
      </w:r>
    </w:p>
    <w:p>
      <w:pPr>
        <w:pStyle w:val="ManualHeading1"/>
        <w:rPr>
          <w:noProof/>
        </w:rPr>
      </w:pPr>
      <w:r>
        <w:rPr>
          <w:noProof/>
        </w:rPr>
        <w:t>3.</w:t>
      </w:r>
      <w:r>
        <w:rPr>
          <w:noProof/>
        </w:rPr>
        <w:tab/>
        <w:t>VÝSLEDKY HODNOCENÍ EX POST, KONZULTACÍ SE ZÚČASTNĚNÝMI STRANAMI A POSOUZENÍ DOPADŮ</w:t>
      </w:r>
    </w:p>
    <w:p>
      <w:pPr>
        <w:pStyle w:val="ManualHeading2"/>
        <w:rPr>
          <w:rFonts w:eastAsia="Arial Unicode MS"/>
          <w:noProof/>
          <w:u w:color="000000"/>
          <w:bdr w:val="nil"/>
        </w:rPr>
      </w:pPr>
      <w:r>
        <w:rPr>
          <w:noProof/>
          <w:u w:color="000000"/>
          <w:bdr w:val="nil"/>
        </w:rPr>
        <w:t>•</w:t>
      </w:r>
      <w:r>
        <w:rPr>
          <w:noProof/>
        </w:rPr>
        <w:tab/>
      </w:r>
      <w:r>
        <w:rPr>
          <w:noProof/>
          <w:u w:color="000000"/>
          <w:bdr w:val="nil"/>
        </w:rPr>
        <w:t>Vyhodnocení stávající legislativy</w:t>
      </w:r>
    </w:p>
    <w:p>
      <w:pPr>
        <w:pBdr>
          <w:top w:val="nil"/>
          <w:left w:val="nil"/>
          <w:bottom w:val="nil"/>
          <w:right w:val="nil"/>
          <w:between w:val="nil"/>
          <w:bar w:val="nil"/>
        </w:pBdr>
        <w:spacing w:before="0" w:after="240"/>
        <w:rPr>
          <w:rFonts w:eastAsia="Arial Unicode MS"/>
          <w:noProof/>
        </w:rPr>
      </w:pPr>
      <w:r>
        <w:rPr>
          <w:noProof/>
        </w:rPr>
        <w:t>V roce 2019 vyhodnotila Komise</w:t>
      </w:r>
      <w:r>
        <w:rPr>
          <w:rStyle w:val="FootnoteReference"/>
          <w:noProof/>
        </w:rPr>
        <w:footnoteReference w:id="16"/>
      </w:r>
      <w:r>
        <w:rPr>
          <w:noProof/>
        </w:rPr>
        <w:t xml:space="preserve"> účinnost, efektivitu, relevantnost, soudržnost a přidanou hodnotu EU stávajících pravidel týkajících se správní spolupráce v oblasti přímých daní. Hodnocení dospělo k závěru, že spolupráce přináší významné výhody, stále však existuje prostor pro zlepšování. Ukázalo se, že přetrvávají rozdíly ve způsobu, jakým členské státy využívají dostupné nástroje správní spolupráce. Vyměněné informace by mohly být využity efektivněji a výhody spolupráce by mohly být analyzovány komplexnějším způsobem. V návaznosti na hodnocení představuje tento legislativní návrh řadu konkrétních zásahů s cílem zlepšit fungování správní spolupráce.</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Konzultace se zúčastněnými stranami</w:t>
      </w:r>
    </w:p>
    <w:p>
      <w:pPr>
        <w:pBdr>
          <w:top w:val="nil"/>
          <w:left w:val="nil"/>
          <w:bottom w:val="nil"/>
          <w:right w:val="nil"/>
          <w:between w:val="nil"/>
          <w:bar w:val="nil"/>
        </w:pBdr>
        <w:spacing w:before="0" w:after="240"/>
        <w:rPr>
          <w:rFonts w:eastAsia="Arial Unicode MS"/>
          <w:noProof/>
        </w:rPr>
      </w:pPr>
      <w:r>
        <w:rPr>
          <w:noProof/>
        </w:rPr>
        <w:t>Dne 10. února 2020 zahájila Komise veřejnou konzultaci s cílem shromáždit zpětnou vazbu o dalším postupu opatření EU o posílení rámce pro výměnu informací v oblasti daní. Byla předložena řada případných možností a zúčastněné strany poskytly zpětnou vazbu celkem ve 37 odpovědích. Komise kromě toho provedla cílené konzultace uspořádáním schůzky dne 27. února 2020 s různými zástupci provozovatelů digitálních platforem. Zástupci provozovatelů digitálních platforem se shodli na výhodách standardizovaného právního rámce EU při shromažďování informací z platforem ve srovnání s několika odlišnými vnitrostátními pravidly oznamování. Zástupci provozovatelů digitálních platforem se navíc zasazovali o řešení podobné jednotnému kontaktnímu místu, které lze nalézt v DPH, které by umožnilo oznamovat tyto informace pouze správci daně v členském státě, v němž je platforma rezidentem.</w:t>
      </w:r>
    </w:p>
    <w:p>
      <w:pPr>
        <w:pBdr>
          <w:top w:val="nil"/>
          <w:left w:val="nil"/>
          <w:bottom w:val="nil"/>
          <w:right w:val="nil"/>
          <w:between w:val="nil"/>
          <w:bar w:val="nil"/>
        </w:pBdr>
        <w:spacing w:before="0" w:after="240"/>
        <w:rPr>
          <w:rFonts w:eastAsia="Arial Unicode MS"/>
          <w:noProof/>
        </w:rPr>
      </w:pPr>
      <w:r>
        <w:rPr>
          <w:noProof/>
        </w:rPr>
        <w:t>Pokud jde o společné audity, výsledky veřejných konzultací zdůraznily potřebu posílit jejich úlohu v rámci správní spolupráce na úrovni EU.</w:t>
      </w:r>
    </w:p>
    <w:p>
      <w:pPr>
        <w:pStyle w:val="ManualHeading2"/>
        <w:rPr>
          <w:noProof/>
          <w:u w:color="000000"/>
          <w:bdr w:val="nil"/>
        </w:rPr>
      </w:pPr>
      <w:r>
        <w:rPr>
          <w:noProof/>
          <w:u w:color="000000"/>
          <w:bdr w:val="nil"/>
        </w:rPr>
        <w:t>•</w:t>
      </w:r>
      <w:r>
        <w:rPr>
          <w:noProof/>
        </w:rPr>
        <w:tab/>
      </w:r>
      <w:r>
        <w:rPr>
          <w:noProof/>
          <w:u w:color="000000"/>
          <w:bdr w:val="nil"/>
        </w:rPr>
        <w:t xml:space="preserve">Konzultace </w:t>
      </w:r>
      <w:r>
        <w:rPr>
          <w:noProof/>
        </w:rPr>
        <w:t>členských</w:t>
      </w:r>
      <w:r>
        <w:rPr>
          <w:noProof/>
          <w:u w:color="000000"/>
          <w:bdr w:val="nil"/>
        </w:rPr>
        <w:t xml:space="preserve"> států</w:t>
      </w:r>
    </w:p>
    <w:p>
      <w:pPr>
        <w:spacing w:before="0" w:after="160" w:line="259" w:lineRule="auto"/>
        <w:rPr>
          <w:rFonts w:eastAsia="Arial Unicode MS"/>
          <w:noProof/>
          <w:u w:color="000000"/>
          <w:bdr w:val="nil"/>
        </w:rPr>
      </w:pPr>
      <w:r>
        <w:rPr>
          <w:noProof/>
        </w:rPr>
        <w:t xml:space="preserve">Evropská komise provedla cílené konzultace prostřednictvím dotazníku pro členské státy. Dne </w:t>
      </w:r>
      <w:r>
        <w:rPr>
          <w:noProof/>
          <w:u w:color="000000"/>
          <w:bdr w:val="nil"/>
        </w:rPr>
        <w:t>26. února 2020 kromě toho uspořádalo GŘ TAXUD zasedání pracovní skupiny IV a členské státy měly příležitost projednat možný návrh na změnu DAC. Setkání se zaměřilo na oznamování a výměnu informací o příjmech získaných prostřednictvím digitálních platforem.</w:t>
      </w:r>
    </w:p>
    <w:p>
      <w:pPr>
        <w:spacing w:before="0" w:after="240" w:line="259" w:lineRule="auto"/>
        <w:rPr>
          <w:rFonts w:eastAsia="Calibri"/>
          <w:noProof/>
          <w:szCs w:val="24"/>
        </w:rPr>
      </w:pPr>
      <w:r>
        <w:rPr>
          <w:noProof/>
        </w:rPr>
        <w:t xml:space="preserve">Celkově byla zaznamenána široká podpora možné iniciativě EU pro výměnu informací o příjmech, které prodejci získali prostřednictvím digitálních platforem. Většina členských států upřednostnila široký prostor pro nový právní rámec, který by kromě příjmu z pronájmu </w:t>
      </w:r>
      <w:r>
        <w:rPr>
          <w:noProof/>
        </w:rPr>
        <w:lastRenderedPageBreak/>
        <w:t xml:space="preserve">nemovitého majetku a poskytování osobních služeb zahrnoval také prodej zboží, pronájem jakéhokoli druhu dopravy a služby skupinového financování. </w:t>
      </w:r>
    </w:p>
    <w:p>
      <w:pPr>
        <w:pStyle w:val="ManualHeading2"/>
        <w:rPr>
          <w:noProof/>
          <w:u w:color="000000"/>
          <w:bdr w:val="nil"/>
        </w:rPr>
      </w:pPr>
      <w:r>
        <w:rPr>
          <w:noProof/>
          <w:u w:color="000000"/>
          <w:bdr w:val="nil"/>
        </w:rPr>
        <w:t>•</w:t>
      </w:r>
      <w:r>
        <w:rPr>
          <w:noProof/>
        </w:rPr>
        <w:tab/>
      </w:r>
      <w:r>
        <w:rPr>
          <w:noProof/>
          <w:u w:color="000000"/>
          <w:bdr w:val="nil"/>
        </w:rPr>
        <w:t>Výsledek konzultací</w:t>
      </w:r>
    </w:p>
    <w:p>
      <w:pPr>
        <w:spacing w:before="0" w:line="259" w:lineRule="auto"/>
        <w:rPr>
          <w:rFonts w:eastAsia="Times New Roman"/>
          <w:b/>
          <w:bCs/>
          <w:noProof/>
          <w:szCs w:val="24"/>
        </w:rPr>
      </w:pPr>
      <w:r>
        <w:rPr>
          <w:noProof/>
        </w:rPr>
        <w:t>Zdá se, že veřejné i cílené konzultace se sbližují k problémům, které by měla řešit nová pravidla určená provozovatelům digitálních platforem: nedostatečné oznamování o ekonomice a neefektivnosti digitální platformy; a potřebu zlepšit stávající rámec správní spolupráce EU například v oblasti společných auditů.</w:t>
      </w:r>
    </w:p>
    <w:p>
      <w:pPr>
        <w:pStyle w:val="ManualHeading2"/>
        <w:rPr>
          <w:rFonts w:eastAsia="Arial Unicode MS"/>
          <w:noProof/>
          <w:u w:color="000000"/>
          <w:bdr w:val="nil"/>
        </w:rPr>
      </w:pPr>
      <w:r>
        <w:rPr>
          <w:noProof/>
          <w:u w:color="000000"/>
          <w:bdr w:val="nil"/>
        </w:rPr>
        <w:t>•</w:t>
      </w:r>
      <w:r>
        <w:rPr>
          <w:noProof/>
        </w:rPr>
        <w:tab/>
      </w:r>
      <w:r>
        <w:rPr>
          <w:noProof/>
          <w:u w:color="000000"/>
          <w:bdr w:val="nil"/>
        </w:rPr>
        <w:t>Posouzení dopadů</w:t>
      </w:r>
    </w:p>
    <w:p>
      <w:pPr>
        <w:spacing w:before="0" w:after="240"/>
        <w:rPr>
          <w:rFonts w:eastAsia="Times New Roman"/>
          <w:noProof/>
          <w:szCs w:val="20"/>
        </w:rPr>
      </w:pPr>
      <w:r>
        <w:rPr>
          <w:noProof/>
        </w:rPr>
        <w:t>Komise provedla posouzení dopadů relevantních alternativ politiky, k němuž Výbor pro kontrolu regulace vydal kladné stanovisko dne 5. května 2020 (SEC(2020) 271)</w:t>
      </w:r>
      <w:r>
        <w:rPr>
          <w:rStyle w:val="FootnoteReference"/>
          <w:noProof/>
        </w:rPr>
        <w:footnoteReference w:id="17"/>
      </w:r>
      <w:r>
        <w:rPr>
          <w:noProof/>
        </w:rPr>
        <w:t>. Výbor pro kontrolu regulace vydal řadu doporučení na zlepšení, jež byla zohledněna v závěrečné zprávě o posouzení dopadů (SWD(2020) 131)</w:t>
      </w:r>
      <w:r>
        <w:rPr>
          <w:rStyle w:val="FootnoteReference"/>
          <w:noProof/>
        </w:rPr>
        <w:footnoteReference w:id="18"/>
      </w:r>
      <w:r>
        <w:rPr>
          <w:noProof/>
        </w:rPr>
        <w:t xml:space="preserve">. Různé možnosti politiky byly posouzeny na základě kritérií efektivnosti, účinnosti a soudržnosti ve srovnání se základním scénářem. Na nejvyšší úrovni analýzy je volba mezi </w:t>
      </w:r>
      <w:r>
        <w:rPr>
          <w:i/>
          <w:noProof/>
          <w:szCs w:val="24"/>
        </w:rPr>
        <w:t>status quo</w:t>
      </w:r>
      <w:r>
        <w:rPr>
          <w:noProof/>
        </w:rPr>
        <w:t xml:space="preserve"> nebo základním scénářem a scénářem, kdy by Komise jednala buď neregulačním nebo regulačním způsobem. Neregulační opatření by spočívalo ve vydání doporučení. Regulační možnost by zahrnovala legislativní podnět ke změně některých konkrétních prvků současného rámce správní spolupráce. </w:t>
      </w:r>
    </w:p>
    <w:p>
      <w:pPr>
        <w:spacing w:before="0" w:after="240"/>
        <w:rPr>
          <w:rFonts w:eastAsia="Times New Roman"/>
          <w:noProof/>
          <w:szCs w:val="20"/>
        </w:rPr>
      </w:pPr>
      <w:r>
        <w:rPr>
          <w:noProof/>
        </w:rPr>
        <w:t>Pokud jde o změnu stávajících pravidel, aby byla zajištěna jednotnost a účinnost, byla za upřednostňovanou možnost označena legislativní změna.</w:t>
      </w:r>
    </w:p>
    <w:p>
      <w:pPr>
        <w:spacing w:before="0" w:after="240"/>
        <w:rPr>
          <w:rFonts w:eastAsia="Times New Roman"/>
          <w:noProof/>
          <w:szCs w:val="20"/>
        </w:rPr>
      </w:pPr>
      <w:r>
        <w:rPr>
          <w:noProof/>
        </w:rPr>
        <w:t xml:space="preserve">Pokud jde o provozovatele digitálních platforem, z posouzení dopadů vyplývá, že pro splnění stanovené politiky je nejvhodnější možností regulace na úrovni EU. Ukázalo se, že </w:t>
      </w:r>
      <w:r>
        <w:rPr>
          <w:i/>
          <w:iCs/>
          <w:noProof/>
          <w:szCs w:val="20"/>
        </w:rPr>
        <w:t>status quo</w:t>
      </w:r>
      <w:r>
        <w:rPr>
          <w:noProof/>
        </w:rPr>
        <w:t xml:space="preserve"> nebo základní scénář je nejméně efektivní, účinnou nebo koherentní možností. Na rozdíl od základního scénáře by povinný společný standard EU zajistil, aby všichni správci daně v EU měli přístup ke stejnému typu údajů. Jinými slovy – regulační opatření EU by postavilo všechny správce daně na stejnou úroveň, pokud jde o přístup k informacím shromážděným pro identifikovaný daňový účel. To rovněž umožňuje automatickou výměnu informací na úrovni EU na základě společných standardů a specifikací. Po zavedení je to jediný scénář, ve kterém správci daně v členském státě sídla prodejce mohou ověřit, že prodejce přesně vykázal své příjmy dosažené prostřednictvím digitálních platforem, aniž by bylo nutné zpracovávat ad hoc, časově náročné žádosti a dotazy. Povinný společný standard EU pro oznamování by navíc zajistil, že provozovatelé digitálních platforem nebudou čelit roztříštěným národním řešením, pokud jde o povinné oznamování v daňové oblasti.</w:t>
      </w:r>
    </w:p>
    <w:p>
      <w:pPr>
        <w:tabs>
          <w:tab w:val="left" w:pos="2302"/>
        </w:tabs>
        <w:spacing w:before="0" w:after="240"/>
        <w:rPr>
          <w:rFonts w:eastAsia="Times New Roman"/>
          <w:bCs/>
          <w:i/>
          <w:noProof/>
          <w:szCs w:val="20"/>
        </w:rPr>
      </w:pPr>
      <w:r>
        <w:rPr>
          <w:bCs/>
          <w:i/>
          <w:noProof/>
          <w:szCs w:val="20"/>
        </w:rPr>
        <w:t>Hospodářské dopady</w:t>
      </w:r>
    </w:p>
    <w:p>
      <w:pPr>
        <w:tabs>
          <w:tab w:val="left" w:pos="2302"/>
        </w:tabs>
        <w:spacing w:before="0" w:after="240"/>
        <w:rPr>
          <w:rFonts w:eastAsia="Times New Roman"/>
          <w:bCs/>
          <w:i/>
          <w:noProof/>
          <w:szCs w:val="20"/>
        </w:rPr>
      </w:pPr>
      <w:r>
        <w:rPr>
          <w:bCs/>
          <w:i/>
          <w:noProof/>
          <w:szCs w:val="20"/>
        </w:rPr>
        <w:t>Přínosy</w:t>
      </w:r>
    </w:p>
    <w:p>
      <w:pPr>
        <w:spacing w:before="0" w:after="160" w:line="259" w:lineRule="auto"/>
        <w:rPr>
          <w:rFonts w:eastAsia="Calibri"/>
          <w:noProof/>
          <w:szCs w:val="24"/>
        </w:rPr>
      </w:pPr>
      <w:r>
        <w:rPr>
          <w:noProof/>
        </w:rPr>
        <w:t xml:space="preserve">Povinnost oznamovat příjmy dosažené prostřednictvím digitálních platforem a výměna těchto informací pomůže členským státům získat úplnou sadu informací za účelem výběru splatných daňových příjmů. Společná pravidla oznamování rovněž pomohou vytvořit rovné podmínky mezi prodejci, kteří používají digitální platformy, a těmi, kteří tak neučiní, a mezi provozovateli digitálních platforem navzájem, kteří v současné době mohou čelit velmi </w:t>
      </w:r>
      <w:r>
        <w:rPr>
          <w:noProof/>
        </w:rPr>
        <w:lastRenderedPageBreak/>
        <w:t>rozdílným povinnostem v oblasti oznamování. Transparentnost v oblasti příjmů prodejců využívajících digitálních platforem by srovnala podmínky s tradičnějšími podniky.</w:t>
      </w:r>
    </w:p>
    <w:p>
      <w:pPr>
        <w:spacing w:before="0" w:after="160" w:line="259" w:lineRule="auto"/>
        <w:rPr>
          <w:rFonts w:eastAsia="Calibri"/>
          <w:noProof/>
          <w:szCs w:val="24"/>
        </w:rPr>
      </w:pPr>
      <w:r>
        <w:rPr>
          <w:noProof/>
        </w:rPr>
        <w:t xml:space="preserve">Existence jediného závazného nástroje EU by také mohla mít pozitivní sociální dopady a mohla by přispět k pozitivnímu vnímání daňové spravedlnosti a ke spravedlivému sdílení zátěže mezi daňovými poplatníky. Předpokládá se, že čím širší bude oblast působnosti pravidel, tím silnější bude vnímání daňové spravedlnosti vzhledem k tomu, že ve všech typech činností existují problémy s nedostatečným oznamováním. Stejné odůvodnění se vztahuje na přínosy z hlediska spravedlivého sdílení zátěže: čím širší je rozsah intervence, tím lépe mohou členské státy zajistit, aby byly splatné daně skutečně efektivně vybírány. Fiskální přínosy opatření EU jsou mnohem rozsáhlejší, pokud má povinné oznamování široký rozsah, tj. vztahuje se na všechny služby a prodej zboží. Omezení oblasti působnosti pouze na digitální platformy se sídlem v EU by mohlo výrazně snížit daňové příjmy z jednotlivých možností. </w:t>
      </w:r>
    </w:p>
    <w:p>
      <w:pPr>
        <w:tabs>
          <w:tab w:val="left" w:pos="2302"/>
        </w:tabs>
        <w:spacing w:before="0" w:after="240"/>
        <w:rPr>
          <w:rFonts w:eastAsia="Times New Roman"/>
          <w:bCs/>
          <w:i/>
          <w:noProof/>
          <w:szCs w:val="20"/>
        </w:rPr>
      </w:pPr>
      <w:r>
        <w:rPr>
          <w:bCs/>
          <w:i/>
          <w:noProof/>
          <w:szCs w:val="20"/>
        </w:rPr>
        <w:t>Náklady</w:t>
      </w:r>
    </w:p>
    <w:p>
      <w:pPr>
        <w:pBdr>
          <w:top w:val="nil"/>
          <w:left w:val="nil"/>
          <w:bottom w:val="nil"/>
          <w:right w:val="nil"/>
          <w:between w:val="nil"/>
          <w:bar w:val="nil"/>
        </w:pBdr>
        <w:spacing w:before="0" w:after="240"/>
        <w:rPr>
          <w:rFonts w:eastAsia="Arial Unicode MS"/>
          <w:noProof/>
        </w:rPr>
      </w:pPr>
      <w:r>
        <w:rPr>
          <w:noProof/>
        </w:rPr>
        <w:t xml:space="preserve">Bez ohledu na oblast působnosti se jednorázové náklady odvozené od implementace automatického oznamování v celé EU odhadují na řádově stovky milionů EUR za celkový počet provozovatelů digitálních platforem a správců daně, opakující se náklady v řádu desítek milionů eur. Jednorázové a opakující se náklady jsou důsledkem zejména vývoje a provozu systémů IT. Správci daně rovněž vzniknou náklady na vymáhání. V zájmu nákladové efektivity se členské státy vyzývají, aby v co největší míře umožnily digitální oznamování a zajistily interoperabilitu systémů i na úrovni dat mezi digitálními platformami a správci daně. </w:t>
      </w:r>
    </w:p>
    <w:p>
      <w:pPr>
        <w:pStyle w:val="ManualHeading2"/>
        <w:rPr>
          <w:rFonts w:eastAsia="Arial Unicode MS"/>
          <w:noProof/>
          <w:u w:color="000000"/>
          <w:bdr w:val="nil"/>
        </w:rPr>
      </w:pPr>
      <w:r>
        <w:rPr>
          <w:noProof/>
          <w:u w:color="000000"/>
          <w:bdr w:val="nil"/>
        </w:rPr>
        <w:t>•</w:t>
      </w:r>
      <w:r>
        <w:rPr>
          <w:noProof/>
        </w:rPr>
        <w:tab/>
      </w:r>
      <w:r>
        <w:rPr>
          <w:noProof/>
          <w:u w:color="000000"/>
          <w:bdr w:val="nil"/>
        </w:rPr>
        <w:t>Účelnost a zjednodušení právních předpisů</w:t>
      </w:r>
    </w:p>
    <w:p>
      <w:pPr>
        <w:pBdr>
          <w:top w:val="nil"/>
          <w:left w:val="nil"/>
          <w:bottom w:val="nil"/>
          <w:right w:val="nil"/>
          <w:between w:val="nil"/>
          <w:bar w:val="nil"/>
        </w:pBdr>
        <w:spacing w:before="0" w:after="240"/>
        <w:rPr>
          <w:rFonts w:eastAsia="Arial Unicode MS"/>
          <w:noProof/>
        </w:rPr>
      </w:pPr>
      <w:r>
        <w:rPr>
          <w:noProof/>
        </w:rPr>
        <w:t>Cílem návrhu je snížit regulační zátěž provozovatelů digitálních platforem, daňových poplatníků a správců daní. Navrhovaná politická reakce představuje přiměřenou odpověď na identifikovaný problém, neboť nepřekračuje to, co je nezbytné k dosažení cíle Smlouvy pro lepší fungování vnitřního trhu bez narušení. Společná pravidla se skutečně omezí na vytvoření minimálního nezbytného společného rámce pro oznamování příjmů dosažených prostřednictvím digitální platformy. Například: i) Pravidla zajišťují, aby nedocházelo k dvojímu oznamování (tj. jediné místo registrace a oznamování); ii) automatická výměna informací se omezuje na příslušné členské státy; a iii) ukládání sankcí za nedodržení vnitrostátních předpisů zůstane pod svrchovanou kontrolou členských států. Harmonizace navíc nejde dále, než že zajistí, aby příslušné orgány byly informovány o dosažených příjmech. Poté je na členských státech, aby rozhodly o splatné dani.</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Tato směrnice respektuje základní lidská práva a ctí zásady uznané zejména Listinou základních práv Evropské unie. Soubor datových prvků, které mají být předávány správcům daně, je v souladu s povinnostmi GDPR definován konkrétně tak, aby zachycoval pouze minimální údaje nezbytné k odhalování nedostatečného oznamování nebo neoznamování.</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sz w:val="22"/>
        </w:rPr>
        <w:t>Viz legislativní finanční výkaz</w:t>
      </w:r>
    </w:p>
    <w:p>
      <w:pPr>
        <w:pStyle w:val="ManualHeading1"/>
        <w:rPr>
          <w:noProof/>
        </w:rPr>
      </w:pPr>
      <w:r>
        <w:rPr>
          <w:noProof/>
        </w:rPr>
        <w:lastRenderedPageBreak/>
        <w:t>5.</w:t>
      </w:r>
      <w:r>
        <w:rPr>
          <w:noProof/>
        </w:rPr>
        <w:tab/>
        <w:t>PODROBNÉ VYSVĚTLENÍ KONKRÉTNÍCH USTANOVENÍ NÁVRHU</w:t>
      </w:r>
    </w:p>
    <w:p>
      <w:pPr>
        <w:rPr>
          <w:noProof/>
        </w:rPr>
      </w:pPr>
      <w:r>
        <w:rPr>
          <w:noProof/>
        </w:rPr>
        <w:t>Tento pozměňovací návrh navrhuje změny stávajících ustanovení o výměně informací a správní spolupráci a rozšiřuje rozsah působnosti na automatickou výměnu informací oznamovaných provozovateli digitálních platforem. Pravidla oznamování pro provozovatele digitálních platforem jsou inspirována prací provedenou v OECD.</w:t>
      </w:r>
    </w:p>
    <w:p>
      <w:pPr>
        <w:rPr>
          <w:b/>
          <w:noProof/>
        </w:rPr>
      </w:pPr>
      <w:r>
        <w:rPr>
          <w:b/>
          <w:noProof/>
        </w:rPr>
        <w:t>i) Výměna informací na požádání</w:t>
      </w:r>
    </w:p>
    <w:p>
      <w:pPr>
        <w:pStyle w:val="ManualHeading2"/>
        <w:rPr>
          <w:rFonts w:eastAsia="Arial Unicode MS"/>
          <w:noProof/>
          <w:u w:color="000000"/>
          <w:bdr w:val="nil"/>
        </w:rPr>
      </w:pPr>
      <w:r>
        <w:rPr>
          <w:noProof/>
          <w:u w:color="000000"/>
          <w:bdr w:val="nil"/>
        </w:rPr>
        <w:t>•</w:t>
      </w:r>
      <w:r>
        <w:rPr>
          <w:noProof/>
        </w:rPr>
        <w:tab/>
      </w:r>
      <w:r>
        <w:rPr>
          <w:noProof/>
          <w:u w:color="000000"/>
          <w:bdr w:val="nil"/>
        </w:rPr>
        <w:t>Předpokládaný význam</w:t>
      </w:r>
    </w:p>
    <w:p>
      <w:pPr>
        <w:pBdr>
          <w:top w:val="nil"/>
          <w:left w:val="nil"/>
          <w:bottom w:val="nil"/>
          <w:right w:val="nil"/>
          <w:between w:val="nil"/>
          <w:bar w:val="nil"/>
        </w:pBdr>
        <w:spacing w:before="0" w:after="240"/>
        <w:rPr>
          <w:rFonts w:eastAsia="Arial Unicode MS"/>
          <w:noProof/>
        </w:rPr>
      </w:pPr>
      <w:r>
        <w:rPr>
          <w:noProof/>
        </w:rPr>
        <w:t xml:space="preserve">Článek 5a stanoví definici standardu předpokládaného významu, který se použije v případě žádosti o informace. Definice stanoví prvky standardních a procedurálních náležitostí, které musí žádající orgán respektovat. Žádost o informace se může vztahovat k jednomu nebo několika daňovým poplatníkům, pokud jsou jednotlivě identifikovány. </w:t>
      </w:r>
    </w:p>
    <w:p>
      <w:pPr>
        <w:pBdr>
          <w:top w:val="nil"/>
          <w:left w:val="nil"/>
          <w:bottom w:val="nil"/>
          <w:right w:val="nil"/>
          <w:between w:val="nil"/>
          <w:bar w:val="nil"/>
        </w:pBdr>
        <w:spacing w:before="0" w:after="240"/>
        <w:rPr>
          <w:rFonts w:eastAsia="Arial Unicode MS"/>
          <w:noProof/>
        </w:rPr>
      </w:pPr>
      <w:r>
        <w:rPr>
          <w:noProof/>
        </w:rPr>
        <w:t xml:space="preserve">Jak je stanoveno v čl. 8a odst. 10, úroveň předpokládaného významu by se neměla uplatňovat v případech, kdy je žádost o informace zasláno v návaznosti na výměnu předběžného daňového rozhodnutí s přeshraničním prvkem nebo předběžného posouzení převodních cen podle směrnice Rady (EU) 2015/2376 ze dne 8. prosince 2015. </w:t>
      </w:r>
    </w:p>
    <w:p>
      <w:pPr>
        <w:pBdr>
          <w:top w:val="nil"/>
          <w:left w:val="nil"/>
          <w:bottom w:val="nil"/>
          <w:right w:val="nil"/>
          <w:between w:val="nil"/>
          <w:bar w:val="nil"/>
        </w:pBdr>
        <w:spacing w:before="0" w:after="240"/>
        <w:rPr>
          <w:rFonts w:eastAsia="Arial Unicode MS"/>
          <w:noProof/>
        </w:rPr>
      </w:pPr>
      <w:r>
        <w:rPr>
          <w:noProof/>
        </w:rPr>
        <w:t>Ustanovení čl. 17 odst. 1 se mění s cílem vyjasnit význam úplnosti obvyklých zdrojů informací. Dožadující orgán je před vyžádáním informací povinen vyčerpat všechny obvyklé zdroje informací, které mohl použít za daných okolností k získání požadovaných informací, a vyhledat všechny dostupné</w:t>
      </w:r>
      <w:r>
        <w:rPr>
          <w:b/>
          <w:noProof/>
        </w:rPr>
        <w:t xml:space="preserve"> </w:t>
      </w:r>
      <w:r>
        <w:rPr>
          <w:noProof/>
        </w:rPr>
        <w:t>prostředky. Pokud však dožadující orgán čelí v takovém případě nepřiměřeným obtížím a riskuje ohrožení dosažení svých cílů, tato povinnost neplatí. Pokud dožadující orgán tuto povinnost nedodržel, může dožádaný orgán odmítnout poskytnout informace.</w:t>
      </w:r>
    </w:p>
    <w:p>
      <w:pPr>
        <w:pBdr>
          <w:top w:val="nil"/>
          <w:left w:val="nil"/>
          <w:bottom w:val="nil"/>
          <w:right w:val="nil"/>
          <w:between w:val="nil"/>
          <w:bar w:val="nil"/>
        </w:pBdr>
        <w:spacing w:before="0" w:after="240"/>
        <w:rPr>
          <w:rFonts w:eastAsia="Arial Unicode MS"/>
          <w:noProof/>
        </w:rPr>
      </w:pPr>
      <w:r>
        <w:rPr>
          <w:noProof/>
        </w:rPr>
        <w:t>Změna čl. 20 odst. 2 zajistí, aby formuláře k výměně informací na žádost byly odpovídajícím způsobem upraveny.</w:t>
      </w:r>
    </w:p>
    <w:p>
      <w:pPr>
        <w:pStyle w:val="ManualHeading2"/>
        <w:rPr>
          <w:rFonts w:eastAsia="Arial Unicode MS"/>
          <w:noProof/>
          <w:u w:color="000000"/>
          <w:bdr w:val="nil"/>
        </w:rPr>
      </w:pPr>
      <w:r>
        <w:rPr>
          <w:noProof/>
          <w:u w:color="000000"/>
          <w:bdr w:val="nil"/>
        </w:rPr>
        <w:t>•</w:t>
      </w:r>
      <w:r>
        <w:rPr>
          <w:noProof/>
        </w:rPr>
        <w:tab/>
      </w:r>
      <w:r>
        <w:rPr>
          <w:noProof/>
          <w:u w:color="000000"/>
          <w:bdr w:val="nil"/>
        </w:rPr>
        <w:t>Skupinové žádosti</w:t>
      </w:r>
    </w:p>
    <w:p>
      <w:pPr>
        <w:rPr>
          <w:noProof/>
        </w:rPr>
      </w:pPr>
      <w:r>
        <w:rPr>
          <w:noProof/>
        </w:rPr>
        <w:t>Článek 5b upravuje skupinové žádosti v souvislosti se žádostí o informace. Skupinové žádosti se týkají skupiny daňových poplatníků, které nelze individuálně identifikovat, ale namísto toho jsou popsány společnou sadou charakteristik. Vzhledem k povaze žádosti se požadované informace liší, pokud se žádost týká jednotlivého daňového poplatníka. Standard předpokládaného významu, jak je definován v článku 5a, se nepoužije. Místo toho musí požadující orgán poskytnout požádanému orgánu soubor informací včetně i) komplexního popisu charakteristik skupiny; a ii) vysvětlení příslušného platného zákona a skutečností a okolností, které vedly k žádosti.</w:t>
      </w:r>
    </w:p>
    <w:p>
      <w:pPr>
        <w:rPr>
          <w:b/>
          <w:noProof/>
        </w:rPr>
      </w:pPr>
      <w:r>
        <w:rPr>
          <w:b/>
          <w:noProof/>
        </w:rPr>
        <w:t>ii) Automatická výměna informací</w:t>
      </w:r>
    </w:p>
    <w:p>
      <w:pPr>
        <w:pStyle w:val="ManualHeading2"/>
        <w:rPr>
          <w:rFonts w:eastAsia="Arial Unicode MS"/>
          <w:noProof/>
          <w:u w:color="000000"/>
          <w:bdr w:val="nil"/>
        </w:rPr>
      </w:pPr>
      <w:r>
        <w:rPr>
          <w:noProof/>
          <w:u w:color="000000"/>
          <w:bdr w:val="nil"/>
        </w:rPr>
        <w:t>•</w:t>
      </w:r>
      <w:r>
        <w:rPr>
          <w:noProof/>
        </w:rPr>
        <w:tab/>
      </w:r>
      <w:r>
        <w:rPr>
          <w:noProof/>
          <w:u w:color="000000"/>
          <w:bdr w:val="nil"/>
        </w:rPr>
        <w:t>Kategorie příjmů</w:t>
      </w:r>
    </w:p>
    <w:p>
      <w:pPr>
        <w:rPr>
          <w:noProof/>
        </w:rPr>
      </w:pPr>
      <w:r>
        <w:rPr>
          <w:noProof/>
        </w:rPr>
        <w:t>Čl. 8 odst. 1 stanoví kategorie příjmů podléhající povinné automatické výměně mezi členskými státy. Do kategorií příjmů, které podléhají výměně informací, se přidávají také licenční poplatky. Tento pozměňovací návrh ukládá členským státům povinnost vyměňovat si s ostatními členskými státy v souladu s čl. 8 odst. 3 všechny dostupné informace nejméně však ve dvou kategoriích za zdaňovací období do roku 2024 a alespoň ve čtyřech kategoriích příjmů za zdaňovací období od roku 2024.</w:t>
      </w:r>
    </w:p>
    <w:p>
      <w:pPr>
        <w:pStyle w:val="ManualHeading2"/>
        <w:spacing w:after="0"/>
        <w:rPr>
          <w:rFonts w:eastAsia="Arial Unicode MS"/>
          <w:noProof/>
          <w:u w:color="000000"/>
          <w:bdr w:val="nil"/>
        </w:rPr>
      </w:pPr>
      <w:r>
        <w:rPr>
          <w:noProof/>
          <w:u w:color="000000"/>
          <w:bdr w:val="nil"/>
        </w:rPr>
        <w:lastRenderedPageBreak/>
        <w:t>•</w:t>
      </w:r>
      <w:r>
        <w:rPr>
          <w:noProof/>
        </w:rPr>
        <w:tab/>
      </w:r>
      <w:r>
        <w:rPr>
          <w:noProof/>
          <w:u w:color="000000"/>
          <w:bdr w:val="nil"/>
        </w:rPr>
        <w:t>Pravidla oznamování pro provozovatele platforem budou předmětem povinné automatické výměny informací</w:t>
      </w:r>
    </w:p>
    <w:p>
      <w:pPr>
        <w:spacing w:before="100" w:beforeAutospacing="1" w:after="100" w:afterAutospacing="1"/>
        <w:rPr>
          <w:rFonts w:eastAsia="Calibri"/>
          <w:noProof/>
        </w:rPr>
      </w:pPr>
      <w:r>
        <w:rPr>
          <w:noProof/>
        </w:rPr>
        <w:t xml:space="preserve">Článek 8ac stanoví rozsah a podmínky povinné automatické výměny informací, které budou provozovatelé platforem oznamovat příslušnému orgánu. Podrobná pravidla jsou stanovena v příloze V. V prvním kroku stanoví pravidla povinnost oznamujících provozovatelů platforem shromažďovat a ověřovat informace v souladu s postupy náležité péče. Jako druhý krok musí oznamující provozovatelé platforem podávat informace o oznamovaných prodejcích, kteří využívají jejich platformu, kterou provozují, k prodeji svého zboží, poskytování svých služeb nebo investování a úvěrování v kontextu skupinového financování. Třetí krok se týká sdělování oznámených informací příslušnému orgánu členského státu, ve kterém je oznamovaný prodejce rezidentem, nebo příslušnému orgánu členského státu, ve kterém se nachází předmětný nemovitý majetek. </w:t>
      </w:r>
    </w:p>
    <w:p>
      <w:pPr>
        <w:spacing w:before="0"/>
        <w:rPr>
          <w:rFonts w:eastAsia="Calibri"/>
          <w:noProof/>
        </w:rPr>
      </w:pPr>
      <w:r>
        <w:rPr>
          <w:i/>
          <w:noProof/>
        </w:rPr>
        <w:t>Oblast působnosti</w:t>
      </w:r>
      <w:r>
        <w:rPr>
          <w:noProof/>
        </w:rPr>
        <w:t xml:space="preserve"> </w:t>
      </w:r>
    </w:p>
    <w:p>
      <w:pPr>
        <w:spacing w:before="0" w:afterLines="50"/>
        <w:rPr>
          <w:rFonts w:eastAsia="Calibri"/>
          <w:i/>
          <w:noProof/>
        </w:rPr>
      </w:pPr>
      <w:r>
        <w:rPr>
          <w:noProof/>
        </w:rPr>
        <w:t>Příloha V oddíl I stanoví definice, které určují rozsah pravidel oznamování.</w:t>
      </w:r>
    </w:p>
    <w:p>
      <w:pPr>
        <w:pStyle w:val="ListDash1"/>
        <w:rPr>
          <w:rFonts w:eastAsia="Calibri"/>
          <w:noProof/>
        </w:rPr>
      </w:pPr>
      <w:r>
        <w:rPr>
          <w:noProof/>
        </w:rPr>
        <w:t>Kdo nese břemeno oznamování</w:t>
      </w:r>
    </w:p>
    <w:p>
      <w:pPr>
        <w:pBdr>
          <w:top w:val="nil"/>
          <w:left w:val="nil"/>
          <w:bottom w:val="nil"/>
          <w:right w:val="nil"/>
          <w:between w:val="nil"/>
          <w:bar w:val="nil"/>
        </w:pBdr>
        <w:spacing w:before="0" w:after="240"/>
        <w:rPr>
          <w:rFonts w:eastAsia="Calibri"/>
          <w:noProof/>
        </w:rPr>
      </w:pPr>
      <w:r>
        <w:rPr>
          <w:noProof/>
        </w:rPr>
        <w:t xml:space="preserve">Pravidla zahrnují definice toho, co je platforma, provozovatel platformy a oznamující provozovatel platformy. </w:t>
      </w:r>
    </w:p>
    <w:p>
      <w:pPr>
        <w:pBdr>
          <w:top w:val="nil"/>
          <w:left w:val="nil"/>
          <w:bottom w:val="nil"/>
          <w:right w:val="nil"/>
          <w:between w:val="nil"/>
          <w:bar w:val="nil"/>
        </w:pBdr>
        <w:spacing w:before="0" w:after="240"/>
        <w:rPr>
          <w:rFonts w:eastAsia="Calibri"/>
          <w:noProof/>
        </w:rPr>
      </w:pPr>
      <w:r>
        <w:rPr>
          <w:noProof/>
        </w:rPr>
        <w:t>Koncepce platformy nezahrnuje software výhradně umožňující i) zpracování plateb, ii) uživatelům zařazovat příslušnou činnost na seznam nebo ji propagovat, nebo iii) přesměrování nebo převod uživatelů na platformu.</w:t>
      </w:r>
    </w:p>
    <w:p>
      <w:pPr>
        <w:pBdr>
          <w:top w:val="nil"/>
          <w:left w:val="nil"/>
          <w:bottom w:val="nil"/>
          <w:right w:val="nil"/>
          <w:between w:val="nil"/>
          <w:bar w:val="nil"/>
        </w:pBdr>
        <w:spacing w:before="0" w:after="240"/>
        <w:rPr>
          <w:rFonts w:eastAsia="Calibri"/>
          <w:noProof/>
        </w:rPr>
      </w:pPr>
      <w:r>
        <w:rPr>
          <w:noProof/>
        </w:rPr>
        <w:t xml:space="preserve">Oznamujícím provozovatelem platformy je jakákoli provozovatel platformy, který je buď daňovým rezidentem v některém členském státě, nebo je zapsán v obchodním rejstříku podle právních předpisů členského státu, nebo má sídlo nebo stálou provozovnu v některém členském státě (běžně označované jako „platformy EU“). </w:t>
      </w:r>
    </w:p>
    <w:p>
      <w:pPr>
        <w:pBdr>
          <w:top w:val="nil"/>
          <w:left w:val="nil"/>
          <w:bottom w:val="nil"/>
          <w:right w:val="nil"/>
          <w:between w:val="nil"/>
          <w:bar w:val="nil"/>
        </w:pBdr>
        <w:spacing w:before="0" w:after="240"/>
        <w:rPr>
          <w:rFonts w:eastAsia="Calibri"/>
          <w:b/>
          <w:noProof/>
        </w:rPr>
      </w:pPr>
      <w:r>
        <w:rPr>
          <w:noProof/>
        </w:rPr>
        <w:t>Oblast působnosti pravidel dále zahrnuje rovněž provozovatele platforem, kteří nesplňují žádnou z těchto podmínek, ale umožňují provádění příslušné činnosti oznamovaným prodejcům, kteří jsou pro účely této směrnice rezidenty v členském státě nebo s ohledem na nájem nemovitého majetku nacházejícího se v členském státě (běžně jen „zahraniční platformy“). Aby byly tyto platformy v Unii aktivní, musí se zaregistrovat v členském státě (tj. jednotná registrace) v souladu s čl. 8ac odst. 4. Příloha V, oddíl IV, odst. F stanoví podrobnosti registrace. Za účelem zajištění jednotných podmínek zavádění navrhovaných pravidel a – přesněji – registrace a identifikace oznamujících provozovatelů platforem svěřuje čl. 8ac odst. 4 pododst. 3 Komisi prováděcí pravomoc přijmout standardní formulář. Tyto pravomoci se vykonávají v souladu s nařízením Evropského parlamentu a Rady (EU) č. 182/2011.</w:t>
      </w:r>
      <w:r>
        <w:rPr>
          <w:b/>
          <w:noProof/>
        </w:rPr>
        <w:t xml:space="preserve"> </w:t>
      </w:r>
    </w:p>
    <w:p>
      <w:pPr>
        <w:pBdr>
          <w:top w:val="nil"/>
          <w:left w:val="nil"/>
          <w:bottom w:val="nil"/>
          <w:right w:val="nil"/>
          <w:between w:val="nil"/>
          <w:bar w:val="nil"/>
        </w:pBdr>
        <w:spacing w:before="0" w:after="240"/>
        <w:rPr>
          <w:rFonts w:eastAsia="Calibri"/>
          <w:noProof/>
        </w:rPr>
      </w:pPr>
      <w:r>
        <w:rPr>
          <w:noProof/>
        </w:rPr>
        <w:t xml:space="preserve">Provozovatelé platforem, kteří již byli pro účely DPH v Unii identifikováni, se nezaregistrují v žádném jiném členském státě, než je členský stát odpovídající identifikací DPH. </w:t>
      </w:r>
    </w:p>
    <w:p>
      <w:pPr>
        <w:pStyle w:val="ListDash1"/>
        <w:rPr>
          <w:rFonts w:eastAsia="Calibri"/>
          <w:noProof/>
        </w:rPr>
      </w:pPr>
      <w:r>
        <w:rPr>
          <w:noProof/>
        </w:rPr>
        <w:t>Které činnosti podléhají oznamování</w:t>
      </w:r>
    </w:p>
    <w:p>
      <w:pPr>
        <w:pBdr>
          <w:top w:val="nil"/>
          <w:left w:val="nil"/>
          <w:bottom w:val="nil"/>
          <w:right w:val="nil"/>
          <w:between w:val="nil"/>
          <w:bar w:val="nil"/>
        </w:pBdr>
        <w:spacing w:before="0" w:after="240"/>
        <w:rPr>
          <w:rFonts w:eastAsia="Calibri"/>
          <w:noProof/>
        </w:rPr>
      </w:pPr>
      <w:r>
        <w:rPr>
          <w:noProof/>
        </w:rPr>
        <w:t xml:space="preserve">Příslušná činnost zahrnuje pronájem nemovitého majetku, poskytování osobních služeb, prodej zboží, pronájem jakéhokoli druhu dopravy a investice a úvěrování v rámci skupinového financování. </w:t>
      </w:r>
    </w:p>
    <w:p>
      <w:pPr>
        <w:pBdr>
          <w:top w:val="nil"/>
          <w:left w:val="nil"/>
          <w:bottom w:val="nil"/>
          <w:right w:val="nil"/>
          <w:between w:val="nil"/>
          <w:bar w:val="nil"/>
        </w:pBdr>
        <w:spacing w:before="0" w:after="240"/>
        <w:rPr>
          <w:rFonts w:eastAsia="Calibri"/>
          <w:noProof/>
        </w:rPr>
      </w:pPr>
      <w:r>
        <w:rPr>
          <w:noProof/>
        </w:rPr>
        <w:lastRenderedPageBreak/>
        <w:t xml:space="preserve">Příslušná činnost nezahrnuje činnost, kterou vykonává prodejce jednající jako zaměstnanec oznamujícího provozovatele platformy. </w:t>
      </w:r>
    </w:p>
    <w:p>
      <w:pPr>
        <w:pBdr>
          <w:top w:val="nil"/>
          <w:left w:val="nil"/>
          <w:bottom w:val="nil"/>
          <w:right w:val="nil"/>
          <w:between w:val="nil"/>
          <w:bar w:val="nil"/>
        </w:pBdr>
        <w:spacing w:before="0" w:after="240"/>
        <w:rPr>
          <w:noProof/>
        </w:rPr>
      </w:pPr>
      <w:r>
        <w:rPr>
          <w:noProof/>
        </w:rPr>
        <w:t xml:space="preserve">Osobní službou se rozumí služba, která zahrnuje práci založenou na čase nebo na úkolech a která je prováděna jednou či více fyzickými osobami jednajícími navzájem nezávisle nebo jménem určitého právního subjektu. Tato služba se vykonává na žádost uživatele buď online, nebo fyzicky offline poté, co byla usnadněna prostřednictvím platformy. </w:t>
      </w:r>
    </w:p>
    <w:p>
      <w:pPr>
        <w:pStyle w:val="ListDash1"/>
        <w:rPr>
          <w:rFonts w:eastAsia="Calibri"/>
          <w:noProof/>
        </w:rPr>
      </w:pPr>
      <w:r>
        <w:rPr>
          <w:noProof/>
        </w:rPr>
        <w:t>Čí činnosti podléhají oznamování</w:t>
      </w:r>
    </w:p>
    <w:p>
      <w:pPr>
        <w:pBdr>
          <w:top w:val="nil"/>
          <w:left w:val="nil"/>
          <w:bottom w:val="nil"/>
          <w:right w:val="nil"/>
          <w:between w:val="nil"/>
          <w:bar w:val="nil"/>
        </w:pBdr>
        <w:spacing w:before="0" w:after="240"/>
        <w:rPr>
          <w:noProof/>
        </w:rPr>
      </w:pPr>
      <w:r>
        <w:rPr>
          <w:noProof/>
        </w:rPr>
        <w:t xml:space="preserve">Prodejce je uživatel platformy, který je registrován na platformě a vykonává kteroukoli z příslušných činností. Vládní subjekt není považován za prodejce. </w:t>
      </w:r>
    </w:p>
    <w:p>
      <w:pPr>
        <w:pBdr>
          <w:top w:val="nil"/>
          <w:left w:val="nil"/>
          <w:bottom w:val="nil"/>
          <w:right w:val="nil"/>
          <w:between w:val="nil"/>
          <w:bar w:val="nil"/>
        </w:pBdr>
        <w:spacing w:before="0" w:after="240"/>
        <w:rPr>
          <w:noProof/>
        </w:rPr>
      </w:pPr>
      <w:r>
        <w:rPr>
          <w:noProof/>
        </w:rPr>
        <w:t xml:space="preserve">Aktivním prodejcem je kterýkoli prodejce, který během oznamovacího období poskytl příslušnou činnost. </w:t>
      </w:r>
    </w:p>
    <w:p>
      <w:pPr>
        <w:pBdr>
          <w:top w:val="nil"/>
          <w:left w:val="nil"/>
          <w:bottom w:val="nil"/>
          <w:right w:val="nil"/>
          <w:between w:val="nil"/>
          <w:bar w:val="nil"/>
        </w:pBdr>
        <w:spacing w:before="0" w:after="240"/>
        <w:rPr>
          <w:noProof/>
        </w:rPr>
      </w:pPr>
      <w:r>
        <w:rPr>
          <w:noProof/>
        </w:rPr>
        <w:t>Oznamovaným prodejcem je kterýkoli aktivní prodejce, který během oznamovacího období i) měl svou primární adresu v členském státě, nebo ii) měl DIČ nebo identifikační číslo pro účely DPH vydané v členském státě, nebo iii) prodejce, který je právním subjektem a měl stálou provozovnu v členském státě. Oznamovaný prodejce, který splňuje kteroukoli z uvedených podmínek, je pro účely této směrnice považován za rezidenta v členském státě.</w:t>
      </w:r>
    </w:p>
    <w:p>
      <w:pPr>
        <w:pBdr>
          <w:top w:val="nil"/>
          <w:left w:val="nil"/>
          <w:bottom w:val="nil"/>
          <w:right w:val="nil"/>
          <w:between w:val="nil"/>
          <w:bar w:val="nil"/>
        </w:pBdr>
        <w:spacing w:before="0" w:after="240"/>
        <w:rPr>
          <w:noProof/>
        </w:rPr>
      </w:pPr>
      <w:r>
        <w:rPr>
          <w:noProof/>
        </w:rPr>
        <w:t>Oznamovaným prodejcem je navíc kterýkoli aktivní prodejce, který během oznamovacího období dal v členském státě do pronájmu nemovitost.</w:t>
      </w:r>
    </w:p>
    <w:p>
      <w:pPr>
        <w:pBdr>
          <w:top w:val="nil"/>
          <w:left w:val="nil"/>
          <w:bottom w:val="nil"/>
          <w:right w:val="nil"/>
          <w:between w:val="nil"/>
          <w:bar w:val="nil"/>
        </w:pBdr>
        <w:spacing w:before="0" w:after="240"/>
        <w:rPr>
          <w:rFonts w:eastAsia="Calibri"/>
          <w:noProof/>
        </w:rPr>
      </w:pPr>
      <w:r>
        <w:rPr>
          <w:noProof/>
        </w:rPr>
        <w:t>Oznamují se pouze činnosti oznamovaného prodejce.</w:t>
      </w:r>
    </w:p>
    <w:p>
      <w:pPr>
        <w:pBdr>
          <w:top w:val="nil"/>
          <w:left w:val="nil"/>
          <w:bottom w:val="nil"/>
          <w:right w:val="nil"/>
          <w:between w:val="nil"/>
          <w:bar w:val="nil"/>
        </w:pBdr>
        <w:rPr>
          <w:rFonts w:eastAsia="Calibri"/>
          <w:i/>
          <w:noProof/>
        </w:rPr>
      </w:pPr>
      <w:r>
        <w:rPr>
          <w:i/>
          <w:noProof/>
        </w:rPr>
        <w:t>Postupy náležité péče</w:t>
      </w:r>
    </w:p>
    <w:p>
      <w:pPr>
        <w:pBdr>
          <w:top w:val="nil"/>
          <w:left w:val="nil"/>
          <w:bottom w:val="nil"/>
          <w:right w:val="nil"/>
          <w:between w:val="nil"/>
          <w:bar w:val="nil"/>
        </w:pBdr>
        <w:spacing w:before="0" w:after="240"/>
        <w:rPr>
          <w:rFonts w:eastAsia="Calibri"/>
          <w:noProof/>
        </w:rPr>
      </w:pPr>
      <w:r>
        <w:rPr>
          <w:noProof/>
        </w:rPr>
        <w:t>Oznamující provozovatel platformy bude za účelem identifikace oznamovaných prodejců provádět postupy náležité péče stanovené v příloze, oddíl II.</w:t>
      </w:r>
    </w:p>
    <w:p>
      <w:pPr>
        <w:pBdr>
          <w:top w:val="nil"/>
          <w:left w:val="nil"/>
          <w:bottom w:val="nil"/>
          <w:right w:val="nil"/>
          <w:between w:val="nil"/>
          <w:bar w:val="nil"/>
        </w:pBdr>
        <w:spacing w:before="0" w:after="240"/>
        <w:rPr>
          <w:rFonts w:eastAsia="Calibri"/>
          <w:noProof/>
        </w:rPr>
      </w:pPr>
      <w:r>
        <w:rPr>
          <w:noProof/>
        </w:rPr>
        <w:t>Odstavec B, oddíl II, stanoví konkrétní informace, které musí oznamující provozovatel platformy shromažďovat o oznamovaném prodejci. Oznamující provozovatel platformy musí ověřovat, zda jsou shromážděné údaje spolehlivé, pomocí veškerých informací a dokumentace, které má oznamující provozovatel platformy k dispozici ve svých záznamech, jakož i elektronického rozhraní bezplatně zpřístupněného členským státem nebo Unií k ověření platnosti DIČ nebo identifikačního čísla pro DPH. Alternativně může oznamující provozovatel platformy přímo potvrdit totožnost a bydliště prodejce prostřednictvím služby elektronické identifikace poskytnuté členským státem nebo Unií.</w:t>
      </w:r>
    </w:p>
    <w:p>
      <w:pPr>
        <w:pBdr>
          <w:top w:val="nil"/>
          <w:left w:val="nil"/>
          <w:bottom w:val="nil"/>
          <w:right w:val="nil"/>
          <w:between w:val="nil"/>
          <w:bar w:val="nil"/>
        </w:pBdr>
        <w:spacing w:before="0" w:after="240"/>
        <w:rPr>
          <w:rFonts w:eastAsia="Calibri"/>
          <w:noProof/>
        </w:rPr>
      </w:pPr>
      <w:r>
        <w:rPr>
          <w:noProof/>
        </w:rPr>
        <w:t xml:space="preserve">Oznamující provozovatel platformy považuje prodejce za rezidenta členského státu primární adresy prodejce. Pokud se liší od členského státu primární adresy prodejce, považuje oznamující provozovatel platformy prodejce též za rezidenta členského státu, v němž byly vydány DIČ nebo identifikační číslo pro DPH, nebo členského státu, v němž má prodejce stálou provozovnu. V případě, že oznamující provozovatel platformy používá službu elektronické identifikace poskytnutou členským státem nebo Unií, je prodejce považován za rezidenta každého členského státu potvrzeného touto službou elektronické identifikace. </w:t>
      </w:r>
    </w:p>
    <w:p>
      <w:pPr>
        <w:rPr>
          <w:noProof/>
        </w:rPr>
      </w:pPr>
      <w:r>
        <w:rPr>
          <w:noProof/>
        </w:rPr>
        <w:t>Oznamující provozovatel platformy shromáždí požadované informace, ověří je a poskytne je do 31. prosince oznamovacího období.</w:t>
      </w:r>
    </w:p>
    <w:p>
      <w:pPr>
        <w:pBdr>
          <w:top w:val="nil"/>
          <w:left w:val="nil"/>
          <w:bottom w:val="nil"/>
          <w:right w:val="nil"/>
          <w:between w:val="nil"/>
          <w:bar w:val="nil"/>
        </w:pBdr>
        <w:spacing w:before="0" w:after="240"/>
        <w:rPr>
          <w:rFonts w:eastAsia="Calibri"/>
          <w:noProof/>
        </w:rPr>
      </w:pPr>
      <w:r>
        <w:rPr>
          <w:noProof/>
        </w:rPr>
        <w:t xml:space="preserve">Oznamující provozovatel platformy se může spolehnout na postupy náležité péče provedené v předchozích oznamovacích obdobích za předpokladu, že i) požadované informace byly </w:t>
      </w:r>
      <w:r>
        <w:rPr>
          <w:noProof/>
        </w:rPr>
        <w:lastRenderedPageBreak/>
        <w:t>shromážděny nebo ověřeny během posledních 36 měsíců a ii) oznamující provozovatel platformy nemá důvod se domnívat, že shromážděné informace jsou nespolehlivé nebo nesprávné.</w:t>
      </w:r>
    </w:p>
    <w:p>
      <w:pPr>
        <w:pBdr>
          <w:top w:val="nil"/>
          <w:left w:val="nil"/>
          <w:bottom w:val="nil"/>
          <w:right w:val="nil"/>
          <w:between w:val="nil"/>
          <w:bar w:val="nil"/>
        </w:pBdr>
        <w:spacing w:before="0" w:after="240"/>
        <w:rPr>
          <w:rFonts w:eastAsia="Calibri"/>
          <w:noProof/>
        </w:rPr>
      </w:pPr>
      <w:r>
        <w:rPr>
          <w:noProof/>
        </w:rPr>
        <w:t>Oznamující provozovatel platformy může určit jiného provozovatele platformy nebo třetí stranu, aby převzali závazky s ohledem na postupy náležité péče.</w:t>
      </w:r>
    </w:p>
    <w:p>
      <w:pPr>
        <w:pBdr>
          <w:top w:val="nil"/>
          <w:left w:val="nil"/>
          <w:bottom w:val="nil"/>
          <w:right w:val="nil"/>
          <w:between w:val="nil"/>
          <w:bar w:val="nil"/>
        </w:pBdr>
        <w:rPr>
          <w:rFonts w:eastAsia="Calibri"/>
          <w:i/>
          <w:noProof/>
        </w:rPr>
      </w:pPr>
      <w:r>
        <w:rPr>
          <w:i/>
          <w:noProof/>
        </w:rPr>
        <w:t>Oznamování příslušnému orgánu</w:t>
      </w:r>
    </w:p>
    <w:p>
      <w:pPr>
        <w:spacing w:after="0"/>
        <w:rPr>
          <w:rFonts w:eastAsia="Calibri"/>
          <w:noProof/>
        </w:rPr>
      </w:pPr>
      <w:r>
        <w:rPr>
          <w:noProof/>
        </w:rPr>
        <w:t>Informace, jak byly shromážděny a ověřeny, se oznámí do jednoho měsíce po skončení oznamovacího období, ve kterém je prodejce identifikován jako oznamovaný prodejce. Oznamování se bude provádět pouze v jednom členském státu (tj. jediné oznamování) Oznamující provozovatel platformy, který je „platformou EU“, provádí oznamování v členském státě, ve kterém splňuje některou z podmínek uvedených v oddíle I odst. A bodu 3 písm. a). V případě, že splňuje kteroukoli z těchto podmínek ve více než jednom členském státě, zvolí si oznamující provozovatel platformy jeden členský stát, ve kterém bude provádět oznamování. Oznamující provozovatel platformy, který je „zahraniční platformou“, provádí oznamování v členském státě, ve kterém se zaregistroval v souladu s čl. 8ac odst. 4.</w:t>
      </w:r>
    </w:p>
    <w:p>
      <w:pPr>
        <w:spacing w:after="0"/>
        <w:rPr>
          <w:rFonts w:eastAsia="Calibri"/>
          <w:noProof/>
        </w:rPr>
      </w:pPr>
      <w:r>
        <w:rPr>
          <w:noProof/>
        </w:rPr>
        <w:t xml:space="preserve">Informace o protiplnění a dalších částkách se oznamují za čtvrtletí oznamovacího období, ve kterém bylo protiplnění zaplaceno nebo připsáno na účet. Definice protiplnění nezahrnuje žádné poplatky, provize nebo daně srážené nebo účtované oznamující platformou. </w:t>
      </w:r>
    </w:p>
    <w:p>
      <w:pPr>
        <w:tabs>
          <w:tab w:val="left" w:pos="1418"/>
        </w:tabs>
        <w:spacing w:before="240" w:after="0"/>
        <w:rPr>
          <w:rFonts w:eastAsia="Calibri"/>
          <w:noProof/>
        </w:rPr>
      </w:pPr>
      <w:r>
        <w:rPr>
          <w:noProof/>
        </w:rPr>
        <w:t>V souladu s pozměněným čl. 25 odst. 3 musí oznamující provozovatelé platforem informovat každou dotčenou osobu, že informace týkající se předmětné osoby budou shromažďovány a oznamovány orgánům podle této směrnice, a poskytnou dané osobě veškeré informace, které jsou správci údajů povinni poskytovat podle GDPR. Provozovatelé platforem musí poskytnout každému jednotlivci všechny informace a v každém případě je musí poskytnout před jejich oznámením. Toto platí, aniž by byla dotčena práva právního subjektu údajů podle GDPR.</w:t>
      </w:r>
    </w:p>
    <w:p>
      <w:pPr>
        <w:spacing w:before="240"/>
        <w:rPr>
          <w:rFonts w:eastAsia="Calibri"/>
          <w:i/>
          <w:noProof/>
        </w:rPr>
      </w:pPr>
      <w:r>
        <w:rPr>
          <w:i/>
          <w:noProof/>
        </w:rPr>
        <w:t>Automatická výměna informací oznámených provozovatelem platformy</w:t>
      </w:r>
    </w:p>
    <w:p>
      <w:pPr>
        <w:pBdr>
          <w:top w:val="nil"/>
          <w:left w:val="nil"/>
          <w:bottom w:val="nil"/>
          <w:right w:val="nil"/>
          <w:between w:val="nil"/>
          <w:bar w:val="nil"/>
        </w:pBdr>
        <w:spacing w:before="0" w:after="240"/>
        <w:rPr>
          <w:rFonts w:eastAsia="Calibri"/>
          <w:noProof/>
        </w:rPr>
      </w:pPr>
      <w:r>
        <w:rPr>
          <w:noProof/>
        </w:rPr>
        <w:t xml:space="preserve">Informace oznamované provozovateli platforem musí být sdělovány příslušnými orgány členských států, v nichž proběhlo oznamování, členským státům, v nichž je oznamovaný prodejce rezidentem ve smyslu přílohy V oddílu I odst. B bodu 3 a/nebo v nichž se nachází nemovitý majetek. Ustanovení čl. 8ac odst. 2 stanoví, které informace budou oznamovány těmto členským státům. </w:t>
      </w:r>
    </w:p>
    <w:p>
      <w:pPr>
        <w:spacing w:after="0"/>
        <w:rPr>
          <w:rFonts w:eastAsia="Calibri"/>
          <w:noProof/>
        </w:rPr>
      </w:pPr>
      <w:r>
        <w:rPr>
          <w:noProof/>
        </w:rPr>
        <w:t xml:space="preserve">Výměna informací se uskuteční do 2 měsíců od konce oznamovacího období. </w:t>
      </w:r>
    </w:p>
    <w:p>
      <w:pPr>
        <w:spacing w:after="160"/>
        <w:rPr>
          <w:rFonts w:eastAsia="Calibri"/>
          <w:noProof/>
        </w:rPr>
      </w:pPr>
      <w:r>
        <w:rPr>
          <w:noProof/>
        </w:rPr>
        <w:t>Tyto včasné výměny poskytnou správcům daně úplný soubor informací, aby bylo možné připravit předem vyplněné roční daňové výměry.</w:t>
      </w:r>
    </w:p>
    <w:p>
      <w:pPr>
        <w:pBdr>
          <w:top w:val="nil"/>
          <w:left w:val="nil"/>
          <w:bottom w:val="nil"/>
          <w:right w:val="nil"/>
          <w:between w:val="nil"/>
          <w:bar w:val="nil"/>
        </w:pBdr>
        <w:spacing w:before="0" w:after="240"/>
        <w:rPr>
          <w:rFonts w:eastAsia="Calibri"/>
          <w:noProof/>
        </w:rPr>
      </w:pPr>
      <w:r>
        <w:rPr>
          <w:noProof/>
        </w:rPr>
        <w:t>Automatická výměna informací se uskuteční elektronicky prostřednictvím společné komunikační sítě EU ve formátu XML vyvinutém Komisí.</w:t>
      </w:r>
    </w:p>
    <w:p>
      <w:pPr>
        <w:pBdr>
          <w:top w:val="nil"/>
          <w:left w:val="nil"/>
          <w:bottom w:val="nil"/>
          <w:right w:val="nil"/>
          <w:between w:val="nil"/>
          <w:bar w:val="nil"/>
        </w:pBdr>
        <w:spacing w:before="240"/>
        <w:rPr>
          <w:rFonts w:eastAsia="Calibri"/>
          <w:i/>
          <w:noProof/>
        </w:rPr>
      </w:pPr>
      <w:r>
        <w:rPr>
          <w:i/>
          <w:noProof/>
        </w:rPr>
        <w:t>Účinné zavedení a uzavření účtů prodejců</w:t>
      </w:r>
    </w:p>
    <w:p>
      <w:pPr>
        <w:pBdr>
          <w:top w:val="nil"/>
          <w:left w:val="nil"/>
          <w:bottom w:val="nil"/>
          <w:right w:val="nil"/>
          <w:between w:val="nil"/>
          <w:bar w:val="nil"/>
        </w:pBdr>
        <w:spacing w:before="0" w:after="240"/>
        <w:rPr>
          <w:rFonts w:eastAsia="Calibri"/>
          <w:noProof/>
        </w:rPr>
      </w:pPr>
      <w:r>
        <w:rPr>
          <w:noProof/>
        </w:rPr>
        <w:t>Pokud oznamovaný prodejce neposkytne požadované informace po dvou upomínkách, je oznamující provozovatel povinen uzavřít účet předmětného prodejce a zabránit prodejci v opětovné registraci k platformě na dobu šesti měsíců nebo zadržet platbu protiplnění prodejci (oddíl IV, odstavec A).</w:t>
      </w:r>
    </w:p>
    <w:p>
      <w:pPr>
        <w:pBdr>
          <w:top w:val="nil"/>
          <w:left w:val="nil"/>
          <w:bottom w:val="nil"/>
          <w:right w:val="nil"/>
          <w:between w:val="nil"/>
          <w:bar w:val="nil"/>
        </w:pBdr>
        <w:spacing w:before="240"/>
        <w:rPr>
          <w:rFonts w:eastAsia="Calibri"/>
          <w:i/>
          <w:noProof/>
        </w:rPr>
      </w:pPr>
      <w:r>
        <w:rPr>
          <w:i/>
          <w:noProof/>
        </w:rPr>
        <w:t>Účinné sankce za nedodržování předpisů na vnitrostátní úrovni</w:t>
      </w:r>
    </w:p>
    <w:p>
      <w:pPr>
        <w:rPr>
          <w:rFonts w:eastAsia="Calibri"/>
          <w:noProof/>
        </w:rPr>
      </w:pPr>
      <w:r>
        <w:rPr>
          <w:noProof/>
        </w:rPr>
        <w:lastRenderedPageBreak/>
        <w:t>Článek 25a o sankcích se mění tak, aby zahrnoval informace oznamované provozovateli platformy v souladu s článkem 8ac. Cílem je zajistit, aby členské státy stanovily sankce pro případy, kdy nebudou splněny povinnosti stanovené v této směrnici. Stanovené sankce musí být účinné, přiměřené a odrazující.</w:t>
      </w:r>
    </w:p>
    <w:p>
      <w:pPr>
        <w:rPr>
          <w:b/>
          <w:noProof/>
        </w:rPr>
      </w:pPr>
      <w:r>
        <w:rPr>
          <w:b/>
          <w:noProof/>
        </w:rPr>
        <w:t>iii) Správní spolupráce</w:t>
      </w:r>
    </w:p>
    <w:p>
      <w:pPr>
        <w:pStyle w:val="ManualHeading2"/>
        <w:rPr>
          <w:rFonts w:eastAsia="Arial Unicode MS"/>
          <w:noProof/>
          <w:u w:color="000000"/>
          <w:bdr w:val="nil"/>
        </w:rPr>
      </w:pPr>
      <w:r>
        <w:rPr>
          <w:noProof/>
          <w:u w:color="000000"/>
          <w:bdr w:val="nil"/>
        </w:rPr>
        <w:t>•</w:t>
      </w:r>
      <w:r>
        <w:rPr>
          <w:noProof/>
        </w:rPr>
        <w:tab/>
      </w:r>
      <w:r>
        <w:rPr>
          <w:noProof/>
          <w:u w:color="000000"/>
          <w:bdr w:val="nil"/>
        </w:rPr>
        <w:t>Přítomnost úředníků členského státu během šetření v jiném členském státě</w:t>
      </w:r>
    </w:p>
    <w:p>
      <w:pPr>
        <w:rPr>
          <w:noProof/>
        </w:rPr>
      </w:pPr>
      <w:r>
        <w:rPr>
          <w:noProof/>
        </w:rPr>
        <w:t>Změna čl. 11 odst. 1 zavádí povinnost dožádaného příslušného orgánu odpovědět na žádost o přítomnost úředníka jiného členského státu během šetření. Lhůta na odpověď je 30 dní na potvrzení souhlasu nebo odůvodněného odmítnutí dožadujícího orgánu.</w:t>
      </w:r>
    </w:p>
    <w:p>
      <w:pPr>
        <w:rPr>
          <w:noProof/>
        </w:rPr>
      </w:pPr>
      <w:r>
        <w:rPr>
          <w:noProof/>
        </w:rPr>
        <w:t>Ustanovení čl. 11 odst. 2 ve znění pozdějších předpisů umožňuje provádět pohovory s jednotlivci a zkoumat záznamy bez omezení vnitrostátními právními předpisy dožádaného členského státu. S cílem využívat nové způsoby komunikace byla také přidána možnost účastnit se správního šetření pomocí elektronických komunikačních prostředků.</w:t>
      </w:r>
    </w:p>
    <w:p>
      <w:pPr>
        <w:pStyle w:val="ManualHeading2"/>
        <w:rPr>
          <w:rFonts w:eastAsia="Arial Unicode MS"/>
          <w:noProof/>
          <w:u w:color="000000"/>
          <w:bdr w:val="nil"/>
        </w:rPr>
      </w:pPr>
      <w:r>
        <w:rPr>
          <w:noProof/>
          <w:u w:color="000000"/>
          <w:bdr w:val="nil"/>
        </w:rPr>
        <w:t>•</w:t>
      </w:r>
      <w:r>
        <w:rPr>
          <w:noProof/>
        </w:rPr>
        <w:tab/>
      </w:r>
      <w:r>
        <w:rPr>
          <w:noProof/>
          <w:u w:color="000000"/>
          <w:bdr w:val="nil"/>
        </w:rPr>
        <w:t>Souběžné kontroly</w:t>
      </w:r>
    </w:p>
    <w:p>
      <w:pPr>
        <w:rPr>
          <w:noProof/>
        </w:rPr>
      </w:pPr>
      <w:r>
        <w:rPr>
          <w:noProof/>
        </w:rPr>
        <w:t>Ustanovení čl. 12 odst. 3 bylo změněno tak, aby byla stanovena 30denní lhůta, během níž musí dožádané orgány reagovat na návrh na souběžnou kontrolu.</w:t>
      </w:r>
    </w:p>
    <w:p>
      <w:pPr>
        <w:pStyle w:val="ManualHeading2"/>
        <w:rPr>
          <w:rFonts w:eastAsia="Arial Unicode MS"/>
          <w:noProof/>
          <w:u w:color="000000"/>
          <w:bdr w:val="nil"/>
        </w:rPr>
      </w:pPr>
      <w:r>
        <w:rPr>
          <w:noProof/>
          <w:u w:color="000000"/>
          <w:bdr w:val="nil"/>
        </w:rPr>
        <w:t>•</w:t>
      </w:r>
      <w:r>
        <w:rPr>
          <w:noProof/>
        </w:rPr>
        <w:tab/>
      </w:r>
      <w:r>
        <w:rPr>
          <w:noProof/>
          <w:u w:color="000000"/>
          <w:bdr w:val="nil"/>
        </w:rPr>
        <w:t>Společné audity</w:t>
      </w:r>
    </w:p>
    <w:p>
      <w:pPr>
        <w:pBdr>
          <w:top w:val="nil"/>
          <w:left w:val="nil"/>
          <w:bottom w:val="nil"/>
          <w:right w:val="nil"/>
          <w:between w:val="nil"/>
          <w:bar w:val="nil"/>
        </w:pBdr>
        <w:spacing w:after="240"/>
        <w:rPr>
          <w:rFonts w:eastAsia="Calibri"/>
          <w:noProof/>
        </w:rPr>
      </w:pPr>
      <w:r>
        <w:rPr>
          <w:noProof/>
        </w:rPr>
        <w:t>Do směrnice se vkládá oddíl IIa, který stanoví explicitní a jasný právní rámec provádění společných auditů mezi dvěma nebo více členskými státy.</w:t>
      </w:r>
    </w:p>
    <w:p>
      <w:pPr>
        <w:pBdr>
          <w:top w:val="nil"/>
          <w:left w:val="nil"/>
          <w:bottom w:val="nil"/>
          <w:right w:val="nil"/>
          <w:between w:val="nil"/>
          <w:bar w:val="nil"/>
        </w:pBdr>
        <w:spacing w:after="240"/>
        <w:rPr>
          <w:rFonts w:eastAsia="Calibri"/>
          <w:noProof/>
        </w:rPr>
      </w:pPr>
      <w:r>
        <w:rPr>
          <w:noProof/>
        </w:rPr>
        <w:t>Čl. 12a odst. 1 zahrnuje definici toho, co je společný audit: správní šetření prováděné společně příslušnými orgány dvou nebo více členských států. Příslušné orgány zúčastněných členských států postupují předem dohodnutým a koordinovaným způsobem za účelem přezkoumání případu spojeného s jednou nebo více osobami společného nebo doplňkového zájmu.</w:t>
      </w:r>
    </w:p>
    <w:p>
      <w:pPr>
        <w:pBdr>
          <w:top w:val="nil"/>
          <w:left w:val="nil"/>
          <w:bottom w:val="nil"/>
          <w:right w:val="nil"/>
          <w:between w:val="nil"/>
          <w:bar w:val="nil"/>
        </w:pBdr>
        <w:spacing w:after="240"/>
        <w:contextualSpacing/>
        <w:rPr>
          <w:rFonts w:eastAsia="Calibri"/>
          <w:i/>
          <w:noProof/>
        </w:rPr>
      </w:pPr>
      <w:r>
        <w:rPr>
          <w:i/>
          <w:noProof/>
        </w:rPr>
        <w:t>Žádost o společný audit</w:t>
      </w:r>
    </w:p>
    <w:p>
      <w:pPr>
        <w:pStyle w:val="ListDash1"/>
        <w:rPr>
          <w:rFonts w:eastAsia="Calibri"/>
          <w:noProof/>
        </w:rPr>
      </w:pPr>
      <w:r>
        <w:rPr>
          <w:noProof/>
        </w:rPr>
        <w:t>Příslušným orgánem členského státu</w:t>
      </w:r>
    </w:p>
    <w:p>
      <w:pPr>
        <w:pBdr>
          <w:top w:val="nil"/>
          <w:left w:val="nil"/>
          <w:bottom w:val="nil"/>
          <w:right w:val="nil"/>
          <w:between w:val="nil"/>
          <w:bar w:val="nil"/>
        </w:pBdr>
        <w:spacing w:after="240"/>
        <w:rPr>
          <w:rFonts w:eastAsia="Calibri"/>
          <w:noProof/>
        </w:rPr>
      </w:pPr>
      <w:r>
        <w:rPr>
          <w:noProof/>
        </w:rPr>
        <w:t>Ustanovení čl. 12a odst. 2 se týká situace, kdy příslušný orgán členského státu požaduje, aby příslušný orgán jiného členského státu provedl společný audit. Dožádaný orgán je povinen odpovědět na žádost do 30 dnů od obdržení žádosti.</w:t>
      </w:r>
    </w:p>
    <w:p>
      <w:pPr>
        <w:pBdr>
          <w:top w:val="nil"/>
          <w:left w:val="nil"/>
          <w:bottom w:val="nil"/>
          <w:right w:val="nil"/>
          <w:between w:val="nil"/>
          <w:bar w:val="nil"/>
        </w:pBdr>
        <w:spacing w:after="240"/>
        <w:rPr>
          <w:rFonts w:eastAsia="Calibri"/>
          <w:noProof/>
        </w:rPr>
      </w:pPr>
      <w:r>
        <w:rPr>
          <w:noProof/>
        </w:rPr>
        <w:t xml:space="preserve">Žádost může být zamítnuta z oprávněných důvodů. V čl. 12a odst. 3 je uveden demonstrativní seznam důvodů zamítnutí. </w:t>
      </w:r>
    </w:p>
    <w:p>
      <w:pPr>
        <w:pStyle w:val="ListDash1"/>
        <w:rPr>
          <w:rFonts w:eastAsia="Calibri"/>
          <w:noProof/>
        </w:rPr>
      </w:pPr>
      <w:r>
        <w:rPr>
          <w:noProof/>
        </w:rPr>
        <w:t>V případě osoby</w:t>
      </w:r>
    </w:p>
    <w:p>
      <w:pPr>
        <w:rPr>
          <w:rFonts w:eastAsia="Calibri"/>
          <w:noProof/>
        </w:rPr>
      </w:pPr>
      <w:r>
        <w:rPr>
          <w:noProof/>
        </w:rPr>
        <w:t>Čl. 12a odst. 4 se zabývá situací, kdy určitá osoba požádá příslušný orgán dvou nebo více členských států o společné provedení auditu. Dožádané orgány musí na žádost odpovědět do 30 dnů od obdržení žádosti.</w:t>
      </w:r>
    </w:p>
    <w:p>
      <w:pPr>
        <w:rPr>
          <w:rFonts w:eastAsia="Calibri"/>
          <w:noProof/>
        </w:rPr>
      </w:pPr>
      <w:r>
        <w:rPr>
          <w:noProof/>
        </w:rPr>
        <w:t>Žádost může být zamítnuta a důvody odmítnutí musí být oznámeny požadující osobě.</w:t>
      </w:r>
    </w:p>
    <w:p>
      <w:pPr>
        <w:rPr>
          <w:rFonts w:eastAsia="Calibri"/>
          <w:noProof/>
        </w:rPr>
      </w:pPr>
      <w:r>
        <w:rPr>
          <w:noProof/>
        </w:rPr>
        <w:t xml:space="preserve">Význam pojmu osoba je definován v článku 3 směrnice 2011/16/EU. </w:t>
      </w:r>
    </w:p>
    <w:p>
      <w:pPr>
        <w:pBdr>
          <w:top w:val="nil"/>
          <w:left w:val="nil"/>
          <w:bottom w:val="nil"/>
          <w:right w:val="nil"/>
          <w:between w:val="nil"/>
          <w:bar w:val="nil"/>
        </w:pBdr>
        <w:spacing w:before="0"/>
        <w:rPr>
          <w:rFonts w:eastAsia="Calibri"/>
          <w:i/>
          <w:noProof/>
        </w:rPr>
      </w:pPr>
      <w:r>
        <w:rPr>
          <w:i/>
          <w:noProof/>
        </w:rPr>
        <w:t>Řízení</w:t>
      </w:r>
    </w:p>
    <w:p>
      <w:pPr>
        <w:rPr>
          <w:rFonts w:eastAsia="Calibri"/>
          <w:noProof/>
        </w:rPr>
      </w:pPr>
      <w:r>
        <w:rPr>
          <w:noProof/>
        </w:rPr>
        <w:t xml:space="preserve">Ustanovení čl. 12a odst. 5 objasňuje, že výměna informací týkajících se obchodního, průmyslového nebo profesního tajemství nebo obchodního procesu nebo informací, jejichž </w:t>
      </w:r>
      <w:r>
        <w:rPr>
          <w:noProof/>
        </w:rPr>
        <w:lastRenderedPageBreak/>
        <w:t>zpřístupnění by bylo v rozporu s veřejným pořádkem, by neměla být v rámci společného auditu odmítnuta. Tyto vyměňované informace by však měly zůstat mezi zúčastněnými příslušnými orgány důvěrné a neměly by být zpřístupněny třetím stranám.</w:t>
      </w:r>
    </w:p>
    <w:p>
      <w:pPr>
        <w:rPr>
          <w:rFonts w:eastAsia="Calibri"/>
          <w:noProof/>
        </w:rPr>
      </w:pPr>
      <w:r>
        <w:rPr>
          <w:noProof/>
        </w:rPr>
        <w:t xml:space="preserve">Ustanovení článku 12a odst. 6 stanoví, že společný audit se provádí v souladu s procesními dohodami platnými v členském státě, v němž se provádí činnosti příslušného auditu. Důkazy shromážděné během společného auditu by měly vzájemně uznávat všechny příslušné orgány zúčastněného členského státu/zúčastněných členských států. </w:t>
      </w:r>
    </w:p>
    <w:p>
      <w:pPr>
        <w:spacing w:after="0"/>
        <w:rPr>
          <w:rFonts w:eastAsia="Calibri"/>
          <w:noProof/>
        </w:rPr>
      </w:pPr>
      <w:r>
        <w:rPr>
          <w:noProof/>
        </w:rPr>
        <w:t>Ustanovení článku 12a odst. 10 se zabývá jazykovými režimy pro společné audity a údaji o tom, že budou dohodnuty zúčastněnými členskými státy.</w:t>
      </w:r>
    </w:p>
    <w:p>
      <w:pPr>
        <w:spacing w:before="240"/>
        <w:ind w:left="709" w:hanging="709"/>
        <w:rPr>
          <w:rFonts w:eastAsia="Calibri"/>
          <w:i/>
          <w:noProof/>
        </w:rPr>
      </w:pPr>
      <w:r>
        <w:rPr>
          <w:i/>
          <w:noProof/>
        </w:rPr>
        <w:t>Závěrečná zpráva</w:t>
      </w:r>
    </w:p>
    <w:p>
      <w:pPr>
        <w:rPr>
          <w:rFonts w:eastAsia="Calibri"/>
          <w:noProof/>
        </w:rPr>
      </w:pPr>
      <w:r>
        <w:rPr>
          <w:noProof/>
        </w:rPr>
        <w:t xml:space="preserve">Ustanovení čl. 12a odst. 7 stanoví příslušným orgánům zúčastněných členských států povinnost dohodnout se na skutečnostech a okolnostech šetřeného případu a vyzývá příslušné orgány členských států, aby usilovaly o dosažení dohody o tom, jak interpretovat daňové postavení dotčené auditované osoby (osob). Závěry společného auditu musí být předloženy v závěrečné zprávě. Závěrečná zpráva ze společného auditu by měla mít stejnou právní hodnotu jako příslušné vnitrostátní nástroje, které jsou v zúčastněných členských státech vydávány na základě auditu. </w:t>
      </w:r>
    </w:p>
    <w:p>
      <w:pPr>
        <w:rPr>
          <w:rFonts w:eastAsia="Calibri"/>
          <w:noProof/>
        </w:rPr>
      </w:pPr>
      <w:r>
        <w:rPr>
          <w:noProof/>
        </w:rPr>
        <w:t>V souladu s článkem 12a odst. 9 by měly být výsledek společného auditu a závěrečná zpráva oznámeny auditované osobě/auditovaným osobám do 30 dnů od vydání závěrečné zprávy.</w:t>
      </w:r>
    </w:p>
    <w:p>
      <w:pPr>
        <w:spacing w:before="240"/>
        <w:rPr>
          <w:rFonts w:eastAsia="Calibri"/>
          <w:i/>
          <w:noProof/>
        </w:rPr>
      </w:pPr>
      <w:r>
        <w:rPr>
          <w:i/>
          <w:noProof/>
        </w:rPr>
        <w:t>Odpovídající úprava</w:t>
      </w:r>
    </w:p>
    <w:p>
      <w:pPr>
        <w:rPr>
          <w:rFonts w:eastAsia="Calibri"/>
          <w:noProof/>
        </w:rPr>
      </w:pPr>
      <w:r>
        <w:rPr>
          <w:noProof/>
        </w:rPr>
        <w:t>Ustanovení článku 12a odst. 8 stanoví pro členské státy povinnost, v souladu s níž musí členské státy při provádění směrnice zajistit právní rámec, který jim umožní provádět odpovídající úpravy.</w:t>
      </w:r>
    </w:p>
    <w:p>
      <w:pPr>
        <w:rPr>
          <w:b/>
          <w:noProof/>
        </w:rPr>
      </w:pPr>
      <w:r>
        <w:rPr>
          <w:b/>
          <w:noProof/>
        </w:rPr>
        <w:t>iv) Ostatní ustanovení</w:t>
      </w:r>
    </w:p>
    <w:p>
      <w:pPr>
        <w:pStyle w:val="ManualHeading2"/>
        <w:rPr>
          <w:rFonts w:eastAsia="Arial Unicode MS"/>
          <w:noProof/>
          <w:u w:color="000000"/>
          <w:bdr w:val="nil"/>
        </w:rPr>
      </w:pPr>
      <w:r>
        <w:rPr>
          <w:noProof/>
          <w:u w:color="000000"/>
          <w:bdr w:val="nil"/>
        </w:rPr>
        <w:t>•</w:t>
      </w:r>
      <w:r>
        <w:rPr>
          <w:noProof/>
        </w:rPr>
        <w:tab/>
      </w:r>
      <w:r>
        <w:rPr>
          <w:noProof/>
          <w:u w:color="000000"/>
          <w:bdr w:val="nil"/>
        </w:rPr>
        <w:t>Využívání vyměňovaných informací</w:t>
      </w:r>
    </w:p>
    <w:p>
      <w:pPr>
        <w:rPr>
          <w:noProof/>
        </w:rPr>
      </w:pPr>
      <w:r>
        <w:rPr>
          <w:noProof/>
        </w:rPr>
        <w:t>Článek 16 odst. 1 se mění s cílem objasnit, že informace vyměňované podle této směrnice lze použít ke správě, vyměření a vymáhání DPH a jiných nepřímých daní.</w:t>
      </w:r>
    </w:p>
    <w:p>
      <w:pPr>
        <w:pStyle w:val="ManualHeading2"/>
        <w:rPr>
          <w:rFonts w:eastAsia="Arial Unicode MS"/>
          <w:noProof/>
          <w:u w:color="000000"/>
          <w:bdr w:val="nil"/>
        </w:rPr>
      </w:pPr>
      <w:r>
        <w:rPr>
          <w:noProof/>
          <w:u w:color="000000"/>
          <w:bdr w:val="nil"/>
        </w:rPr>
        <w:t>•</w:t>
      </w:r>
      <w:r>
        <w:rPr>
          <w:noProof/>
        </w:rPr>
        <w:tab/>
      </w:r>
      <w:r>
        <w:rPr>
          <w:noProof/>
          <w:u w:color="000000"/>
          <w:bdr w:val="nil"/>
        </w:rPr>
        <w:t>Povinné sdělení výsledků vyhodnocení</w:t>
      </w:r>
    </w:p>
    <w:p>
      <w:pPr>
        <w:rPr>
          <w:noProof/>
        </w:rPr>
      </w:pPr>
      <w:r>
        <w:rPr>
          <w:noProof/>
        </w:rPr>
        <w:t>Článek 23 odst. 2 se mění tak, aby členským státům ukládal povinnost přezkoumat a vyhodnotit ve své jurisdikci účinnost správní spolupráce podle směrnice a každoročně oznámit Komisi výsledky svého vyhodnocení.</w:t>
      </w:r>
    </w:p>
    <w:p>
      <w:pPr>
        <w:pStyle w:val="ManualHeading2"/>
        <w:rPr>
          <w:rFonts w:eastAsia="Arial Unicode MS"/>
          <w:noProof/>
          <w:u w:color="000000"/>
          <w:bdr w:val="nil"/>
        </w:rPr>
      </w:pPr>
      <w:r>
        <w:rPr>
          <w:noProof/>
          <w:u w:color="000000"/>
          <w:bdr w:val="nil"/>
        </w:rPr>
        <w:t>•</w:t>
      </w:r>
      <w:r>
        <w:rPr>
          <w:noProof/>
        </w:rPr>
        <w:tab/>
      </w:r>
      <w:r>
        <w:rPr>
          <w:noProof/>
          <w:u w:color="000000"/>
          <w:bdr w:val="nil"/>
        </w:rPr>
        <w:t>Pozastavení výměny</w:t>
      </w:r>
    </w:p>
    <w:p>
      <w:pPr>
        <w:tabs>
          <w:tab w:val="left" w:pos="1418"/>
        </w:tabs>
        <w:spacing w:after="0"/>
        <w:contextualSpacing/>
        <w:rPr>
          <w:rFonts w:eastAsia="Calibri"/>
          <w:noProof/>
        </w:rPr>
      </w:pPr>
      <w:r>
        <w:rPr>
          <w:noProof/>
        </w:rPr>
        <w:t>Čl. 25 odst. 5 umožňuje členským státům zmírnit rizika porušení ochrany údajů v souvislosti s výměnou informací. V případě porušení ochrany osobních údajů mohou příslušné orgány členských států jakožto společní správci údajů rozhodnout, že požádají Komisi o pozastavení výměny informací s členským státem (členskými státy), kde k porušení došlo.</w:t>
      </w:r>
    </w:p>
    <w:p>
      <w:pPr>
        <w:rPr>
          <w:rFonts w:eastAsia="Calibri"/>
          <w:noProof/>
        </w:rPr>
      </w:pPr>
      <w:r>
        <w:rPr>
          <w:noProof/>
        </w:rPr>
        <w:t xml:space="preserve">Komise obnoví proces výměny informací poté, co příslušné orgány požádají Komisi, aby opět umožnila výměnu informací podle této směrnice s členským státem, v němž k porušení došlo. </w:t>
      </w:r>
    </w:p>
    <w:p>
      <w:pPr>
        <w:rPr>
          <w:noProof/>
        </w:rPr>
      </w:pPr>
      <w:r>
        <w:rPr>
          <w:noProof/>
        </w:rPr>
        <w:t>Toto pozastavení přichází navíc k opatřením požadovaným podle GDPR k řešení porušení ochrany osobních údajů.</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2020/0148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2011/16/EU o správní spolupráci v oblasti daní</w:t>
      </w:r>
    </w:p>
    <w:p>
      <w:pPr>
        <w:pStyle w:val="Institutionquiagit"/>
        <w:rPr>
          <w:noProof/>
        </w:rPr>
      </w:pPr>
      <w:r>
        <w:rPr>
          <w:noProof/>
        </w:rPr>
        <w:t>RADA EVROPSKÉ UNIE,</w:t>
      </w:r>
    </w:p>
    <w:p>
      <w:pPr>
        <w:rPr>
          <w:noProof/>
        </w:rPr>
      </w:pPr>
      <w:r>
        <w:rPr>
          <w:noProof/>
        </w:rPr>
        <w:t>s ohledem na Smlouvu o fungování Evropské unie, a zejména na články 113 a 115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9"/>
      </w:r>
      <w:r>
        <w:rPr>
          <w:noProof/>
        </w:rPr>
        <w:t xml:space="preserve">, </w:t>
      </w:r>
    </w:p>
    <w:p>
      <w:pPr>
        <w:rPr>
          <w:noProof/>
        </w:rPr>
      </w:pPr>
      <w:r>
        <w:rPr>
          <w:noProof/>
        </w:rPr>
        <w:t>s ohledem na stanovisko Evropského hospodářského a sociálního výboru</w:t>
      </w:r>
      <w:r>
        <w:rPr>
          <w:rStyle w:val="FootnoteReference"/>
          <w:noProof/>
        </w:rPr>
        <w:footnoteReference w:id="20"/>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rPr>
          <w:noProof/>
        </w:rPr>
        <w:t>(1)</w:t>
      </w:r>
      <w:r>
        <w:rPr>
          <w:noProof/>
        </w:rPr>
        <w:tab/>
        <w:t>S cílem vyhovět novým iniciativám Unie v oblasti daňové transparentnosti byla směrnice Rady 2011/16/EU</w:t>
      </w:r>
      <w:r>
        <w:rPr>
          <w:rStyle w:val="FootnoteReference"/>
          <w:noProof/>
        </w:rPr>
        <w:footnoteReference w:id="21"/>
      </w:r>
      <w:r>
        <w:rPr>
          <w:noProof/>
        </w:rPr>
        <w:t xml:space="preserve"> v posledních letech předmětem řady změn. Tyto změny zaváděly zejména oznamovací povinnosti, po nichž následovala komunikace s ostatními členskými státy týkající se finančních účtů, předběžných daňových rozhodnutí s přeshraničním prvkem a předběžného posouzení převodních cen, oznamování podle jednotlivých zemí a přeshraničních uspořádání podléhajících oznamování. Uvedené změny rozšířily tímto způsobem rozsah automatické výměny informací. Správci daně mají nyní k dispozici širší soubor nástrojů spolupráce, které odhalují a řeší formy daňových podvodů, daňových úniků a vyhýbání se daňovým povinnostem.</w:t>
      </w:r>
    </w:p>
    <w:p>
      <w:pPr>
        <w:pStyle w:val="ManualConsidrant"/>
        <w:rPr>
          <w:noProof/>
        </w:rPr>
      </w:pPr>
      <w:r>
        <w:rPr>
          <w:noProof/>
        </w:rPr>
        <w:t>(2)</w:t>
      </w:r>
      <w:r>
        <w:rPr>
          <w:noProof/>
        </w:rPr>
        <w:tab/>
        <w:t>V uplynulých letech Komise monitorovala uplatňování a v roce 2019 dokončila vyhodnocení směrnice 2011/16/EU</w:t>
      </w:r>
      <w:r>
        <w:rPr>
          <w:rStyle w:val="FootnoteReference"/>
          <w:noProof/>
        </w:rPr>
        <w:footnoteReference w:id="22"/>
      </w:r>
      <w:r>
        <w:rPr>
          <w:rStyle w:val="Marker11"/>
          <w:noProof/>
        </w:rPr>
        <w:t xml:space="preserve">. </w:t>
      </w:r>
      <w:r>
        <w:rPr>
          <w:noProof/>
        </w:rPr>
        <w:t>Přestože bylo v oblasti automatické výměny informací dosaženo významného zlepšení, stále je třeba zlepšit stávající ustanovení, která se týkají všech forem výměny informací a správní spolupráce.</w:t>
      </w:r>
    </w:p>
    <w:p>
      <w:pPr>
        <w:pStyle w:val="ManualConsidrant"/>
        <w:rPr>
          <w:noProof/>
        </w:rPr>
      </w:pPr>
      <w:r>
        <w:rPr>
          <w:noProof/>
        </w:rPr>
        <w:t>(3)</w:t>
      </w:r>
      <w:r>
        <w:rPr>
          <w:noProof/>
        </w:rPr>
        <w:tab/>
        <w:t xml:space="preserve">Podle článku 5 směrnice 2011/16/EU sdělí dožádaný orgán na žádost dožadujícího orgánu předmětnému dožadujícímu orgánu veškeré informace, které má k dispozici, nebo které získá v důsledku správního šetření, které jsou předvídatelně relevantní pro správu a prosazování vnitrostátních právních předpisů členských států týkajících se daní, spadajících do oblasti působnosti uvedené směrnice. Aby byla zajištěna účinnost výměny informací a zamezilo se neodůvodněnému zamítnutí žádostí a aby byla zajištěna právní srozumitelnost a jistota jak pro správce daně, tak pro daňové </w:t>
      </w:r>
      <w:r>
        <w:rPr>
          <w:noProof/>
        </w:rPr>
        <w:lastRenderedPageBreak/>
        <w:t xml:space="preserve">poplatníky, měl by být jasně stanoven předpokládaný význam. V této souvislosti musí být rovněž objasněno, že se úroveň předpokládaného významu nemůže vztahovat na žádosti o další informace po výměně informací v souladu s článkem 8a směrnice 2011/16/EU týkající se předběžného daňového rozhodnutí s přeshraničním prvkem nebo předběžného posouzení převodních cen. </w:t>
      </w:r>
    </w:p>
    <w:p>
      <w:pPr>
        <w:pStyle w:val="ManualConsidrant"/>
        <w:rPr>
          <w:noProof/>
        </w:rPr>
      </w:pPr>
      <w:r>
        <w:rPr>
          <w:noProof/>
        </w:rPr>
        <w:t>(4)</w:t>
      </w:r>
      <w:r>
        <w:rPr>
          <w:noProof/>
        </w:rPr>
        <w:tab/>
        <w:t xml:space="preserve">Z praktických zkušeností správců daně někdy vyplývá potřeba zabývat se žádostmi o informace, které se týkají skupin daňových poplatníků, kteří nemohou být identifikováni jednotlivě, ale lze je spíše popsat pouze na základě společného souboru charakteristik. Vzhledem k tomu je nezbytné poskytnout správcům daně možnost podávat skupinové žádosti o informace. </w:t>
      </w:r>
    </w:p>
    <w:p>
      <w:pPr>
        <w:pStyle w:val="ManualConsidrant"/>
        <w:rPr>
          <w:noProof/>
        </w:rPr>
      </w:pPr>
      <w:r>
        <w:rPr>
          <w:noProof/>
        </w:rPr>
        <w:t>(5)</w:t>
      </w:r>
      <w:r>
        <w:rPr>
          <w:noProof/>
        </w:rPr>
        <w:tab/>
        <w:t>Je důležité, aby si členské státy vyměňovaly informace týkající se příjmů pocházejících z duševního vlastnictví, protože ty jsou vzhledem k vysoce mobilním podkladovým aktivům náchylné na přesouvání zisku. Proto by licenční poplatky měly být zahrnuty do kategorií příjmů podléhajících povinné automatické výměně informací s cílem zlepšit boj proti daňovým podvodům, daňovým únikům a vyhýbání se daňovým povinnostem.</w:t>
      </w:r>
    </w:p>
    <w:p>
      <w:pPr>
        <w:pStyle w:val="ManualConsidrant"/>
        <w:rPr>
          <w:noProof/>
        </w:rPr>
      </w:pPr>
      <w:r>
        <w:rPr>
          <w:noProof/>
        </w:rPr>
        <w:t>(6)</w:t>
      </w:r>
      <w:r>
        <w:rPr>
          <w:noProof/>
        </w:rPr>
        <w:tab/>
        <w:t>Digitalizace hospodářství v posledních letech rychle rostla. To vedlo k rostoucímu počtu složitých situací spojených s daňovými úniky. Přeshraniční rozměr služeb nabízených prostřednictvím provozovatelů digitálních platforem vytvořil složité prostředí, ve kterém může být náročné prosazovat daňová pravidla a zajistit dodržování daňových předpisů. Dodržování daňových předpisů není optimální a hodnota nevykázaných příjmů je významná. Správci daně členských států nemají dostatečné informace, aby mohli správně posoudit a kontrolovat hrubý příjem dosažený v jejich zemi z obchodních činností prováděných prostřednictvím digitálních platforem. To je obzvláště problematické v případech, kdy příjmy nebo základ daně putují prostřednictvím platforem zřízených v jiné jurisdikci.</w:t>
      </w:r>
    </w:p>
    <w:p>
      <w:pPr>
        <w:pStyle w:val="ManualConsidrant"/>
        <w:rPr>
          <w:noProof/>
        </w:rPr>
      </w:pPr>
      <w:r>
        <w:rPr>
          <w:noProof/>
        </w:rPr>
        <w:t>(7)</w:t>
      </w:r>
      <w:r>
        <w:rPr>
          <w:noProof/>
        </w:rPr>
        <w:tab/>
        <w:t>Správci daně často požadují informace od provozovatelů digitálních platforem. To provozovatelům platforem způsobuje významné administrativní náklady a náklady na dodržování daňových předpisů. Některé členské státy zároveň uložily jednostranné povinné oznamování, což vytváří pro provozovatele platforem další administrativní zátěž, neboť ti musí splňovat množství vnitrostátních standardů týkajících se oznamování. Proto by bylo nezbytné, aby se na vnitřním trhu uplatňovala standardizované povinné oznamování.</w:t>
      </w:r>
    </w:p>
    <w:p>
      <w:pPr>
        <w:pStyle w:val="ManualConsidrant"/>
        <w:rPr>
          <w:noProof/>
        </w:rPr>
      </w:pPr>
      <w:r>
        <w:rPr>
          <w:noProof/>
        </w:rPr>
        <w:t>(8)</w:t>
      </w:r>
      <w:r>
        <w:rPr>
          <w:noProof/>
        </w:rPr>
        <w:tab/>
        <w:t xml:space="preserve">Vzhledem k tomu, že většina příjmů nebo základů daně prodejců na digitálních platformách putuje přes hranice, by oznamování informací týkajících se příslušné činnosti přineslo další pozitivní výsledky, pokud by zjištění byla sdělena také členským státům, které by byly oprávněny zdanit dosažený výnos. Zejména automatická výměna informací mezi správci daně je nezbytná, aby se těmto orgánům dostaly potřebné informace s cílem umožnit jim odpovídajícím způsobem vyměřit daň z příjmů a DPH. </w:t>
      </w:r>
    </w:p>
    <w:p>
      <w:pPr>
        <w:pStyle w:val="ManualConsidrant"/>
        <w:rPr>
          <w:noProof/>
        </w:rPr>
      </w:pPr>
      <w:r>
        <w:rPr>
          <w:noProof/>
        </w:rPr>
        <w:t>(9)</w:t>
      </w:r>
      <w:r>
        <w:rPr>
          <w:noProof/>
        </w:rPr>
        <w:tab/>
        <w:t xml:space="preserve">Aby bylo zajištěno řádné fungování vnitřního trhu, měla by být pravidla oznamování účinná, ale jednoduchá. Vzhledem k obtížím při odhalování uskutečnění zdanitelného plnění, ke kterým dochází při provádění obchodní činnosti umožněné prostřednictvím digitálních platforem, a také s ohledem na další administrativní zátěž, které by správci daně v takovém případě musely čelit, je nezbytné uložit provozovatelům platforem povinné oznamování. Provozovatelé platforem mají lepší pozici ke shromažďování a ověřování nezbytných informací o všech prodejcích, kteří pracují na konkrétní platformě a využívají ji. </w:t>
      </w:r>
    </w:p>
    <w:p>
      <w:pPr>
        <w:pStyle w:val="ManualConsidrant"/>
        <w:rPr>
          <w:noProof/>
        </w:rPr>
      </w:pPr>
      <w:r>
        <w:rPr>
          <w:noProof/>
        </w:rPr>
        <w:lastRenderedPageBreak/>
        <w:t>(10)</w:t>
      </w:r>
      <w:r>
        <w:rPr>
          <w:noProof/>
        </w:rPr>
        <w:tab/>
        <w:t>Vzhledem k širokému využívání digitálních platforem při provádění obchodních činností jednotlivci i právními subjekty je zásadní zajistit, aby informace byly povinně oznamované bez ohledu na právní povahu prodejce. Výjimka by však měla být stanovena pro vládní subjekty, kterých by se oznamovací povinnost neměla týkat.</w:t>
      </w:r>
    </w:p>
    <w:p>
      <w:pPr>
        <w:pStyle w:val="ManualConsidrant"/>
        <w:rPr>
          <w:noProof/>
        </w:rPr>
      </w:pPr>
      <w:r>
        <w:rPr>
          <w:noProof/>
        </w:rPr>
        <w:t>(11)</w:t>
      </w:r>
      <w:r>
        <w:rPr>
          <w:noProof/>
        </w:rPr>
        <w:tab/>
        <w:t>Oznamování příjmů dosažených prostřednictvím těchto činností by mělo správcům daně poskytnout komplexní soubor informací nezbytných k řádnému vyměření splatné daně z příjmu.</w:t>
      </w:r>
    </w:p>
    <w:p>
      <w:pPr>
        <w:pStyle w:val="ManualConsidrant"/>
        <w:rPr>
          <w:noProof/>
        </w:rPr>
      </w:pPr>
      <w:r>
        <w:rPr>
          <w:noProof/>
        </w:rPr>
        <w:t>(12)</w:t>
      </w:r>
      <w:r>
        <w:rPr>
          <w:noProof/>
        </w:rPr>
        <w:tab/>
        <w:t>V zájmu zjednodušení a zmírnění nákladů na dodržování předpisů by bylo rozumné požadovat, aby provozovatelé platforem oznamovali příjmy, kterých prodejci dosáhli použitím platformy v jednom členském státě.</w:t>
      </w:r>
    </w:p>
    <w:p>
      <w:pPr>
        <w:pStyle w:val="ManualConsidrant"/>
        <w:rPr>
          <w:noProof/>
        </w:rPr>
      </w:pPr>
      <w:r>
        <w:rPr>
          <w:noProof/>
        </w:rPr>
        <w:t>(13)</w:t>
      </w:r>
      <w:r>
        <w:rPr>
          <w:noProof/>
        </w:rPr>
        <w:tab/>
        <w:t>Vzhledem k digitální povaze a pružnosti digitálních platforem by se měla oznamovací povinnost rozšířit na ty provozovatele platforem, kteří vykonávají obchodní činnost v Unii, ale nejsou v ní daňovými rezidenty, ani nemají sídlo, ani nejsou spravováni, ani nemají stálé provozovny v členském státě. To by zajistilo rovné podmínky pro všechny platformy a zabránilo nekalé soutěži. Za tímto účelem by se od zahraničních platforem mělo vyžadovat, aby se za účelem fungování na vnitřním trhu zaregistrovaly a prováděly oznamování v jednom členském státě.</w:t>
      </w:r>
    </w:p>
    <w:p>
      <w:pPr>
        <w:pStyle w:val="ManualConsidrant"/>
        <w:rPr>
          <w:noProof/>
        </w:rPr>
      </w:pPr>
      <w:r>
        <w:rPr>
          <w:noProof/>
        </w:rPr>
        <w:t>(14)</w:t>
      </w:r>
      <w:r>
        <w:rPr>
          <w:noProof/>
        </w:rPr>
        <w:tab/>
        <w:t>S ohledem na vývoj v digitalizované ekonomice by oznamování obchodní činnosti mělo zahrnovat pronájem nemovitého majetku, osobní služby, prodej zboží, pronájem jakéhokoli druhu dopravy a investice a úvěrování v rámci skupinového financování. Do oblasti oznamování by neměly spadat činnosti prováděné prodejcem jednajícím jako zaměstnanec provozovatele platformy.</w:t>
      </w:r>
    </w:p>
    <w:p>
      <w:pPr>
        <w:pStyle w:val="ManualConsidrant"/>
        <w:rPr>
          <w:noProof/>
        </w:rPr>
      </w:pPr>
      <w:r>
        <w:rPr>
          <w:noProof/>
        </w:rPr>
        <w:t>(15)</w:t>
      </w:r>
      <w:r>
        <w:rPr>
          <w:noProof/>
        </w:rPr>
        <w:tab/>
        <w:t>Cíl zamezit daňovým únikům a vyhýbání se daňovým povinnostem by mohl být zajištěn tím, že by bylo od provozovatelů digitálních platforem požadováno, aby dříve, než vnitrostátní správci daně provedou roční výměr daně, vykázali v rané fázi příjmy získané prostřednictvím platforem. S cílem usnadnit práci správců daně členských států by se měly oznamované informace vyměňovat do jednoho měsíce po jejich oznámení. Za účelem usnadnění automatické výměny informací a zvýšení efektivního využívání zdrojů by k výměnám informací mělo docházet elektronicky prostřednictvím stávající společné komunikační sítě (CCN), kterou vyvinula Unie.</w:t>
      </w:r>
    </w:p>
    <w:p>
      <w:pPr>
        <w:pStyle w:val="ManualConsidrant"/>
        <w:rPr>
          <w:noProof/>
        </w:rPr>
      </w:pPr>
      <w:r>
        <w:rPr>
          <w:noProof/>
        </w:rPr>
        <w:t>(16)</w:t>
      </w:r>
      <w:r>
        <w:rPr>
          <w:noProof/>
        </w:rPr>
        <w:tab/>
        <w:t>Vyhodnocení směrnice 2011/16/EU provedené Komisí ukázalo, že je třeba důsledně sledovat účinnost při uplatňování uvedené směrnice a vnitrostátních prováděcích ustanovení, která toto uplatňování umožňují. Aby Komise mohla nadále řádně sledovat a vyhodnocovat účinnost automatické výměny informací podle směrnice 2011/16/EU, měly by být členské státy povinny každoročně sdělovat Komisi statistiku těchto výměn.</w:t>
      </w:r>
    </w:p>
    <w:p>
      <w:pPr>
        <w:pStyle w:val="ManualConsidrant"/>
        <w:rPr>
          <w:noProof/>
        </w:rPr>
      </w:pPr>
      <w:r>
        <w:rPr>
          <w:noProof/>
        </w:rPr>
        <w:t>(17)</w:t>
      </w:r>
      <w:r>
        <w:rPr>
          <w:noProof/>
        </w:rPr>
        <w:tab/>
        <w:t xml:space="preserve">Pokud jde o přítomnost úředníků správce daně jednoho členského státu na území jiného členského státu a provádění souběžných kontrol dvěma nebo více členskými státy za účelem zajistit efektivní uplatnění směrnice, je nezbytné posílit mechanismy směrnice 2011/16/EU. Z toho vyplývá, že odpovědi na žádosti o přítomnost úředníků jiného členského státu a souběžné kontroly by měly být poskytnuty ve stanoveném časovém rámci. Pokud jsou zahraniční úředníci přítomni na území jiného členského státu během správního šetření nebo se jej účastní pomocí elektronických komunikačních prostředků, mělo by jim být umožněno přímo vyslechnout dotčené osoby a prozkoumat záznamy. </w:t>
      </w:r>
    </w:p>
    <w:p>
      <w:pPr>
        <w:pStyle w:val="ManualConsidrant"/>
        <w:rPr>
          <w:noProof/>
        </w:rPr>
      </w:pPr>
      <w:r>
        <w:rPr>
          <w:noProof/>
        </w:rPr>
        <w:t>(18)</w:t>
      </w:r>
      <w:r>
        <w:rPr>
          <w:noProof/>
        </w:rPr>
        <w:tab/>
        <w:t xml:space="preserve">Členský stát, který zamýšlí provést souběžnou kontrolu, je povinen sdělit svůj záměr ostatním dotčeným členským státům. Přestože je příslušný orgán každého dotčeného </w:t>
      </w:r>
      <w:r>
        <w:rPr>
          <w:noProof/>
        </w:rPr>
        <w:lastRenderedPageBreak/>
        <w:t>členského státu povinen odpovědět na návrh, je důležité zajistit, aby odpověď byla poskytnuta v přiměřené lhůtě. Příslušný orgán každého dotčeného členského státu by proto měl na návrh odpovědět do 30 dnů od přijetí.</w:t>
      </w:r>
    </w:p>
    <w:p>
      <w:pPr>
        <w:pStyle w:val="ManualConsidrant"/>
        <w:rPr>
          <w:noProof/>
        </w:rPr>
      </w:pPr>
      <w:r>
        <w:rPr>
          <w:noProof/>
        </w:rPr>
        <w:t>(19)</w:t>
      </w:r>
      <w:r>
        <w:rPr>
          <w:noProof/>
        </w:rPr>
        <w:tab/>
        <w:t>Mnohostranné kontroly prováděné s podporou programu Fiscalis 2020 zřízeného nařízením Evropského parlamentu a Rady (EU)</w:t>
      </w:r>
      <w:r>
        <w:rPr>
          <w:rStyle w:val="FootnoteReference"/>
          <w:noProof/>
        </w:rPr>
        <w:footnoteReference w:id="23"/>
      </w:r>
      <w:r>
        <w:rPr>
          <w:noProof/>
        </w:rPr>
        <w:t xml:space="preserve"> č. 1286/2013 prokázaly výhodu koordinovaných kontrol jednoho nebo více daňových poplatníků, kteří jsou společným nebo doplňujícím se zájmem dvou nebo více správců daně v Unii. Vzhledem k tomu, že pro provádění společných auditů neexistuje výslovný právní základ, jsou tyto společné akce v současné době prováděny na základě ustanovení směrnice 2011/16/EU týkajících se přítomnosti zahraničních úředníků na území jiných členských států a týkajících se souběžných kontrol. V mnoha případech se však tato praxe ukázala jako nedostatečná a postrádala právní srozumitelnost a jistotu.</w:t>
      </w:r>
    </w:p>
    <w:p>
      <w:pPr>
        <w:pStyle w:val="ManualConsidrant"/>
        <w:rPr>
          <w:noProof/>
        </w:rPr>
      </w:pPr>
      <w:r>
        <w:rPr>
          <w:noProof/>
        </w:rPr>
        <w:t>(20)</w:t>
      </w:r>
      <w:r>
        <w:rPr>
          <w:noProof/>
        </w:rPr>
        <w:tab/>
        <w:t>Členské státy by měly přijmout jasný a účinný právní rámec, který jejich správcům daně umožní provádět společné audity osob s přeshraniční činností. Společné audity jsou správní šetření prováděná společně příslušnými orgány dvou nebo více členských států za účelem přezkoumání případu spojeného s jednou nebo více osobami společného nebo doplňujícího se zájmu těchto členských států. Společné audity mohou významně přispět k lepšímu fungování vnitřního trhu. Společné audity by měly být strukturovány tak, aby poskytovaly právní jistotu daňovým poplatníkům prostřednictvím jasných procesních pravidel včetně zmírnění rizika dvojího zdanění.</w:t>
      </w:r>
    </w:p>
    <w:p>
      <w:pPr>
        <w:pStyle w:val="ManualConsidrant"/>
        <w:rPr>
          <w:noProof/>
        </w:rPr>
      </w:pPr>
      <w:r>
        <w:rPr>
          <w:noProof/>
        </w:rPr>
        <w:t>(21)</w:t>
      </w:r>
      <w:r>
        <w:rPr>
          <w:noProof/>
        </w:rPr>
        <w:tab/>
        <w:t>V zájmu zajištění účinnosti procesu by měly být odpovědi na žádosti o společné audity poskytovány ve stanovené lhůtě. Zamítnutí žádostí by měla být řádně odůvodněna. Procesní opatření vztahující se na společný audit by měla odpovídat opatřením platným v členském státě, v němž se provádí příslušná auditorská činnost. Zúčastněné členské státy by proto měly vzájemně uznávat důkazy shromážděné během společného auditu. Stejně důležité je, aby se příslušné orgány dohodly na skutečnostech a okolnostech případu a usilovaly o dosažení dohody o tom, jak interpretovat daňové postavení auditované osoby (osob). Aby bylo zajištěno, že výsledek společného auditu bude možné implementovat v zúčastněných členských státech, měla by závěrečná zpráva mít stejnou právní hodnotu jako příslušné vnitrostátní nástroje, které jsou vydávány na základě auditu v zúčastněných členských státech. V případě potřeby by členské státy měly poskytnout právní rámec k provedení odpovídající úpravy.</w:t>
      </w:r>
    </w:p>
    <w:p>
      <w:pPr>
        <w:pStyle w:val="ManualConsidrant"/>
        <w:rPr>
          <w:noProof/>
        </w:rPr>
      </w:pPr>
      <w:r>
        <w:rPr>
          <w:noProof/>
        </w:rPr>
        <w:t>(22)</w:t>
      </w:r>
      <w:r>
        <w:rPr>
          <w:noProof/>
        </w:rPr>
        <w:tab/>
        <w:t>Uznávajíce, že společné audity jsou založeny na vzájemné důvěře mezi příslušnými orgány zúčastněných členských států, by výměna informací týkajících se obchodního, průmyslového nebo profesního tajemství nebo obchodního procesu nebo informací, jejichž zpřístupnění by bylo v rozporu s veřejným pořádkem, v rámci společného auditu neměla být odmítnuta. Tyto vyměněné informace by však měly zůstat důvěrné a neměly by být poskytovány třetím stranám.</w:t>
      </w:r>
    </w:p>
    <w:p>
      <w:pPr>
        <w:pStyle w:val="ManualConsidrant"/>
        <w:rPr>
          <w:noProof/>
        </w:rPr>
      </w:pPr>
      <w:r>
        <w:rPr>
          <w:noProof/>
        </w:rPr>
        <w:t>(23)</w:t>
      </w:r>
      <w:r>
        <w:rPr>
          <w:noProof/>
        </w:rPr>
        <w:tab/>
        <w:t xml:space="preserve">Důležité také je zajistit účinnou výměnu informací na požadavek a spolupráci mezi příslušnými orgány. Příslušné orgány, které obdrží informace v souladu s článkem 5 nebo 9 směrnice 2011/16/EU, by proto měly být povinny poskytnout zpětnou vazbu příslušnému orgánu, který tyto informace poskytl, ohledně všech výměn na požadavek, a to do 30 dnů od okamžiku, kdy bude znám výsledek použití požadovaných informací. </w:t>
      </w:r>
    </w:p>
    <w:p>
      <w:pPr>
        <w:pStyle w:val="ManualConsidrant"/>
        <w:rPr>
          <w:noProof/>
        </w:rPr>
      </w:pPr>
      <w:r>
        <w:rPr>
          <w:noProof/>
        </w:rPr>
        <w:lastRenderedPageBreak/>
        <w:t>(24)</w:t>
      </w:r>
      <w:r>
        <w:rPr>
          <w:noProof/>
        </w:rPr>
        <w:tab/>
        <w:t>Je důležité, aby se informace sdělované podle směrnice 2011/16/EU zásadně používaly k vyměření, správě a vymáhání daní, na které se vztahuje věcná působnost uvedené směrnice. Z tohoto důvodu a s ohledem na význam, který má DPH pro fungování vnitřního trhu, je vhodné objasnit, že informace sdělované mezi členskými státy mohou být použity také k vyměření, správě a vymáhání DPH a jiných nepřímých daní.</w:t>
      </w:r>
    </w:p>
    <w:p>
      <w:pPr>
        <w:pStyle w:val="ManualConsidrant"/>
        <w:rPr>
          <w:noProof/>
        </w:rPr>
      </w:pPr>
      <w:r>
        <w:rPr>
          <w:noProof/>
        </w:rPr>
        <w:t>(25)</w:t>
      </w:r>
      <w:r>
        <w:rPr>
          <w:noProof/>
        </w:rPr>
        <w:tab/>
        <w:t>Je nezbytné účinně chránit osobní údaje, které si členské státy vyměňují podle směrnice 2011/16/EU. Pokud dojde k narušení ochrany osobních údajů ve smyslu čl. 4 bodu 12 nařízení Evropského parlamentu a Rady (EU) 2016/679</w:t>
      </w:r>
      <w:r>
        <w:rPr>
          <w:rStyle w:val="FootnoteReference"/>
          <w:noProof/>
        </w:rPr>
        <w:footnoteReference w:id="24"/>
      </w:r>
      <w:r>
        <w:rPr>
          <w:noProof/>
        </w:rPr>
        <w:t xml:space="preserve"> v jednom nebo více členských státech, měly by členské státy jakožto společní správci údajů rozhodnout, zda porušení vyžaduje pozastavení výměny informací s členským státem (státy), kde k porušení ochrany došlo, a zda by měla být Komise jako zpracovatel požádána o pozastavení těchto výměn. Pozastavení by mělo trvat do doby, než členské státy požádají Komisi, aby znovu umožnila výměnu informací podle směrnice 2011/16/EU s členským státem, v němž k porušení ochrany došlo.</w:t>
      </w:r>
    </w:p>
    <w:p>
      <w:pPr>
        <w:pStyle w:val="ManualConsidrant"/>
        <w:rPr>
          <w:noProof/>
        </w:rPr>
      </w:pPr>
      <w:r>
        <w:rPr>
          <w:noProof/>
        </w:rPr>
        <w:t>(26)</w:t>
      </w:r>
      <w:r>
        <w:rPr>
          <w:noProof/>
        </w:rPr>
        <w:tab/>
        <w:t>S cílem zajistit jednotné podmínky k provedení směrnice 2011/16/EU, a zejména pro automatickou výměnu informací mezi správci daně, by měly být Komisi svěřeny prováděcí pravomoci k přijetí standardního formuláře s omezeným počtem složek včetně jazykových režimů. Tyto pravomoci by měly být vykonávány v souladu s nařízením Evropského parlamentu a Rady (EU) č. 182/2011</w:t>
      </w:r>
      <w:r>
        <w:rPr>
          <w:rStyle w:val="FootnoteReference"/>
          <w:noProof/>
        </w:rPr>
        <w:footnoteReference w:id="25"/>
      </w:r>
      <w:r>
        <w:rPr>
          <w:noProof/>
        </w:rPr>
        <w:t>.</w:t>
      </w:r>
    </w:p>
    <w:p>
      <w:pPr>
        <w:pStyle w:val="ManualConsidrant"/>
        <w:rPr>
          <w:noProof/>
        </w:rPr>
      </w:pPr>
      <w:r>
        <w:rPr>
          <w:noProof/>
        </w:rPr>
        <w:t>(27)</w:t>
      </w:r>
      <w:r>
        <w:rPr>
          <w:noProof/>
        </w:rPr>
        <w:tab/>
        <w:t>V souladu s článkem 42 nařízení Evropského parlamentu a Rady (EU) 2018/1725</w:t>
      </w:r>
      <w:r>
        <w:rPr>
          <w:rStyle w:val="FootnoteReference"/>
          <w:noProof/>
        </w:rPr>
        <w:footnoteReference w:id="26"/>
      </w:r>
      <w:r>
        <w:rPr>
          <w:noProof/>
        </w:rPr>
        <w:t xml:space="preserve"> byl konzultován evropský inspektor ochrany údajů.</w:t>
      </w:r>
    </w:p>
    <w:p>
      <w:pPr>
        <w:pStyle w:val="ManualConsidrant"/>
        <w:rPr>
          <w:noProof/>
        </w:rPr>
      </w:pPr>
      <w:r>
        <w:rPr>
          <w:noProof/>
        </w:rPr>
        <w:t>(28)</w:t>
      </w:r>
      <w:r>
        <w:rPr>
          <w:noProof/>
        </w:rPr>
        <w:tab/>
        <w:t xml:space="preserve">Každé zpracování osobních údajů uskutečněné v rámci této směrnice musí být v souladu s nařízeními Evropského parlamentu a Rady (EU) 2016/679 a (EU) 2018/1725. </w:t>
      </w:r>
    </w:p>
    <w:p>
      <w:pPr>
        <w:pStyle w:val="ManualConsidrant"/>
        <w:rPr>
          <w:noProof/>
        </w:rPr>
      </w:pPr>
      <w:r>
        <w:rPr>
          <w:noProof/>
        </w:rPr>
        <w:t>(29)</w:t>
      </w:r>
      <w:r>
        <w:rPr>
          <w:noProof/>
        </w:rPr>
        <w:tab/>
        <w:t xml:space="preserve">Tato směrnice respektuje základní lidská práva a ctí zásady uznané zejména Listinou základních práv Evropské unie. </w:t>
      </w:r>
    </w:p>
    <w:p>
      <w:pPr>
        <w:pStyle w:val="ManualConsidrant"/>
        <w:rPr>
          <w:noProof/>
        </w:rPr>
      </w:pPr>
      <w:r>
        <w:rPr>
          <w:noProof/>
        </w:rPr>
        <w:t>(30)</w:t>
      </w:r>
      <w:r>
        <w:rPr>
          <w:noProof/>
        </w:rPr>
        <w:tab/>
        <w:t>Cíle této směrnice, konkrétně účinná správní spolupráce mezi členskými státy za podmínek slučitelných s řádným fungováním vnitřního trhu, nemohou být uspokojivě dosaženy na úrovni členských států.  Cílem je zlepšit spolupráci mezi správci daně a to vyžaduje jednotná pravidla, která mohou být účinná v přeshraničních situacích, a proto mohou být lépe dosažena na úrovni Unie. Unie proto může přijmout opatření v souladu se zásadou subsidiarity stanovenou v článku 5 Smlouvy o Evropské unii. V souladu se zásadou proporcionality stanovenou v uvedeném článku nepřekračuje tato směrnice rámec toho, co je nezbytné pro dosažení tohoto cíle.</w:t>
      </w:r>
    </w:p>
    <w:p>
      <w:pPr>
        <w:pStyle w:val="ManualConsidrant"/>
        <w:rPr>
          <w:noProof/>
        </w:rPr>
      </w:pPr>
      <w:r>
        <w:rPr>
          <w:noProof/>
        </w:rPr>
        <w:t>(31)</w:t>
      </w:r>
      <w:r>
        <w:rPr>
          <w:noProof/>
        </w:rPr>
        <w:tab/>
        <w:t>Směrnice 2011/16/EU by proto měla být odpovídajícím způsobem změněna,</w:t>
      </w:r>
    </w:p>
    <w:p>
      <w:pPr>
        <w:pStyle w:val="Formuledadoption"/>
        <w:rPr>
          <w:noProof/>
        </w:rPr>
      </w:pPr>
      <w:r>
        <w:rPr>
          <w:noProof/>
        </w:rPr>
        <w:lastRenderedPageBreak/>
        <w:t>PŘIJALA TUTO SMĚRNICI:</w:t>
      </w:r>
    </w:p>
    <w:p>
      <w:pPr>
        <w:pStyle w:val="Titrearticle"/>
        <w:rPr>
          <w:noProof/>
        </w:rPr>
      </w:pPr>
      <w:r>
        <w:rPr>
          <w:noProof/>
        </w:rPr>
        <w:t>Článek 1</w:t>
      </w:r>
    </w:p>
    <w:p>
      <w:pPr>
        <w:rPr>
          <w:noProof/>
        </w:rPr>
      </w:pPr>
      <w:r>
        <w:rPr>
          <w:noProof/>
        </w:rPr>
        <w:t>Směrnice 2011/16/EU se mění takto:</w:t>
      </w:r>
    </w:p>
    <w:p>
      <w:pPr>
        <w:pStyle w:val="Point0"/>
        <w:rPr>
          <w:noProof/>
        </w:rPr>
      </w:pPr>
      <w:r>
        <w:rPr>
          <w:noProof/>
        </w:rPr>
        <w:t>1)</w:t>
      </w:r>
      <w:r>
        <w:rPr>
          <w:noProof/>
        </w:rPr>
        <w:tab/>
        <w:t xml:space="preserve">V článku 3 se bod 9 mění takto: </w:t>
      </w:r>
    </w:p>
    <w:p>
      <w:pPr>
        <w:pStyle w:val="Point1"/>
        <w:rPr>
          <w:noProof/>
        </w:rPr>
      </w:pPr>
      <w:r>
        <w:rPr>
          <w:noProof/>
        </w:rPr>
        <w:t>a)</w:t>
      </w:r>
      <w:r>
        <w:rPr>
          <w:noProof/>
        </w:rPr>
        <w:tab/>
        <w:t>Písmeno a) prvního pododstavce se nahrazuje tímto:</w:t>
      </w:r>
    </w:p>
    <w:p>
      <w:pPr>
        <w:pStyle w:val="Point2"/>
        <w:rPr>
          <w:noProof/>
        </w:rPr>
      </w:pPr>
      <w:r>
        <w:rPr>
          <w:noProof/>
        </w:rPr>
        <w:t>„a)</w:t>
      </w:r>
      <w:r>
        <w:rPr>
          <w:noProof/>
        </w:rPr>
        <w:tab/>
        <w:t>Pro účely čl. 8 odst. 1 a článků 8a, 8aa, 8ab a 8ac systematické sdělování předem určených informací jinému členskému státu bez předchozího požadavku a v předem stanovených pravidelných intervalech.“</w:t>
      </w:r>
    </w:p>
    <w:p>
      <w:pPr>
        <w:pStyle w:val="Point1"/>
        <w:rPr>
          <w:noProof/>
        </w:rPr>
      </w:pPr>
      <w:r>
        <w:rPr>
          <w:noProof/>
        </w:rPr>
        <w:t>b)</w:t>
      </w:r>
      <w:r>
        <w:rPr>
          <w:noProof/>
        </w:rPr>
        <w:tab/>
        <w:t>V prvním pododstavci se písmeno c) nahrazuje tímto:</w:t>
      </w:r>
    </w:p>
    <w:p>
      <w:pPr>
        <w:pStyle w:val="Point2"/>
        <w:rPr>
          <w:noProof/>
        </w:rPr>
      </w:pPr>
      <w:r>
        <w:rPr>
          <w:noProof/>
        </w:rPr>
        <w:t>„c)</w:t>
      </w:r>
      <w:r>
        <w:rPr>
          <w:noProof/>
        </w:rPr>
        <w:tab/>
        <w:t>pro účely jiných ustanovení této směrnice než čl. 8 odst. 1 a 3a a článků 8a, 8aa a 8ac systematické sdělování předem určených informací podle písmen a) a b) tohoto bodu.“</w:t>
      </w:r>
    </w:p>
    <w:p>
      <w:pPr>
        <w:pStyle w:val="Point1"/>
        <w:rPr>
          <w:noProof/>
        </w:rPr>
      </w:pPr>
      <w:r>
        <w:rPr>
          <w:noProof/>
        </w:rPr>
        <w:t>c)</w:t>
      </w:r>
      <w:r>
        <w:rPr>
          <w:noProof/>
        </w:rPr>
        <w:tab/>
        <w:t>druhý pododstavec se nahrazuje tímto:</w:t>
      </w:r>
    </w:p>
    <w:p>
      <w:pPr>
        <w:pStyle w:val="Text2"/>
        <w:rPr>
          <w:noProof/>
        </w:rPr>
      </w:pPr>
      <w:r>
        <w:rPr>
          <w:noProof/>
        </w:rPr>
        <w:t>„V souvislosti s čl. 8 odst. 3a a 7a, čl. 21 odst. 2 a čl. 25 odst. 2 a 3 má jakýkoli pojem psaný velkými písmeny význam, který má podle odpovídajících definic stanovených v příloze I. V souvislosti s článkem 8aa a přílohou III má kterýkoli pojem psaný velkými písmeny význam, který má podle odpovídajících definic stanovených v příloze III. V souvislosti s článkem 8ac a přílohou V má kterýkoli pojem psaný velkými písmeny význam, který má podle odpovídajících definic stanovených v příloze V.“.</w:t>
      </w:r>
    </w:p>
    <w:p>
      <w:pPr>
        <w:pStyle w:val="Point0"/>
        <w:rPr>
          <w:noProof/>
        </w:rPr>
      </w:pPr>
      <w:r>
        <w:rPr>
          <w:noProof/>
        </w:rPr>
        <w:t>2)</w:t>
      </w:r>
      <w:r>
        <w:rPr>
          <w:noProof/>
        </w:rPr>
        <w:tab/>
        <w:t>Vkládají se nové články, které znějí:</w:t>
      </w:r>
    </w:p>
    <w:p>
      <w:pPr>
        <w:pStyle w:val="Titrearticle"/>
        <w:rPr>
          <w:noProof/>
        </w:rPr>
      </w:pPr>
      <w:r>
        <w:rPr>
          <w:noProof/>
        </w:rPr>
        <w:t>„Článek 5a</w:t>
      </w:r>
    </w:p>
    <w:p>
      <w:pPr>
        <w:pStyle w:val="NormalCentered"/>
        <w:rPr>
          <w:noProof/>
        </w:rPr>
      </w:pPr>
      <w:r>
        <w:rPr>
          <w:b/>
          <w:noProof/>
        </w:rPr>
        <w:t>Předpokládaný význam</w:t>
      </w:r>
    </w:p>
    <w:p>
      <w:pPr>
        <w:pStyle w:val="ManualNumPar1"/>
        <w:rPr>
          <w:noProof/>
        </w:rPr>
      </w:pPr>
      <w:r>
        <w:rPr>
          <w:noProof/>
        </w:rPr>
        <w:t>1.</w:t>
      </w:r>
      <w:r>
        <w:rPr>
          <w:noProof/>
        </w:rPr>
        <w:tab/>
        <w:t xml:space="preserve">Pro účely žádosti uvedené v článku 5 se má za to, že požadované informace jsou považovány za předpokládaně relevantní, pokud se dožadující orgán v době podání žádosti domnívá, že v souladu s jeho vnitrostátním právem existuje přiměřená možnost, aby byly požadované informace relevantní pro daňové záležitosti jednoho nebo několika daňových poplatníků, ať již identifikovaných jménem nebo jinak, a byly opodstatněné pro účely šetření. </w:t>
      </w:r>
    </w:p>
    <w:p>
      <w:pPr>
        <w:pStyle w:val="ManualNumPar1"/>
        <w:rPr>
          <w:noProof/>
        </w:rPr>
      </w:pPr>
      <w:r>
        <w:rPr>
          <w:noProof/>
        </w:rPr>
        <w:t>2.</w:t>
      </w:r>
      <w:r>
        <w:rPr>
          <w:noProof/>
        </w:rPr>
        <w:tab/>
        <w:t>S cílem prokázat předpokládaný význam požadovaných informací poskytne dožadující příslušný orgán dožádanému orgánu podpůrné informace zejména o daňovém účelu, pro který jsou informace vyžádány, a o důvodech naznačujících, že tyto informace, které v předmětném má v držení dožádaný orgán, nebo že je má či kontroluje osoba, která spadá do pravomoci dožádaného orgánu v rámci jeho jurisdikce.</w:t>
      </w:r>
    </w:p>
    <w:p>
      <w:pPr>
        <w:pStyle w:val="Titrearticle"/>
        <w:rPr>
          <w:i w:val="0"/>
          <w:noProof/>
        </w:rPr>
      </w:pPr>
      <w:r>
        <w:rPr>
          <w:noProof/>
        </w:rPr>
        <w:t>Článek 5b</w:t>
      </w:r>
    </w:p>
    <w:p>
      <w:pPr>
        <w:pStyle w:val="NormalCentered"/>
        <w:rPr>
          <w:b/>
          <w:noProof/>
        </w:rPr>
      </w:pPr>
      <w:r>
        <w:rPr>
          <w:b/>
          <w:noProof/>
        </w:rPr>
        <w:t>Skupinové žádosti</w:t>
      </w:r>
    </w:p>
    <w:p>
      <w:pPr>
        <w:pStyle w:val="Text1"/>
        <w:rPr>
          <w:noProof/>
        </w:rPr>
      </w:pPr>
      <w:r>
        <w:rPr>
          <w:noProof/>
        </w:rPr>
        <w:t>Žádost uvedená v článku 5 se může týkat skupiny daňových poplatníků, kteří nemohou být identifikováni jednotlivě jménem nebo jinak, ale lze je popsat pouze na základě společného souboru vlastností.</w:t>
      </w:r>
    </w:p>
    <w:p>
      <w:pPr>
        <w:pStyle w:val="Text1"/>
        <w:rPr>
          <w:noProof/>
        </w:rPr>
      </w:pPr>
      <w:r>
        <w:rPr>
          <w:noProof/>
        </w:rPr>
        <w:lastRenderedPageBreak/>
        <w:t>V takových případech poskytne dožadující příslušný orgán dožádanému orgánu následující informace:</w:t>
      </w:r>
    </w:p>
    <w:p>
      <w:pPr>
        <w:pStyle w:val="Point1"/>
        <w:rPr>
          <w:noProof/>
        </w:rPr>
      </w:pPr>
      <w:r>
        <w:rPr>
          <w:noProof/>
        </w:rPr>
        <w:t>a)</w:t>
      </w:r>
      <w:r>
        <w:rPr>
          <w:noProof/>
        </w:rPr>
        <w:tab/>
        <w:t>podrobný popis společných charakteristik skupiny a</w:t>
      </w:r>
    </w:p>
    <w:p>
      <w:pPr>
        <w:pStyle w:val="Point1"/>
        <w:rPr>
          <w:noProof/>
        </w:rPr>
      </w:pPr>
      <w:r>
        <w:rPr>
          <w:noProof/>
        </w:rPr>
        <w:t>b)</w:t>
      </w:r>
      <w:r>
        <w:rPr>
          <w:noProof/>
        </w:rPr>
        <w:tab/>
        <w:t>vysvětlení rozhodného práva a skutečností, na jejichž základě existuje důvod se domnívat, že daňoví poplatníci ve skupině nedodrželi ustanovení rozhodného práva, včetně skutečností a okolností souvisejících se zapojením třetí strany, která aktivně přispěla k potenciálnímu neplnění povinností daňových poplatníků ve skupině plynoucích ze zákona.“.</w:t>
      </w:r>
    </w:p>
    <w:p>
      <w:pPr>
        <w:pStyle w:val="Point0"/>
        <w:rPr>
          <w:noProof/>
        </w:rPr>
      </w:pPr>
      <w:r>
        <w:rPr>
          <w:noProof/>
        </w:rPr>
        <w:t>3)</w:t>
      </w:r>
      <w:r>
        <w:rPr>
          <w:noProof/>
        </w:rPr>
        <w:tab/>
        <w:t xml:space="preserve">V článku 6 se odstavec 2 nahrazuje tímto: </w:t>
      </w:r>
    </w:p>
    <w:p>
      <w:pPr>
        <w:pStyle w:val="Point1"/>
        <w:rPr>
          <w:noProof/>
        </w:rPr>
      </w:pPr>
      <w:r>
        <w:rPr>
          <w:noProof/>
        </w:rPr>
        <w:t>„2.</w:t>
      </w:r>
      <w:r>
        <w:rPr>
          <w:noProof/>
        </w:rPr>
        <w:tab/>
        <w:t>Žádost uvedená v článku 5 může obsahovat odůvodněnou žádost o správní šetření. Domnívá-li se dožádaný orgán, že není nutné žádné správní šetření, neprodleně uvědomí dožadující orgán o svých důvodech.“.</w:t>
      </w:r>
    </w:p>
    <w:p>
      <w:pPr>
        <w:pStyle w:val="Point0"/>
        <w:rPr>
          <w:noProof/>
        </w:rPr>
      </w:pPr>
      <w:r>
        <w:rPr>
          <w:noProof/>
        </w:rPr>
        <w:t>4)</w:t>
      </w:r>
      <w:r>
        <w:rPr>
          <w:noProof/>
        </w:rPr>
        <w:tab/>
        <w:t>Článek 8 se mění takto:</w:t>
      </w:r>
    </w:p>
    <w:p>
      <w:pPr>
        <w:pStyle w:val="Point1"/>
        <w:rPr>
          <w:noProof/>
        </w:rPr>
      </w:pPr>
      <w:r>
        <w:rPr>
          <w:noProof/>
        </w:rPr>
        <w:t>a)</w:t>
      </w:r>
      <w:r>
        <w:rPr>
          <w:noProof/>
        </w:rPr>
        <w:tab/>
        <w:t>odstavce 1 a 2 se nahrazují tímto:</w:t>
      </w:r>
    </w:p>
    <w:p>
      <w:pPr>
        <w:pStyle w:val="Point2"/>
        <w:rPr>
          <w:noProof/>
        </w:rPr>
      </w:pPr>
      <w:r>
        <w:rPr>
          <w:noProof/>
        </w:rPr>
        <w:t>„1.</w:t>
      </w:r>
      <w:r>
        <w:rPr>
          <w:noProof/>
        </w:rPr>
        <w:tab/>
        <w:t>Příslušný orgán každého členského státu sdělí automatickou výměnou příslušnému orgánu kteréhokoli jiného členského státu veškeré dostupné informace týkající se rezidentů v tomto jiném členském státě o následujících konkrétních kategoriích příjmů a kapitálu, jak mají být: chápány podle vnitrostátních právních předpisů členského státu, který předmětné informace sděluje:</w:t>
      </w:r>
    </w:p>
    <w:p>
      <w:pPr>
        <w:pStyle w:val="Point3"/>
        <w:rPr>
          <w:noProof/>
        </w:rPr>
      </w:pPr>
      <w:r>
        <w:rPr>
          <w:noProof/>
        </w:rPr>
        <w:t>a)</w:t>
      </w:r>
      <w:r>
        <w:rPr>
          <w:noProof/>
        </w:rPr>
        <w:tab/>
        <w:t>příjmy ze zaměstnání;</w:t>
      </w:r>
    </w:p>
    <w:p>
      <w:pPr>
        <w:pStyle w:val="Point3"/>
        <w:rPr>
          <w:noProof/>
        </w:rPr>
      </w:pPr>
      <w:r>
        <w:rPr>
          <w:noProof/>
        </w:rPr>
        <w:t>b)</w:t>
      </w:r>
      <w:r>
        <w:rPr>
          <w:noProof/>
        </w:rPr>
        <w:tab/>
        <w:t xml:space="preserve">odměny členů statutárních orgánů; </w:t>
      </w:r>
    </w:p>
    <w:p>
      <w:pPr>
        <w:pStyle w:val="Point3"/>
        <w:rPr>
          <w:noProof/>
        </w:rPr>
      </w:pPr>
      <w:r>
        <w:rPr>
          <w:noProof/>
        </w:rPr>
        <w:t>c)</w:t>
      </w:r>
      <w:r>
        <w:rPr>
          <w:noProof/>
        </w:rPr>
        <w:tab/>
        <w:t xml:space="preserve">produkty životního pojištění, na něž se nevztahují jiné právní nástroje Unie týkající se výměny informací a další podobná opatření; </w:t>
      </w:r>
    </w:p>
    <w:p>
      <w:pPr>
        <w:pStyle w:val="Point3"/>
        <w:rPr>
          <w:noProof/>
        </w:rPr>
      </w:pPr>
      <w:r>
        <w:rPr>
          <w:noProof/>
        </w:rPr>
        <w:t>d)</w:t>
      </w:r>
      <w:r>
        <w:rPr>
          <w:noProof/>
        </w:rPr>
        <w:tab/>
        <w:t xml:space="preserve">důchody; </w:t>
      </w:r>
    </w:p>
    <w:p>
      <w:pPr>
        <w:pStyle w:val="Point3"/>
        <w:rPr>
          <w:noProof/>
        </w:rPr>
      </w:pPr>
      <w:r>
        <w:rPr>
          <w:noProof/>
        </w:rPr>
        <w:t>e)</w:t>
      </w:r>
      <w:r>
        <w:rPr>
          <w:noProof/>
        </w:rPr>
        <w:tab/>
        <w:t>vlastnictví nemovitostí a příjmy z nich;</w:t>
      </w:r>
    </w:p>
    <w:p>
      <w:pPr>
        <w:pStyle w:val="Point3"/>
        <w:rPr>
          <w:noProof/>
        </w:rPr>
      </w:pPr>
      <w:r>
        <w:rPr>
          <w:noProof/>
        </w:rPr>
        <w:t>f)</w:t>
      </w:r>
      <w:r>
        <w:rPr>
          <w:noProof/>
        </w:rPr>
        <w:tab/>
        <w:t xml:space="preserve">licenční poplatky. </w:t>
      </w:r>
    </w:p>
    <w:p>
      <w:pPr>
        <w:pStyle w:val="Text2"/>
        <w:rPr>
          <w:noProof/>
        </w:rPr>
      </w:pPr>
      <w:r>
        <w:rPr>
          <w:noProof/>
        </w:rPr>
        <w:t>Za zdaňovací období začínající 1. ledna 2023 nebo později musí sdělení informací uvedených v prvním pododstavci zahrnovat daňové identifikační číslo (DIČ) členského státu sídla daňového poplatníka.</w:t>
      </w:r>
    </w:p>
    <w:p>
      <w:pPr>
        <w:pStyle w:val="Text2"/>
        <w:rPr>
          <w:noProof/>
        </w:rPr>
      </w:pPr>
      <w:r>
        <w:rPr>
          <w:noProof/>
        </w:rPr>
        <w:t>Členské státy každoročně informují Komisi o nejméně dvou kategoriích příjmů a kapitálu uvedených v prvním pododstavci, o nichž sdělují informace týkající se rezidentů jiného členského státu.</w:t>
      </w:r>
    </w:p>
    <w:p>
      <w:pPr>
        <w:pStyle w:val="Point2"/>
        <w:rPr>
          <w:noProof/>
        </w:rPr>
      </w:pPr>
      <w:r>
        <w:rPr>
          <w:noProof/>
        </w:rPr>
        <w:t>2.</w:t>
      </w:r>
      <w:r>
        <w:rPr>
          <w:noProof/>
        </w:rPr>
        <w:tab/>
        <w:t>Před 1. lednem 2023 informují členské státy Komisi alespoň o čtyřech kategoriích uvedených v odstavci 1, pro které příslušný orgán každého členského státu sdělí prostřednictvím automatické výměny příslušnému orgánu kteréhokoli jiného členského státu informace o rezidentech předmětného jiného členského státu. Informace se vztahují na zdaňovací období začínající 1. lednem 2024 nebo později.“.</w:t>
      </w:r>
    </w:p>
    <w:p>
      <w:pPr>
        <w:pStyle w:val="Point1"/>
        <w:rPr>
          <w:noProof/>
        </w:rPr>
      </w:pPr>
      <w:r>
        <w:rPr>
          <w:noProof/>
        </w:rPr>
        <w:t>b)</w:t>
      </w:r>
      <w:r>
        <w:rPr>
          <w:noProof/>
        </w:rPr>
        <w:tab/>
        <w:t>V odstavci 3 se zrušuje druhý pododstavec.</w:t>
      </w:r>
    </w:p>
    <w:p>
      <w:pPr>
        <w:pStyle w:val="Point1"/>
        <w:rPr>
          <w:noProof/>
        </w:rPr>
      </w:pPr>
      <w:r>
        <w:rPr>
          <w:noProof/>
        </w:rPr>
        <w:t>c)</w:t>
      </w:r>
      <w:r>
        <w:rPr>
          <w:noProof/>
        </w:rPr>
        <w:tab/>
        <w:t>Odstavec 6 se nahrazuje tímto:</w:t>
      </w:r>
    </w:p>
    <w:p>
      <w:pPr>
        <w:pStyle w:val="Point2"/>
        <w:rPr>
          <w:noProof/>
        </w:rPr>
      </w:pPr>
      <w:r>
        <w:rPr>
          <w:noProof/>
        </w:rPr>
        <w:lastRenderedPageBreak/>
        <w:t>„6.</w:t>
      </w:r>
      <w:r>
        <w:rPr>
          <w:noProof/>
        </w:rPr>
        <w:tab/>
        <w:t>Sdělení informací podle odstavců 1 a 3a se uskuteční jednou ročně do devíti měsíců od konce kalendářního roku nebo jiného náležitého oznamovacího období, k němuž se informace vztahují.“.</w:t>
      </w:r>
    </w:p>
    <w:p>
      <w:pPr>
        <w:pStyle w:val="Point0"/>
        <w:rPr>
          <w:noProof/>
        </w:rPr>
      </w:pPr>
      <w:r>
        <w:rPr>
          <w:noProof/>
        </w:rPr>
        <w:t>5)</w:t>
      </w:r>
      <w:r>
        <w:rPr>
          <w:noProof/>
        </w:rPr>
        <w:tab/>
        <w:t>Článek 8a se mění takto:</w:t>
      </w:r>
    </w:p>
    <w:p>
      <w:pPr>
        <w:pStyle w:val="Point1"/>
        <w:rPr>
          <w:noProof/>
        </w:rPr>
      </w:pPr>
      <w:r>
        <w:rPr>
          <w:noProof/>
        </w:rPr>
        <w:t>a)</w:t>
      </w:r>
      <w:r>
        <w:rPr>
          <w:noProof/>
        </w:rPr>
        <w:tab/>
        <w:t>V odstavci 5 se písmeno a) nahrazuje tímto:</w:t>
      </w:r>
    </w:p>
    <w:p>
      <w:pPr>
        <w:pStyle w:val="Point2"/>
        <w:rPr>
          <w:noProof/>
        </w:rPr>
      </w:pPr>
      <w:r>
        <w:rPr>
          <w:noProof/>
        </w:rPr>
        <w:t>„a)</w:t>
      </w:r>
      <w:r>
        <w:rPr>
          <w:noProof/>
        </w:rPr>
        <w:tab/>
        <w:t>pokud jde o informace vyměňované podle odstavce 1 – neprodleně po vydání, změně nebo obnovení předběžných daňových rozhodnutí s přeshraničním prvkem nebo předběžného posouzení převodních cen a nejpozději tři měsíce po skončení poloviny kalendářního roku, během něhož byla předběžná daňová rozhodnutí s přeshraničním prvkem nebo předběžná posouzení převodních cen vydána, změněna nebo obnovena;“.</w:t>
      </w:r>
    </w:p>
    <w:p>
      <w:pPr>
        <w:pStyle w:val="Point1"/>
        <w:rPr>
          <w:noProof/>
        </w:rPr>
      </w:pPr>
      <w:r>
        <w:rPr>
          <w:noProof/>
        </w:rPr>
        <w:t>b)</w:t>
      </w:r>
      <w:r>
        <w:rPr>
          <w:noProof/>
        </w:rPr>
        <w:tab/>
        <w:t xml:space="preserve">V odstavci 6 se písmeno b) nahrazuje tímto: </w:t>
      </w:r>
    </w:p>
    <w:p>
      <w:pPr>
        <w:pStyle w:val="Point2"/>
        <w:rPr>
          <w:noProof/>
        </w:rPr>
      </w:pPr>
      <w:r>
        <w:rPr>
          <w:noProof/>
        </w:rPr>
        <w:t>„b)</w:t>
      </w:r>
      <w:r>
        <w:rPr>
          <w:noProof/>
        </w:rPr>
        <w:tab/>
        <w:t>souhrn předběžného daňového rozhodnutí s přeshraničním prvkem nebo předběžného posouzení převodních cen, včetně popisu příslušných obchodních činností nebo transakcí nebo řady transakcí a jakýchkoli dalších informací, které by mohly příslušnému orgánu pomoci při posouzení potenciálního daňového rizika, aniž by to vedlo ke zpřístupnění obchodního, průmyslového nebo profesního tajemství nebo obchodního procesu nebo informací, jejichž zpřístupnění by bylo v rozporu s veřejným pořádkem.“.</w:t>
      </w:r>
    </w:p>
    <w:p>
      <w:pPr>
        <w:pStyle w:val="Point1"/>
        <w:rPr>
          <w:noProof/>
        </w:rPr>
      </w:pPr>
      <w:r>
        <w:rPr>
          <w:noProof/>
        </w:rPr>
        <w:t>c)</w:t>
      </w:r>
      <w:r>
        <w:rPr>
          <w:noProof/>
        </w:rPr>
        <w:tab/>
        <w:t>Odstavec 10 se nahrazuje tímto:</w:t>
      </w:r>
    </w:p>
    <w:p>
      <w:pPr>
        <w:pStyle w:val="Point2"/>
        <w:rPr>
          <w:noProof/>
        </w:rPr>
      </w:pPr>
      <w:r>
        <w:rPr>
          <w:noProof/>
        </w:rPr>
        <w:t>„10.</w:t>
      </w:r>
      <w:r>
        <w:rPr>
          <w:noProof/>
        </w:rPr>
        <w:tab/>
        <w:t>Bez ohledu na odkaz na předpokládaný význam čl. 1 odst. 1 a na podmínky předpokládaného významu stanovené v článku 5a mohou členské státy v souladu s článkem 5 a s přihlédnutím k čl. 21 odst. 4 požadovat dodatečné informace, včetně úplného znění předběžného daňového rozhodnutí s přeshraničním prvkem nebo předběžného posouzení převodních cen.“.</w:t>
      </w:r>
    </w:p>
    <w:p>
      <w:pPr>
        <w:pStyle w:val="Point0"/>
        <w:rPr>
          <w:noProof/>
        </w:rPr>
      </w:pPr>
      <w:r>
        <w:rPr>
          <w:noProof/>
        </w:rPr>
        <w:t>6)</w:t>
      </w:r>
      <w:r>
        <w:rPr>
          <w:noProof/>
        </w:rPr>
        <w:tab/>
        <w:t>Vkládá se nový článek, který zní:</w:t>
      </w:r>
    </w:p>
    <w:p>
      <w:pPr>
        <w:pStyle w:val="Titrearticle"/>
        <w:rPr>
          <w:noProof/>
        </w:rPr>
      </w:pPr>
      <w:r>
        <w:rPr>
          <w:noProof/>
        </w:rPr>
        <w:t>„Článek 8ac</w:t>
      </w:r>
    </w:p>
    <w:p>
      <w:pPr>
        <w:pStyle w:val="NormalCentered"/>
        <w:rPr>
          <w:b/>
          <w:noProof/>
        </w:rPr>
      </w:pPr>
      <w:r>
        <w:rPr>
          <w:b/>
          <w:noProof/>
        </w:rPr>
        <w:t>Rozsah a podmínky povinné automatické výměny informací oznámených provozovateli platforem</w:t>
      </w:r>
    </w:p>
    <w:p>
      <w:pPr>
        <w:pStyle w:val="Point1"/>
        <w:rPr>
          <w:noProof/>
        </w:rPr>
      </w:pPr>
      <w:r>
        <w:rPr>
          <w:noProof/>
        </w:rPr>
        <w:t>1.</w:t>
      </w:r>
      <w:r>
        <w:rPr>
          <w:noProof/>
        </w:rPr>
        <w:tab/>
        <w:t>Každý členský stát přijme nezbytná opatření, aby požádal oznamující provozovatele platformy, aby splnili požadavky náležité péče a oznamování stanovené v oddílech II a III přílohy V. Každý členský stát rovněž zajistí účinné provádění těchto pravidel a jejich dodržování v souladu s oddílem IV přílohy V.</w:t>
      </w:r>
    </w:p>
    <w:p>
      <w:pPr>
        <w:pStyle w:val="Point1"/>
        <w:rPr>
          <w:noProof/>
        </w:rPr>
      </w:pPr>
      <w:r>
        <w:rPr>
          <w:noProof/>
        </w:rPr>
        <w:t>2.</w:t>
      </w:r>
      <w:r>
        <w:rPr>
          <w:noProof/>
        </w:rPr>
        <w:tab/>
        <w:t>V souladu s použitelnými požadavky náležité péče a oznamování obsaženými v oddílech II a III přílohy V sdělí příslušný orgán každého členského státu automatickou výměnou ve lhůtě stanovené v odstavci 3 příslušnému orgánu členského státu, ve kterém je oznamovaný prodejce rezidentem ve smyslu druhého pododstavce B bodu 3 části I přílohy V a/nebo ve kterém je umístěna předmětná nemovitost, následující informace za oznamovací období od 1. ledna 2022, týkající se každého oznamovaného prodejce:</w:t>
      </w:r>
    </w:p>
    <w:p>
      <w:pPr>
        <w:pStyle w:val="Point2"/>
        <w:rPr>
          <w:noProof/>
        </w:rPr>
      </w:pPr>
      <w:r>
        <w:rPr>
          <w:noProof/>
        </w:rPr>
        <w:lastRenderedPageBreak/>
        <w:t>a)</w:t>
      </w:r>
      <w:r>
        <w:rPr>
          <w:noProof/>
        </w:rPr>
        <w:tab/>
        <w:t>název, adresu sídla a DIČ oznamujícího provozovatele platformy, jakož i obchodní název/názvy platformy/platforem, ve vztahu k níž/nimž provádí oznamující provozovatel platformy oznámení;</w:t>
      </w:r>
    </w:p>
    <w:p>
      <w:pPr>
        <w:pStyle w:val="Point2"/>
        <w:rPr>
          <w:noProof/>
        </w:rPr>
      </w:pPr>
      <w:r>
        <w:rPr>
          <w:noProof/>
        </w:rPr>
        <w:t>b)</w:t>
      </w:r>
      <w:r>
        <w:rPr>
          <w:noProof/>
        </w:rPr>
        <w:tab/>
        <w:t xml:space="preserve">jméno a příjmení prodejce, které je fyzickou osobou, a zapsaný název prodejce, který je právním subjektem; </w:t>
      </w:r>
    </w:p>
    <w:p>
      <w:pPr>
        <w:pStyle w:val="Point2"/>
        <w:rPr>
          <w:noProof/>
        </w:rPr>
      </w:pPr>
      <w:r>
        <w:rPr>
          <w:noProof/>
        </w:rPr>
        <w:t>c)</w:t>
      </w:r>
      <w:r>
        <w:rPr>
          <w:noProof/>
        </w:rPr>
        <w:tab/>
        <w:t xml:space="preserve">primární adresu; </w:t>
      </w:r>
    </w:p>
    <w:p>
      <w:pPr>
        <w:pStyle w:val="Point2"/>
        <w:rPr>
          <w:noProof/>
        </w:rPr>
      </w:pPr>
      <w:r>
        <w:rPr>
          <w:noProof/>
        </w:rPr>
        <w:t>d)</w:t>
      </w:r>
      <w:r>
        <w:rPr>
          <w:noProof/>
        </w:rPr>
        <w:tab/>
        <w:t xml:space="preserve">jakékoli daňové identifikační číslo, nebo v případě chybějícího DIČ, funkční ekvivalent vydaný prodejci, včetně členského státu, který toto číslo vydal; </w:t>
      </w:r>
    </w:p>
    <w:p>
      <w:pPr>
        <w:pStyle w:val="Point2"/>
        <w:rPr>
          <w:noProof/>
        </w:rPr>
      </w:pPr>
      <w:r>
        <w:rPr>
          <w:noProof/>
        </w:rPr>
        <w:t>e)</w:t>
      </w:r>
      <w:r>
        <w:rPr>
          <w:noProof/>
        </w:rPr>
        <w:tab/>
        <w:t>identifikační číslo obchodního rejstříku prodejce, který je právním subjektem;</w:t>
      </w:r>
    </w:p>
    <w:p>
      <w:pPr>
        <w:pStyle w:val="Point2"/>
        <w:rPr>
          <w:noProof/>
        </w:rPr>
      </w:pPr>
      <w:r>
        <w:rPr>
          <w:noProof/>
        </w:rPr>
        <w:t>f)</w:t>
      </w:r>
      <w:r>
        <w:rPr>
          <w:noProof/>
        </w:rPr>
        <w:tab/>
        <w:t>identifikační číslo prodejce pro účely daně z přidané hodnoty (DPH), je-li k dispozici;</w:t>
      </w:r>
    </w:p>
    <w:p>
      <w:pPr>
        <w:pStyle w:val="Point2"/>
        <w:rPr>
          <w:noProof/>
        </w:rPr>
      </w:pPr>
      <w:r>
        <w:rPr>
          <w:noProof/>
        </w:rPr>
        <w:t>g)</w:t>
      </w:r>
      <w:r>
        <w:rPr>
          <w:noProof/>
        </w:rPr>
        <w:tab/>
        <w:t>datum narození prodejců, kteří jsou fyzickými osobami;</w:t>
      </w:r>
    </w:p>
    <w:p>
      <w:pPr>
        <w:pStyle w:val="Point2"/>
        <w:rPr>
          <w:noProof/>
        </w:rPr>
      </w:pPr>
      <w:r>
        <w:rPr>
          <w:noProof/>
        </w:rPr>
        <w:t>h)</w:t>
      </w:r>
      <w:r>
        <w:rPr>
          <w:noProof/>
        </w:rPr>
        <w:tab/>
        <w:t>identifikátor finančního účtu, na který je protiplnění vyplaceno nebo připsáno, pokud je k dispozici oznamujícímu provozovateli platformy a příslušný orgán členského státu, v němž je prodejce rezidentem, neoznámil příslušným orgánům všech ostatních členských států, že nezamýšlí používat k tomuto účelu identifikátor finančního účtu;</w:t>
      </w:r>
    </w:p>
    <w:p>
      <w:pPr>
        <w:pStyle w:val="Point2"/>
        <w:rPr>
          <w:noProof/>
        </w:rPr>
      </w:pPr>
      <w:r>
        <w:rPr>
          <w:noProof/>
        </w:rPr>
        <w:t>i)</w:t>
      </w:r>
      <w:r>
        <w:rPr>
          <w:noProof/>
        </w:rPr>
        <w:tab/>
        <w:t>pokud se liší od názvu oznamovaného prodejce, jméno držitele a číslo finančního účtu, na který je protiplnění zaplaceno nebo připsáno, v rozsahu dostupném oznamujícímu provozovateli platformy, jakož i jakékoli další finanční identifikační údaje dostupné oznamujícímu provozovateli platformy ve vztahu k předmětnému držiteli účtu;</w:t>
      </w:r>
    </w:p>
    <w:p>
      <w:pPr>
        <w:pStyle w:val="Point2"/>
        <w:rPr>
          <w:noProof/>
        </w:rPr>
      </w:pPr>
      <w:r>
        <w:rPr>
          <w:noProof/>
        </w:rPr>
        <w:t>j)</w:t>
      </w:r>
      <w:r>
        <w:rPr>
          <w:noProof/>
        </w:rPr>
        <w:tab/>
        <w:t>každý členský stát, ve kterém je oznamovaný prodejce rezidentem ve smyslu druhého pododstavce odstavce B bodu 3 oddílu I přílohy V;</w:t>
      </w:r>
    </w:p>
    <w:p>
      <w:pPr>
        <w:pStyle w:val="Point2"/>
        <w:rPr>
          <w:noProof/>
        </w:rPr>
      </w:pPr>
      <w:r>
        <w:rPr>
          <w:noProof/>
        </w:rPr>
        <w:t>k)</w:t>
      </w:r>
      <w:r>
        <w:rPr>
          <w:noProof/>
        </w:rPr>
        <w:tab/>
        <w:t xml:space="preserve">celkovou částku protiplnění vyplacenou nebo připsanou během jednotlivých čtvrtletí oznamovacího období; </w:t>
      </w:r>
    </w:p>
    <w:p>
      <w:pPr>
        <w:pStyle w:val="Point2"/>
        <w:rPr>
          <w:noProof/>
        </w:rPr>
      </w:pPr>
      <w:r>
        <w:rPr>
          <w:noProof/>
        </w:rPr>
        <w:t>l)</w:t>
      </w:r>
      <w:r>
        <w:rPr>
          <w:noProof/>
        </w:rPr>
        <w:tab/>
        <w:t>veškeré poplatky, provize nebo daně zadržené nebo účtované oznamujícím provozovatelem platformy během jednotlivých čtvrtletí oznamovacího období.</w:t>
      </w:r>
    </w:p>
    <w:p>
      <w:pPr>
        <w:pStyle w:val="Text2"/>
        <w:rPr>
          <w:noProof/>
        </w:rPr>
      </w:pPr>
      <w:r>
        <w:rPr>
          <w:noProof/>
        </w:rPr>
        <w:t>Pokud oznamovaný prodejce poskytuje služby pronájmu nemovitostí, budou sděleny následující další informace příslušnému orgánu členského státu, v němž je oznamovaný prodejce rezidentem pro daňové účely:</w:t>
      </w:r>
    </w:p>
    <w:p>
      <w:pPr>
        <w:pStyle w:val="Point2"/>
        <w:rPr>
          <w:noProof/>
        </w:rPr>
      </w:pPr>
      <w:r>
        <w:rPr>
          <w:noProof/>
        </w:rPr>
        <w:t>a)</w:t>
      </w:r>
      <w:r>
        <w:rPr>
          <w:noProof/>
        </w:rPr>
        <w:tab/>
        <w:t>adresa a každé zařazení do listu nemovitostí, určené na základě postupů stanovených v oddíle II odstavci E přílohy V, a příslušné registrační číslo pozemku, je-li k dispozici;</w:t>
      </w:r>
    </w:p>
    <w:p>
      <w:pPr>
        <w:pStyle w:val="Point2"/>
        <w:rPr>
          <w:noProof/>
        </w:rPr>
      </w:pPr>
      <w:r>
        <w:rPr>
          <w:noProof/>
        </w:rPr>
        <w:t>b)</w:t>
      </w:r>
      <w:r>
        <w:rPr>
          <w:noProof/>
        </w:rPr>
        <w:tab/>
        <w:t>pokud je to možné, počet dní, kdy byl každý list nemovitostí pronajat během oznamovacího období, a typ každého listu nemovitostí.</w:t>
      </w:r>
    </w:p>
    <w:p>
      <w:pPr>
        <w:pStyle w:val="Point1"/>
        <w:ind w:hanging="566"/>
        <w:rPr>
          <w:noProof/>
        </w:rPr>
      </w:pPr>
      <w:r>
        <w:rPr>
          <w:noProof/>
        </w:rPr>
        <w:t>3.</w:t>
      </w:r>
      <w:r>
        <w:rPr>
          <w:noProof/>
        </w:rPr>
        <w:tab/>
        <w:t>Sdělení podle odstavce 2 se uskuteční pomocí standardního formuláře uvedeného v čl. 20 odst. 7 do 2 měsíců po skončení oznamovacího období, na které se vztahují povinné oznamování oznamujícího provozovatele platformy.</w:t>
      </w:r>
    </w:p>
    <w:p>
      <w:pPr>
        <w:pStyle w:val="Point1"/>
        <w:rPr>
          <w:noProof/>
        </w:rPr>
      </w:pPr>
      <w:r>
        <w:rPr>
          <w:noProof/>
        </w:rPr>
        <w:t>4.</w:t>
      </w:r>
      <w:r>
        <w:rPr>
          <w:noProof/>
        </w:rPr>
        <w:tab/>
        <w:t xml:space="preserve">Pro účely plnění oznamovacích povinností podle odstavce 1 stanoví každý členský stát nezbytná pravidla, která vyžadují, aby se oznamující provozovatel </w:t>
      </w:r>
      <w:r>
        <w:rPr>
          <w:noProof/>
        </w:rPr>
        <w:lastRenderedPageBreak/>
        <w:t>platformy ve smyslu pododstavce A bodu 3 písm. b) oddílu I přílohy V registroval v rámci Unie. Příslušný orgán členského státu registrace přidělí takovému oznamujícímu provozovateli platformy individuální identifikační číslo.</w:t>
      </w:r>
    </w:p>
    <w:p>
      <w:pPr>
        <w:pStyle w:val="Text1"/>
        <w:ind w:left="1418"/>
        <w:rPr>
          <w:noProof/>
        </w:rPr>
      </w:pPr>
      <w:r>
        <w:rPr>
          <w:noProof/>
        </w:rPr>
        <w:t>Členské státy stanoví pravidla, podle kterých se oznamující provozovatel platformy může rozhodnout zaregistrovat u příslušných orgánů jednoho členského státu v souladu s pravidly stanovenými v příloze V oddíle IV odstavci F.</w:t>
      </w:r>
    </w:p>
    <w:p>
      <w:pPr>
        <w:pStyle w:val="Text1"/>
        <w:ind w:left="1418"/>
        <w:rPr>
          <w:noProof/>
        </w:rPr>
      </w:pPr>
      <w:r>
        <w:rPr>
          <w:noProof/>
        </w:rPr>
        <w:t>Komise prostřednictvím prováděcích aktů stanoví praktická opatření nezbytná k registraci a identifikaci oznamujících provozovatelů platforem. Tyto prováděcí akty budou přijaty postupem podle čl. 26 odst. 2.“</w:t>
      </w:r>
    </w:p>
    <w:p>
      <w:pPr>
        <w:pStyle w:val="Point0"/>
        <w:rPr>
          <w:noProof/>
        </w:rPr>
      </w:pPr>
      <w:r>
        <w:rPr>
          <w:noProof/>
        </w:rPr>
        <w:t>7)</w:t>
      </w:r>
      <w:r>
        <w:rPr>
          <w:noProof/>
        </w:rPr>
        <w:tab/>
        <w:t>Článek 8b se mění takto:</w:t>
      </w:r>
    </w:p>
    <w:p>
      <w:pPr>
        <w:pStyle w:val="Point1"/>
        <w:rPr>
          <w:noProof/>
        </w:rPr>
      </w:pPr>
      <w:r>
        <w:rPr>
          <w:noProof/>
        </w:rPr>
        <w:t>a)</w:t>
      </w:r>
      <w:r>
        <w:rPr>
          <w:noProof/>
        </w:rPr>
        <w:tab/>
        <w:t>Odstavec 1 se nahrazuje tímto:</w:t>
      </w:r>
    </w:p>
    <w:p>
      <w:pPr>
        <w:pStyle w:val="Point2"/>
        <w:rPr>
          <w:noProof/>
        </w:rPr>
      </w:pPr>
      <w:r>
        <w:rPr>
          <w:noProof/>
        </w:rPr>
        <w:t>„1.</w:t>
      </w:r>
      <w:r>
        <w:rPr>
          <w:noProof/>
        </w:rPr>
        <w:tab/>
        <w:t>Členské státy poskytnou Komisi každoročně statistiky o objemu automatických výměn podle čl. 8 odst. 1 a 3a, článku 8aa a článku 8ac a informace o správních a jiných souvisejících nákladech a přínosech souvisejících s výměnami dat, které se uskutečnily, a případné změny jak pro správce daně, tak i pro třetí strany.“.</w:t>
      </w:r>
    </w:p>
    <w:p>
      <w:pPr>
        <w:pStyle w:val="Point1"/>
        <w:rPr>
          <w:rStyle w:val="Marker0"/>
          <w:noProof/>
          <w:color w:val="auto"/>
        </w:rPr>
      </w:pPr>
      <w:r>
        <w:rPr>
          <w:noProof/>
        </w:rPr>
        <w:t>b)</w:t>
      </w:r>
      <w:r>
        <w:rPr>
          <w:noProof/>
        </w:rPr>
        <w:tab/>
        <w:t>Odstavec</w:t>
      </w:r>
      <w:r>
        <w:rPr>
          <w:rStyle w:val="Marker0"/>
          <w:noProof/>
          <w:color w:val="auto"/>
        </w:rPr>
        <w:t xml:space="preserve"> 2 se zrušuje.</w:t>
      </w:r>
    </w:p>
    <w:p>
      <w:pPr>
        <w:pStyle w:val="Point0"/>
        <w:rPr>
          <w:rStyle w:val="Marker0"/>
          <w:noProof/>
          <w:color w:val="auto"/>
        </w:rPr>
      </w:pPr>
      <w:r>
        <w:rPr>
          <w:noProof/>
        </w:rPr>
        <w:t>8)</w:t>
      </w:r>
      <w:r>
        <w:rPr>
          <w:noProof/>
        </w:rPr>
        <w:tab/>
      </w:r>
      <w:r>
        <w:rPr>
          <w:rStyle w:val="Marker0"/>
          <w:noProof/>
          <w:color w:val="auto"/>
        </w:rPr>
        <w:t>Článek 11 se mění takto:</w:t>
      </w:r>
    </w:p>
    <w:p>
      <w:pPr>
        <w:pStyle w:val="Point1"/>
        <w:rPr>
          <w:rStyle w:val="Marker0"/>
          <w:noProof/>
          <w:color w:val="auto"/>
        </w:rPr>
      </w:pPr>
      <w:r>
        <w:rPr>
          <w:noProof/>
        </w:rPr>
        <w:t>a)</w:t>
      </w:r>
      <w:r>
        <w:rPr>
          <w:noProof/>
        </w:rPr>
        <w:tab/>
        <w:t xml:space="preserve">Odstavec </w:t>
      </w:r>
      <w:r>
        <w:rPr>
          <w:rStyle w:val="Marker0"/>
          <w:noProof/>
          <w:color w:val="auto"/>
        </w:rPr>
        <w:t>1 se nahrazuje tímto:</w:t>
      </w:r>
    </w:p>
    <w:p>
      <w:pPr>
        <w:pStyle w:val="Point2"/>
        <w:rPr>
          <w:noProof/>
        </w:rPr>
      </w:pPr>
      <w:r>
        <w:rPr>
          <w:rStyle w:val="Marker0"/>
          <w:noProof/>
          <w:color w:val="auto"/>
        </w:rPr>
        <w:t>„1.</w:t>
      </w:r>
      <w:r>
        <w:rPr>
          <w:noProof/>
        </w:rPr>
        <w:tab/>
        <w:t>Za účelem výměny informací uvedených v článku 1 odst. 1 může příslušný orgán členského státu požádat příslušný orgán jiného členského státu, aby úředníci zmocnění prvním uvedeným členským státem a v souladu s procesními opatřeními stanovenými druhým uvedeným členským státem:</w:t>
      </w:r>
    </w:p>
    <w:p>
      <w:pPr>
        <w:pStyle w:val="Point3"/>
        <w:rPr>
          <w:rStyle w:val="Marker0"/>
          <w:noProof/>
          <w:color w:val="auto"/>
        </w:rPr>
      </w:pPr>
      <w:r>
        <w:rPr>
          <w:noProof/>
        </w:rPr>
        <w:t>a)</w:t>
      </w:r>
      <w:r>
        <w:rPr>
          <w:noProof/>
        </w:rPr>
        <w:tab/>
      </w:r>
      <w:r>
        <w:rPr>
          <w:rStyle w:val="Marker0"/>
          <w:noProof/>
          <w:color w:val="auto"/>
        </w:rPr>
        <w:t>byli přítomni v prostorách, kde správní orgány dožádaného členského státu plní své úkoly;</w:t>
      </w:r>
    </w:p>
    <w:p>
      <w:pPr>
        <w:pStyle w:val="Point3"/>
        <w:rPr>
          <w:rStyle w:val="Marker0"/>
          <w:noProof/>
          <w:color w:val="auto"/>
        </w:rPr>
      </w:pPr>
      <w:r>
        <w:rPr>
          <w:noProof/>
        </w:rPr>
        <w:t>b)</w:t>
      </w:r>
      <w:r>
        <w:rPr>
          <w:noProof/>
        </w:rPr>
        <w:tab/>
      </w:r>
      <w:r>
        <w:rPr>
          <w:rStyle w:val="Marker0"/>
          <w:noProof/>
          <w:color w:val="auto"/>
        </w:rPr>
        <w:t>byli přítomni při správních šetřeních prováděných na území dožádaného členského státu;</w:t>
      </w:r>
    </w:p>
    <w:p>
      <w:pPr>
        <w:pStyle w:val="Point3"/>
        <w:rPr>
          <w:rStyle w:val="Marker0"/>
          <w:noProof/>
          <w:color w:val="auto"/>
        </w:rPr>
      </w:pPr>
      <w:r>
        <w:rPr>
          <w:noProof/>
        </w:rPr>
        <w:t>c)</w:t>
      </w:r>
      <w:r>
        <w:rPr>
          <w:noProof/>
        </w:rPr>
        <w:tab/>
      </w:r>
      <w:r>
        <w:rPr>
          <w:rStyle w:val="Marker0"/>
          <w:noProof/>
          <w:color w:val="auto"/>
        </w:rPr>
        <w:t xml:space="preserve">se podíleli na správních šetřeních prováděných dožádaným členským státem prostřednictvím případného použití elektronických prostředků komunikace. </w:t>
      </w:r>
    </w:p>
    <w:p>
      <w:pPr>
        <w:pStyle w:val="Text2"/>
        <w:rPr>
          <w:rStyle w:val="Marker0"/>
          <w:noProof/>
          <w:color w:val="auto"/>
        </w:rPr>
      </w:pPr>
      <w:r>
        <w:rPr>
          <w:rStyle w:val="Marker0"/>
          <w:noProof/>
          <w:color w:val="auto"/>
        </w:rPr>
        <w:t>Příslušný dožadovaný orgán odpoví na žádost podle prvního pododstavce do 30 dnů, aby potvrdil svůj souhlas nebo sdělil své odůvodněné odmítnutí dožadujícímu orgánu.</w:t>
      </w:r>
    </w:p>
    <w:p>
      <w:pPr>
        <w:pStyle w:val="Text2"/>
        <w:rPr>
          <w:rStyle w:val="Marker0"/>
          <w:noProof/>
          <w:color w:val="auto"/>
        </w:rPr>
      </w:pPr>
      <w:r>
        <w:rPr>
          <w:rStyle w:val="Marker0"/>
          <w:noProof/>
          <w:color w:val="auto"/>
        </w:rPr>
        <w:t>Jsou-li požadované informace obsaženy v dokumentech, k nimž mají úředníci dožádaného orgánu přístup, jsou úředníkům dožadujícího orgánu poskytnuty kopie těchto dokumentů.“.</w:t>
      </w:r>
    </w:p>
    <w:p>
      <w:pPr>
        <w:pStyle w:val="Point1"/>
        <w:rPr>
          <w:rStyle w:val="Marker0"/>
          <w:noProof/>
          <w:color w:val="auto"/>
        </w:rPr>
      </w:pPr>
      <w:r>
        <w:rPr>
          <w:noProof/>
        </w:rPr>
        <w:t>b)</w:t>
      </w:r>
      <w:r>
        <w:rPr>
          <w:noProof/>
        </w:rPr>
        <w:tab/>
      </w:r>
      <w:r>
        <w:rPr>
          <w:rStyle w:val="Marker0"/>
          <w:noProof/>
          <w:color w:val="auto"/>
        </w:rPr>
        <w:t>V</w:t>
      </w:r>
      <w:r>
        <w:rPr>
          <w:noProof/>
        </w:rPr>
        <w:t xml:space="preserve"> odstavci </w:t>
      </w:r>
      <w:r>
        <w:rPr>
          <w:rStyle w:val="Marker0"/>
          <w:noProof/>
          <w:color w:val="auto"/>
        </w:rPr>
        <w:t>2 se první pododstavec nahrazuje tímto:</w:t>
      </w:r>
    </w:p>
    <w:p>
      <w:pPr>
        <w:pStyle w:val="Text2"/>
        <w:rPr>
          <w:rStyle w:val="Marker0"/>
          <w:noProof/>
          <w:color w:val="auto"/>
        </w:rPr>
      </w:pPr>
      <w:r>
        <w:rPr>
          <w:rStyle w:val="Marker0"/>
          <w:noProof/>
          <w:color w:val="auto"/>
        </w:rPr>
        <w:t>„Pokud jsou úředníci dožadujícího orgánu přítomni při administrativních šetřeních nebo se účastní pomocí elektronických komunikačních prostředků, mohou vyslechnout dotčené osoby a prozkoumat záznamy.“</w:t>
      </w:r>
    </w:p>
    <w:p>
      <w:pPr>
        <w:pStyle w:val="Point0"/>
        <w:rPr>
          <w:rStyle w:val="Marker0"/>
          <w:noProof/>
          <w:color w:val="auto"/>
        </w:rPr>
      </w:pPr>
      <w:r>
        <w:rPr>
          <w:noProof/>
        </w:rPr>
        <w:lastRenderedPageBreak/>
        <w:t>9)</w:t>
      </w:r>
      <w:r>
        <w:rPr>
          <w:noProof/>
        </w:rPr>
        <w:tab/>
      </w:r>
      <w:r>
        <w:rPr>
          <w:rStyle w:val="Marker0"/>
          <w:noProof/>
          <w:color w:val="auto"/>
        </w:rPr>
        <w:t>V článku 12 se odstavec 3 nahrazuje tímto:</w:t>
      </w:r>
    </w:p>
    <w:p>
      <w:pPr>
        <w:pStyle w:val="Point1"/>
        <w:rPr>
          <w:rStyle w:val="Marker0"/>
          <w:noProof/>
          <w:color w:val="auto"/>
        </w:rPr>
      </w:pPr>
      <w:r>
        <w:rPr>
          <w:rStyle w:val="Marker0"/>
          <w:noProof/>
          <w:color w:val="auto"/>
        </w:rPr>
        <w:t>„3.</w:t>
      </w:r>
      <w:r>
        <w:rPr>
          <w:noProof/>
        </w:rPr>
        <w:tab/>
      </w:r>
      <w:r>
        <w:rPr>
          <w:rStyle w:val="Marker0"/>
          <w:noProof/>
          <w:color w:val="auto"/>
        </w:rPr>
        <w:t>Příslušný orgán každého dotčeného členského státu rozhodne, zda si přeje se souběžných kontrol zúčastnit. Do 30 dnů od přijetí návrhu potvrdí orgánu, který navrhl souběžnou kontrolu, souhlas s jejím provedením anebo její odmítnutí, které musí odůvodnit.“</w:t>
      </w:r>
      <w:r>
        <w:rPr>
          <w:noProof/>
        </w:rPr>
        <w:t>.</w:t>
      </w:r>
    </w:p>
    <w:p>
      <w:pPr>
        <w:pStyle w:val="Point0"/>
        <w:rPr>
          <w:rStyle w:val="Marker0"/>
          <w:noProof/>
          <w:color w:val="auto"/>
        </w:rPr>
      </w:pPr>
      <w:r>
        <w:rPr>
          <w:noProof/>
        </w:rPr>
        <w:t>10)</w:t>
      </w:r>
      <w:r>
        <w:rPr>
          <w:noProof/>
        </w:rPr>
        <w:tab/>
      </w:r>
      <w:r>
        <w:rPr>
          <w:rStyle w:val="Marker0"/>
          <w:noProof/>
          <w:color w:val="auto"/>
        </w:rPr>
        <w:t>Vkládá se nový oddíl, který zní:</w:t>
      </w:r>
    </w:p>
    <w:p>
      <w:pPr>
        <w:pStyle w:val="Titrearticle"/>
        <w:rPr>
          <w:i w:val="0"/>
          <w:noProof/>
        </w:rPr>
      </w:pPr>
      <w:r>
        <w:rPr>
          <w:noProof/>
        </w:rPr>
        <w:t xml:space="preserve">„ODDÍL </w:t>
      </w:r>
      <w:r>
        <w:rPr>
          <w:i w:val="0"/>
          <w:noProof/>
        </w:rPr>
        <w:t>IIa</w:t>
      </w:r>
    </w:p>
    <w:p>
      <w:pPr>
        <w:pStyle w:val="NormalCentered"/>
        <w:rPr>
          <w:b/>
          <w:i/>
          <w:noProof/>
        </w:rPr>
      </w:pPr>
      <w:r>
        <w:rPr>
          <w:b/>
          <w:i/>
          <w:noProof/>
        </w:rPr>
        <w:t>Společné audity</w:t>
      </w:r>
    </w:p>
    <w:p>
      <w:pPr>
        <w:pStyle w:val="Titrearticle"/>
        <w:rPr>
          <w:noProof/>
        </w:rPr>
      </w:pPr>
      <w:r>
        <w:rPr>
          <w:noProof/>
        </w:rPr>
        <w:t>Článek 12a</w:t>
      </w:r>
    </w:p>
    <w:p>
      <w:pPr>
        <w:pStyle w:val="NormalCentered"/>
        <w:rPr>
          <w:b/>
          <w:noProof/>
        </w:rPr>
      </w:pPr>
      <w:r>
        <w:rPr>
          <w:b/>
          <w:noProof/>
        </w:rPr>
        <w:t>Společné audity</w:t>
      </w:r>
    </w:p>
    <w:p>
      <w:pPr>
        <w:pStyle w:val="ManualNumPar1"/>
        <w:rPr>
          <w:rStyle w:val="Marker0"/>
          <w:noProof/>
          <w:color w:val="auto"/>
        </w:rPr>
      </w:pPr>
      <w:r>
        <w:rPr>
          <w:noProof/>
        </w:rPr>
        <w:t>1.</w:t>
      </w:r>
      <w:r>
        <w:rPr>
          <w:noProof/>
        </w:rPr>
        <w:tab/>
      </w:r>
      <w:r>
        <w:rPr>
          <w:rStyle w:val="Marker0"/>
          <w:noProof/>
          <w:color w:val="auto"/>
        </w:rPr>
        <w:t>Pro účely této směrnice se „společným auditem“ rozumí správní šetření, které společně provádějí příslušné orgány dvou nebo více členských států předem dohodnutým a koordinovaným způsobem za účelem posuzování případu propojeného s jednou nebo více osobami společného nebo doplňkového zájmu jejich příslušných členských států.</w:t>
      </w:r>
    </w:p>
    <w:p>
      <w:pPr>
        <w:pStyle w:val="ManualNumPar1"/>
        <w:rPr>
          <w:rStyle w:val="Marker0"/>
          <w:noProof/>
          <w:color w:val="auto"/>
        </w:rPr>
      </w:pPr>
      <w:r>
        <w:rPr>
          <w:noProof/>
        </w:rPr>
        <w:t>2.</w:t>
      </w:r>
      <w:r>
        <w:rPr>
          <w:noProof/>
        </w:rPr>
        <w:tab/>
      </w:r>
      <w:r>
        <w:rPr>
          <w:rStyle w:val="Marker0"/>
          <w:noProof/>
          <w:color w:val="auto"/>
        </w:rPr>
        <w:t>Pokud příslušný orgán jednoho členského státu požádá příslušný orgán jiného členského státu (nebo jiných členských států) o provedení společného auditu jedné nebo více osob společného nebo doplňujícího zájmu se všemi jejich příslušnými členskými státy, dožádané orgány odpoví na žádost do 30 dnů od přijetí žádosti.</w:t>
      </w:r>
    </w:p>
    <w:p>
      <w:pPr>
        <w:pStyle w:val="ManualNumPar1"/>
        <w:rPr>
          <w:rStyle w:val="Marker0"/>
          <w:noProof/>
          <w:color w:val="auto"/>
        </w:rPr>
      </w:pPr>
      <w:r>
        <w:rPr>
          <w:noProof/>
        </w:rPr>
        <w:t>3.</w:t>
      </w:r>
      <w:r>
        <w:rPr>
          <w:noProof/>
        </w:rPr>
        <w:tab/>
      </w:r>
      <w:r>
        <w:rPr>
          <w:rStyle w:val="Marker0"/>
          <w:noProof/>
          <w:color w:val="auto"/>
        </w:rPr>
        <w:t xml:space="preserve">Žádost o společný audit s příslušným orgánem členského státu může být zamítnuta z odůvodněných důvodů, zejména z některého z následujících důvodů: </w:t>
      </w:r>
    </w:p>
    <w:p>
      <w:pPr>
        <w:pStyle w:val="Point1"/>
        <w:rPr>
          <w:rStyle w:val="Marker0"/>
          <w:noProof/>
          <w:color w:val="auto"/>
        </w:rPr>
      </w:pPr>
      <w:r>
        <w:rPr>
          <w:noProof/>
        </w:rPr>
        <w:t>a)</w:t>
      </w:r>
      <w:r>
        <w:rPr>
          <w:noProof/>
        </w:rPr>
        <w:tab/>
      </w:r>
      <w:r>
        <w:rPr>
          <w:rStyle w:val="Marker0"/>
          <w:noProof/>
          <w:color w:val="auto"/>
        </w:rPr>
        <w:t>požadovaný společný audit by zahrnoval provedení šetření nebo sdělování informací v rozporu s právními předpisy dožádaného členského státu;</w:t>
      </w:r>
    </w:p>
    <w:p>
      <w:pPr>
        <w:pStyle w:val="Point1"/>
        <w:rPr>
          <w:rStyle w:val="Marker0"/>
          <w:noProof/>
          <w:color w:val="auto"/>
        </w:rPr>
      </w:pPr>
      <w:r>
        <w:rPr>
          <w:noProof/>
        </w:rPr>
        <w:t>b)</w:t>
      </w:r>
      <w:r>
        <w:rPr>
          <w:noProof/>
        </w:rPr>
        <w:tab/>
      </w:r>
      <w:r>
        <w:rPr>
          <w:rStyle w:val="Marker0"/>
          <w:noProof/>
          <w:color w:val="auto"/>
        </w:rPr>
        <w:t>dožadující orgán není z právních důvodů schopen sdělit informace podobné těm, které by dožádaný členský stát očekával během společného auditu.</w:t>
      </w:r>
    </w:p>
    <w:p>
      <w:pPr>
        <w:pStyle w:val="ManualNumPar1"/>
        <w:rPr>
          <w:rStyle w:val="Marker0"/>
          <w:noProof/>
          <w:color w:val="auto"/>
        </w:rPr>
      </w:pPr>
      <w:r>
        <w:rPr>
          <w:noProof/>
        </w:rPr>
        <w:t>4.</w:t>
      </w:r>
      <w:r>
        <w:rPr>
          <w:noProof/>
        </w:rPr>
        <w:tab/>
      </w:r>
      <w:r>
        <w:rPr>
          <w:rStyle w:val="Marker0"/>
          <w:noProof/>
          <w:color w:val="auto"/>
        </w:rPr>
        <w:t>Pokud jedna nebo více osob požádá příslušný orgán dvou nebo více členských států o společný audit osoby (osob), dožádané orgány odpoví na tuto žádost do 30 dnů.</w:t>
      </w:r>
    </w:p>
    <w:p>
      <w:pPr>
        <w:pStyle w:val="Text1"/>
        <w:rPr>
          <w:rStyle w:val="Marker0"/>
          <w:noProof/>
          <w:color w:val="auto"/>
        </w:rPr>
      </w:pPr>
      <w:r>
        <w:rPr>
          <w:noProof/>
        </w:rPr>
        <w:t xml:space="preserve">Pokud dožádaný orgán žádost zamítne, uvědomí dožadující osobu </w:t>
      </w:r>
      <w:r>
        <w:rPr>
          <w:rStyle w:val="Marker0"/>
          <w:noProof/>
          <w:color w:val="auto"/>
        </w:rPr>
        <w:t xml:space="preserve">(osoby) o důvodech, proč tak učinil. </w:t>
      </w:r>
    </w:p>
    <w:p>
      <w:pPr>
        <w:pStyle w:val="ManualNumPar1"/>
        <w:rPr>
          <w:rStyle w:val="Marker0"/>
          <w:noProof/>
          <w:color w:val="auto"/>
        </w:rPr>
      </w:pPr>
      <w:r>
        <w:rPr>
          <w:noProof/>
        </w:rPr>
        <w:t>5.</w:t>
      </w:r>
      <w:r>
        <w:rPr>
          <w:noProof/>
        </w:rPr>
        <w:tab/>
      </w:r>
      <w:r>
        <w:rPr>
          <w:rStyle w:val="Marker0"/>
          <w:noProof/>
          <w:color w:val="auto"/>
        </w:rPr>
        <w:t xml:space="preserve">Bez ohledu na omezení stanovená v čl. 17 odst. 4 nesmí být poskytování informací příslušnému orgánu členského státu v rámci společného auditu podle tohoto </w:t>
      </w:r>
      <w:r>
        <w:rPr>
          <w:rStyle w:val="Marker0"/>
          <w:noProof/>
          <w:color w:val="auto"/>
          <w:szCs w:val="24"/>
        </w:rPr>
        <w:t>článku odmítnuto z důvodu</w:t>
      </w:r>
      <w:r>
        <w:rPr>
          <w:noProof/>
        </w:rPr>
        <w:t>, že by vedlo k prozrazení obchodního, průmyslového nebo profesního tajemství nebo obchodního postupu nebo z důvodu informací, jejichž zpřístupnění by bylo v rozporu s veřejným pořádkem</w:t>
      </w:r>
      <w:r>
        <w:rPr>
          <w:rStyle w:val="Marker0"/>
          <w:noProof/>
          <w:color w:val="auto"/>
        </w:rPr>
        <w:t>. Tím není dotčena povinnost přijímajícího příslušného orgánu tyto informace neposkytovat ani žádným způsobem nesdělovat třetím stranám.</w:t>
      </w:r>
    </w:p>
    <w:p>
      <w:pPr>
        <w:pStyle w:val="ManualNumPar1"/>
        <w:rPr>
          <w:rStyle w:val="Marker0"/>
          <w:noProof/>
          <w:color w:val="auto"/>
        </w:rPr>
      </w:pPr>
      <w:r>
        <w:rPr>
          <w:noProof/>
        </w:rPr>
        <w:t>6.</w:t>
      </w:r>
      <w:r>
        <w:rPr>
          <w:noProof/>
        </w:rPr>
        <w:tab/>
      </w:r>
      <w:r>
        <w:rPr>
          <w:rStyle w:val="Marker0"/>
          <w:noProof/>
          <w:color w:val="auto"/>
        </w:rPr>
        <w:t xml:space="preserve">Společné audity se provádějí v souladu s procedurálními pravidly platnými v členském státě, v němž dochází k provádění akcí souvisejících s auditem. Důkazy shromážděné v rámci společného auditu v jednom členském státě podle jeho právních předpisů vzájemně uznávají všechny ostatní příslušné orgány členských států, které se účastní společného auditu. </w:t>
      </w:r>
    </w:p>
    <w:p>
      <w:pPr>
        <w:pStyle w:val="ManualNumPar1"/>
        <w:rPr>
          <w:rStyle w:val="Marker0"/>
          <w:noProof/>
          <w:color w:val="auto"/>
        </w:rPr>
      </w:pPr>
      <w:r>
        <w:rPr>
          <w:noProof/>
        </w:rPr>
        <w:lastRenderedPageBreak/>
        <w:t>7.</w:t>
      </w:r>
      <w:r>
        <w:rPr>
          <w:noProof/>
        </w:rPr>
        <w:tab/>
      </w:r>
      <w:r>
        <w:rPr>
          <w:rStyle w:val="Marker0"/>
          <w:noProof/>
          <w:color w:val="auto"/>
        </w:rPr>
        <w:t>Pokud příslušné orgány dvou nebo více členských států provádějí společný audit, dohodnou se na skutečnostech a okolnostech případu a vynasnaží se dosáhnout dohody o daňové situaci dotčené auditované osoby či osob na základě výsledků společného auditu. Závěry auditu budou zapracovány do závěrečné zprávy, která má stejnou právní hodnotu jako příslušné vnitrostátní nástroje vydané po provedení auditu.</w:t>
      </w:r>
    </w:p>
    <w:p>
      <w:pPr>
        <w:pStyle w:val="ManualNumPar1"/>
        <w:rPr>
          <w:rStyle w:val="Marker0"/>
          <w:noProof/>
          <w:color w:val="auto"/>
        </w:rPr>
      </w:pPr>
      <w:r>
        <w:rPr>
          <w:noProof/>
        </w:rPr>
        <w:t>8.</w:t>
      </w:r>
      <w:r>
        <w:rPr>
          <w:noProof/>
        </w:rPr>
        <w:tab/>
      </w:r>
      <w:r>
        <w:rPr>
          <w:rStyle w:val="Marker0"/>
          <w:noProof/>
          <w:color w:val="auto"/>
        </w:rPr>
        <w:t>Pro účely provádění závěrečné zprávy stanoví členské státy ze zákona možnost provést odpovídající úpravu.</w:t>
      </w:r>
    </w:p>
    <w:p>
      <w:pPr>
        <w:pStyle w:val="ManualNumPar1"/>
        <w:rPr>
          <w:rStyle w:val="Marker0"/>
          <w:noProof/>
          <w:color w:val="auto"/>
        </w:rPr>
      </w:pPr>
      <w:r>
        <w:rPr>
          <w:noProof/>
        </w:rPr>
        <w:t>9.</w:t>
      </w:r>
      <w:r>
        <w:rPr>
          <w:noProof/>
        </w:rPr>
        <w:tab/>
      </w:r>
      <w:r>
        <w:rPr>
          <w:rStyle w:val="Marker0"/>
          <w:noProof/>
          <w:color w:val="auto"/>
        </w:rPr>
        <w:t xml:space="preserve">Příslušné orgány členských států, které provedly společný audit, oznámí auditovanému subjektu (osobám) do 30 dnů od vydání závěrečné zprávy výsledek auditu včetně závěrečné zprávy. </w:t>
      </w:r>
    </w:p>
    <w:p>
      <w:pPr>
        <w:pStyle w:val="ManualNumPar1"/>
        <w:rPr>
          <w:rStyle w:val="Marker0"/>
          <w:noProof/>
          <w:color w:val="auto"/>
        </w:rPr>
      </w:pPr>
      <w:r>
        <w:rPr>
          <w:noProof/>
        </w:rPr>
        <w:t>10.</w:t>
      </w:r>
      <w:r>
        <w:rPr>
          <w:noProof/>
        </w:rPr>
        <w:tab/>
      </w:r>
      <w:r>
        <w:rPr>
          <w:rStyle w:val="Marker0"/>
          <w:noProof/>
          <w:color w:val="auto"/>
        </w:rPr>
        <w:t>Na jazykových režimech společného auditu se dohodnou příslušné orgány, které se na auditu podílejí.“.</w:t>
      </w:r>
    </w:p>
    <w:p>
      <w:pPr>
        <w:pStyle w:val="Point0"/>
        <w:rPr>
          <w:noProof/>
        </w:rPr>
      </w:pPr>
      <w:r>
        <w:rPr>
          <w:noProof/>
        </w:rPr>
        <w:t>11)</w:t>
      </w:r>
      <w:r>
        <w:rPr>
          <w:noProof/>
        </w:rPr>
        <w:tab/>
      </w:r>
      <w:r>
        <w:rPr>
          <w:rStyle w:val="Marker0"/>
          <w:noProof/>
          <w:color w:val="auto"/>
        </w:rPr>
        <w:t>V článku 14 se odstavec 1 nahrazuje tímto</w:t>
      </w:r>
      <w:r>
        <w:rPr>
          <w:noProof/>
        </w:rPr>
        <w:t>:</w:t>
      </w:r>
    </w:p>
    <w:p>
      <w:pPr>
        <w:pStyle w:val="Point1"/>
        <w:rPr>
          <w:noProof/>
        </w:rPr>
      </w:pPr>
      <w:r>
        <w:rPr>
          <w:noProof/>
        </w:rPr>
        <w:t xml:space="preserve">„1. </w:t>
      </w:r>
      <w:r>
        <w:rPr>
          <w:noProof/>
        </w:rPr>
        <w:tab/>
        <w:t>Poskytne-li příslušný orgán informace podle článků 5 nebo 9, zašle příslušný orgán, který informace obdrží, aniž jsou dotčena pravidla o daňovém tajemství a ochraně údajů použitelná v jeho členském státě, zpětnou vazbu příslušnému orgánu, který informace poskytl, a to co nejdříve, nejpozději však do 30 dnů poté, co je znám výsledek použití požadovaných informací.</w:t>
      </w:r>
    </w:p>
    <w:p>
      <w:pPr>
        <w:pStyle w:val="Text2"/>
        <w:rPr>
          <w:noProof/>
        </w:rPr>
      </w:pPr>
      <w:r>
        <w:rPr>
          <w:noProof/>
        </w:rPr>
        <w:t xml:space="preserve">Komise </w:t>
      </w:r>
      <w:r>
        <w:rPr>
          <w:rStyle w:val="Marker0"/>
          <w:noProof/>
          <w:color w:val="auto"/>
        </w:rPr>
        <w:t>stanoví prostřednictvím prováděcích aktů</w:t>
      </w:r>
      <w:r>
        <w:rPr>
          <w:noProof/>
        </w:rPr>
        <w:t xml:space="preserve"> praktická opatření pro poskytování zpětné vazby v takových případech. </w:t>
      </w:r>
      <w:r>
        <w:rPr>
          <w:rStyle w:val="Marker0"/>
          <w:noProof/>
          <w:color w:val="auto"/>
        </w:rPr>
        <w:t xml:space="preserve">Tyto prováděcí akty </w:t>
      </w:r>
      <w:r>
        <w:rPr>
          <w:noProof/>
        </w:rPr>
        <w:t xml:space="preserve"> budou přijaty postupem podle čl. 26 odst. 2.“</w:t>
      </w:r>
      <w:r>
        <w:rPr>
          <w:noProof/>
          <w:color w:val="444444"/>
          <w:sz w:val="21"/>
          <w:szCs w:val="21"/>
        </w:rPr>
        <w:t>.</w:t>
      </w:r>
    </w:p>
    <w:p>
      <w:pPr>
        <w:pStyle w:val="Point0"/>
        <w:rPr>
          <w:noProof/>
        </w:rPr>
      </w:pPr>
      <w:r>
        <w:rPr>
          <w:noProof/>
        </w:rPr>
        <w:t>12)</w:t>
      </w:r>
      <w:r>
        <w:rPr>
          <w:noProof/>
        </w:rPr>
        <w:tab/>
      </w:r>
      <w:r>
        <w:rPr>
          <w:rStyle w:val="Marker0"/>
          <w:noProof/>
          <w:color w:val="auto"/>
        </w:rPr>
        <w:t>Článek</w:t>
      </w:r>
      <w:r>
        <w:rPr>
          <w:noProof/>
        </w:rPr>
        <w:t xml:space="preserve"> 16 se mění takto: </w:t>
      </w:r>
    </w:p>
    <w:p>
      <w:pPr>
        <w:pStyle w:val="Point1"/>
        <w:rPr>
          <w:noProof/>
        </w:rPr>
      </w:pPr>
      <w:r>
        <w:rPr>
          <w:noProof/>
        </w:rPr>
        <w:t>a)</w:t>
      </w:r>
      <w:r>
        <w:rPr>
          <w:noProof/>
        </w:rPr>
        <w:tab/>
        <w:t>V odstavci 1 se první pododstavec nahrazuje tímto:</w:t>
      </w:r>
    </w:p>
    <w:p>
      <w:pPr>
        <w:pStyle w:val="Text2"/>
        <w:rPr>
          <w:noProof/>
        </w:rPr>
      </w:pPr>
      <w:r>
        <w:rPr>
          <w:noProof/>
        </w:rPr>
        <w:t>„Informace sdělované mezi členskými státy v jakékoli formě podle této směrnice podléhají úřednímu tajemství a požívají stejné ochrany jako obdobné informace podle vnitrostátního práva členského státu, který je obdržel. Tyto informace mohou být použity pro vyměření, správu a vymáhání daní podle domácích právních předpisů týkajících se daní uvedených v článku 2 a také DPH a jiných nepřímých daní.“.</w:t>
      </w:r>
    </w:p>
    <w:p>
      <w:pPr>
        <w:pStyle w:val="Point1"/>
        <w:rPr>
          <w:noProof/>
        </w:rPr>
      </w:pPr>
      <w:r>
        <w:rPr>
          <w:noProof/>
        </w:rPr>
        <w:t>b)</w:t>
      </w:r>
      <w:r>
        <w:rPr>
          <w:noProof/>
        </w:rPr>
        <w:tab/>
        <w:t>Odstavec 2 se nahrazuje tímto:</w:t>
      </w:r>
    </w:p>
    <w:p>
      <w:pPr>
        <w:pStyle w:val="Point2"/>
        <w:rPr>
          <w:noProof/>
        </w:rPr>
      </w:pPr>
      <w:r>
        <w:rPr>
          <w:noProof/>
        </w:rPr>
        <w:t>„2.</w:t>
      </w:r>
      <w:r>
        <w:rPr>
          <w:noProof/>
        </w:rPr>
        <w:tab/>
        <w:t xml:space="preserve">Se souhlasem příslušného orgánu členského státu, který poskytuje informace na základě této směrnice, a pouze umožňují-li to právní předpisy členského státu příslušného orgánu, jenž informace obdrží, mohou být informace a dokumenty získané na základě této směrnice použity k účelům jiným než uvedeným v odstavci 1. </w:t>
      </w:r>
    </w:p>
    <w:p>
      <w:pPr>
        <w:pStyle w:val="Text3"/>
        <w:rPr>
          <w:noProof/>
        </w:rPr>
      </w:pPr>
      <w:r>
        <w:rPr>
          <w:noProof/>
        </w:rPr>
        <w:t>Příslušný orgán každého členského státu sdělí příslušným orgánům všech ostatních členských států seznam účelů, ke kterým lze v souladu s jeho vnitrostátními právními předpisy použít informace a dokumenty jiné než uvedené v odstavci 1. Příslušný orgán, který obdrží informace, může přijaté informace a dokumenty použít bez povolení uvedeného v prvním pododstavci ke kterémukoli z účelů uvedených sdělujícím členským státem.“.</w:t>
      </w:r>
    </w:p>
    <w:p>
      <w:pPr>
        <w:pStyle w:val="Point0"/>
        <w:rPr>
          <w:noProof/>
        </w:rPr>
      </w:pPr>
      <w:r>
        <w:rPr>
          <w:noProof/>
        </w:rPr>
        <w:t>13)</w:t>
      </w:r>
      <w:r>
        <w:rPr>
          <w:noProof/>
        </w:rPr>
        <w:tab/>
        <w:t xml:space="preserve">V </w:t>
      </w:r>
      <w:r>
        <w:rPr>
          <w:rStyle w:val="Marker0"/>
          <w:noProof/>
          <w:color w:val="auto"/>
        </w:rPr>
        <w:t>článku</w:t>
      </w:r>
      <w:r>
        <w:rPr>
          <w:noProof/>
        </w:rPr>
        <w:t> 17 se odstavec 1 nahrazuje tímto:</w:t>
      </w:r>
    </w:p>
    <w:p>
      <w:pPr>
        <w:pStyle w:val="Point1"/>
        <w:rPr>
          <w:noProof/>
        </w:rPr>
      </w:pPr>
      <w:r>
        <w:rPr>
          <w:noProof/>
        </w:rPr>
        <w:lastRenderedPageBreak/>
        <w:t>„1.</w:t>
      </w:r>
      <w:r>
        <w:rPr>
          <w:noProof/>
        </w:rPr>
        <w:tab/>
        <w:t>Dožádaný orgán v jednom členském státě poskytne dožadujícímu orgánu v jiném členském státě informace podle článku 5 za předpokladu, že dožadující orgán vyčerpal obvyklé zdroje informací, které mohl za daných okolností použít k získání požadovaných informací,</w:t>
      </w:r>
      <w:r>
        <w:rPr>
          <w:b/>
          <w:noProof/>
        </w:rPr>
        <w:t xml:space="preserve"> </w:t>
      </w:r>
      <w:r>
        <w:rPr>
          <w:noProof/>
        </w:rPr>
        <w:t>a využil všechny dostupné prostředky s výjimkou těch, které by způsobovaly nepřiměřené obtíže, aniž by se vystavoval nebezpečí ohrožení dosažení svých cílů.“</w:t>
      </w:r>
    </w:p>
    <w:p>
      <w:pPr>
        <w:pStyle w:val="Point0"/>
        <w:rPr>
          <w:noProof/>
        </w:rPr>
      </w:pPr>
      <w:r>
        <w:rPr>
          <w:noProof/>
        </w:rPr>
        <w:t>14)</w:t>
      </w:r>
      <w:r>
        <w:rPr>
          <w:noProof/>
        </w:rPr>
        <w:tab/>
      </w:r>
      <w:r>
        <w:rPr>
          <w:rStyle w:val="Marker0"/>
          <w:noProof/>
          <w:color w:val="auto"/>
        </w:rPr>
        <w:t>Článek</w:t>
      </w:r>
      <w:r>
        <w:rPr>
          <w:noProof/>
        </w:rPr>
        <w:t> 20 se mění takto:</w:t>
      </w:r>
    </w:p>
    <w:p>
      <w:pPr>
        <w:pStyle w:val="Point1"/>
        <w:rPr>
          <w:noProof/>
        </w:rPr>
      </w:pPr>
      <w:r>
        <w:rPr>
          <w:noProof/>
        </w:rPr>
        <w:t>a)</w:t>
      </w:r>
      <w:r>
        <w:rPr>
          <w:noProof/>
        </w:rPr>
        <w:tab/>
        <w:t>V odstavci 2 se první pododstavec nahrazuje tímto:</w:t>
      </w:r>
    </w:p>
    <w:p>
      <w:pPr>
        <w:pStyle w:val="Point2"/>
        <w:rPr>
          <w:noProof/>
        </w:rPr>
      </w:pPr>
      <w:r>
        <w:rPr>
          <w:noProof/>
        </w:rPr>
        <w:t>„2.</w:t>
      </w:r>
      <w:r>
        <w:rPr>
          <w:noProof/>
        </w:rPr>
        <w:tab/>
        <w:t xml:space="preserve">Ve standardním formuláři podle odstavce 1 uvede dožadující orgán alespoň tyto informace: </w:t>
      </w:r>
    </w:p>
    <w:p>
      <w:pPr>
        <w:pStyle w:val="Point3"/>
        <w:rPr>
          <w:noProof/>
        </w:rPr>
      </w:pPr>
      <w:r>
        <w:rPr>
          <w:noProof/>
        </w:rPr>
        <w:t>a)</w:t>
      </w:r>
      <w:r>
        <w:rPr>
          <w:noProof/>
        </w:rPr>
        <w:tab/>
        <w:t xml:space="preserve">totožnost zkoumané nebo vyšetřované osoby a v případě skupinových žádostí uvedených v článku 5b komplexní popis společných charakteristik skupiny; </w:t>
      </w:r>
    </w:p>
    <w:p>
      <w:pPr>
        <w:pStyle w:val="Point3"/>
        <w:rPr>
          <w:noProof/>
        </w:rPr>
      </w:pPr>
      <w:r>
        <w:rPr>
          <w:noProof/>
        </w:rPr>
        <w:t>b)</w:t>
      </w:r>
      <w:r>
        <w:rPr>
          <w:noProof/>
        </w:rPr>
        <w:tab/>
        <w:t xml:space="preserve">daňový účel, k němuž jsou informace požadovány.“. </w:t>
      </w:r>
    </w:p>
    <w:p>
      <w:pPr>
        <w:pStyle w:val="Point1"/>
        <w:rPr>
          <w:noProof/>
        </w:rPr>
      </w:pPr>
      <w:r>
        <w:rPr>
          <w:noProof/>
        </w:rPr>
        <w:t>b)</w:t>
      </w:r>
      <w:r>
        <w:rPr>
          <w:noProof/>
        </w:rPr>
        <w:tab/>
        <w:t>Odstavce 3 a 4 se nahrazují tímto:</w:t>
      </w:r>
    </w:p>
    <w:p>
      <w:pPr>
        <w:pStyle w:val="Point2"/>
        <w:rPr>
          <w:noProof/>
        </w:rPr>
      </w:pPr>
      <w:r>
        <w:rPr>
          <w:noProof/>
        </w:rPr>
        <w:t>„3.</w:t>
      </w:r>
      <w:r>
        <w:rPr>
          <w:noProof/>
        </w:rPr>
        <w:tab/>
        <w:t>Spontánní informace a jejich potvrzení podle článků 9 a 10, žádosti o správní oznámení podle článku 13, informace o zpětné vazbě podle článku 14 a sdělení podle čl. 16 odst. 2 a 3 a čl. 24 odst. 2 se zasílají prostřednictvím standardních formulářů přijatých Komisí postupem podle čl. 26 odst. 2.</w:t>
      </w:r>
    </w:p>
    <w:p>
      <w:pPr>
        <w:pStyle w:val="Point2"/>
        <w:rPr>
          <w:noProof/>
        </w:rPr>
      </w:pPr>
    </w:p>
    <w:p>
      <w:pPr>
        <w:pStyle w:val="Point2"/>
        <w:rPr>
          <w:noProof/>
        </w:rPr>
      </w:pPr>
      <w:r>
        <w:rPr>
          <w:noProof/>
        </w:rPr>
        <w:t xml:space="preserve"> 4. </w:t>
      </w:r>
      <w:r>
        <w:rPr>
          <w:noProof/>
        </w:rPr>
        <w:tab/>
        <w:t>Automatická výměna informací podle článků 8 a 8ac se provádí ve standardním počítačovém formátu zaměřeném na usnadnění takové automatické výměny, přijatém Komisí postupem podle čl. 26 odst. 2.“.</w:t>
      </w:r>
    </w:p>
    <w:p>
      <w:pPr>
        <w:pStyle w:val="Point0"/>
        <w:rPr>
          <w:noProof/>
        </w:rPr>
      </w:pPr>
      <w:r>
        <w:rPr>
          <w:noProof/>
        </w:rPr>
        <w:t>15)</w:t>
      </w:r>
      <w:r>
        <w:rPr>
          <w:noProof/>
        </w:rPr>
        <w:tab/>
        <w:t xml:space="preserve">V </w:t>
      </w:r>
      <w:r>
        <w:rPr>
          <w:rStyle w:val="Marker0"/>
          <w:noProof/>
          <w:color w:val="auto"/>
        </w:rPr>
        <w:t>článku</w:t>
      </w:r>
      <w:r>
        <w:rPr>
          <w:noProof/>
        </w:rPr>
        <w:t xml:space="preserve"> 21 se doplňuje nový odstavec, který zní:</w:t>
      </w:r>
    </w:p>
    <w:p>
      <w:pPr>
        <w:pStyle w:val="Point1"/>
        <w:rPr>
          <w:noProof/>
        </w:rPr>
      </w:pPr>
      <w:r>
        <w:rPr>
          <w:noProof/>
        </w:rPr>
        <w:t>‚7.</w:t>
      </w:r>
      <w:r>
        <w:rPr>
          <w:noProof/>
        </w:rPr>
        <w:tab/>
        <w:t>Komise vyvine a poskytne technickou a logistickou podporu bezpečnému ústřednímu rozhraní ke správní spolupráci v oblasti daní, pokud členské státy komunikují s použitím standardních formulářů podle čl. 20 odst. 1 a 3. K tomuto rozhraní mají přístup příslušné orgány všech členských států. Pro účely shromažďování statistik má Komise přístup k informacím o výměnách dat zaznamenaných do rozhraní, které lze automaticky extrahovat. Přístupem Komise není dotčena povinnost členských států poskytovat statistiky o výměnách informací v souladu s článkem 23 odst. 4.</w:t>
      </w:r>
    </w:p>
    <w:p>
      <w:pPr>
        <w:pStyle w:val="Text2"/>
        <w:rPr>
          <w:noProof/>
        </w:rPr>
      </w:pPr>
      <w:r>
        <w:rPr>
          <w:rStyle w:val="Marker0"/>
          <w:noProof/>
          <w:color w:val="auto"/>
        </w:rPr>
        <w:t>Komise stanoví nezbytná praktická opatření</w:t>
      </w:r>
      <w:r>
        <w:rPr>
          <w:noProof/>
        </w:rPr>
        <w:t xml:space="preserve"> prostřednictvím prováděcích aktů. </w:t>
      </w:r>
      <w:r>
        <w:rPr>
          <w:rStyle w:val="Marker0"/>
          <w:noProof/>
          <w:color w:val="auto"/>
        </w:rPr>
        <w:t>Tyto prováděcí akty</w:t>
      </w:r>
      <w:r>
        <w:rPr>
          <w:noProof/>
        </w:rPr>
        <w:t xml:space="preserve"> budou přijaty postupem podle čl. 26 odst. 2.“.</w:t>
      </w:r>
    </w:p>
    <w:p>
      <w:pPr>
        <w:pStyle w:val="Point0"/>
        <w:rPr>
          <w:noProof/>
        </w:rPr>
      </w:pPr>
      <w:r>
        <w:rPr>
          <w:noProof/>
        </w:rPr>
        <w:t>16)</w:t>
      </w:r>
      <w:r>
        <w:rPr>
          <w:noProof/>
        </w:rPr>
        <w:tab/>
        <w:t xml:space="preserve">V </w:t>
      </w:r>
      <w:r>
        <w:rPr>
          <w:rStyle w:val="Marker0"/>
          <w:noProof/>
          <w:color w:val="auto"/>
        </w:rPr>
        <w:t>článku</w:t>
      </w:r>
      <w:r>
        <w:rPr>
          <w:noProof/>
        </w:rPr>
        <w:t xml:space="preserve"> 22 se odstavec 1a nahrazuje tímto:</w:t>
      </w:r>
    </w:p>
    <w:p>
      <w:pPr>
        <w:pStyle w:val="Point1"/>
        <w:rPr>
          <w:noProof/>
        </w:rPr>
      </w:pPr>
      <w:r>
        <w:rPr>
          <w:noProof/>
        </w:rPr>
        <w:t>‚1a.</w:t>
      </w:r>
      <w:r>
        <w:rPr>
          <w:noProof/>
        </w:rPr>
        <w:tab/>
        <w:t>Pro účely provádění a vymáhání právních předpisů členských států, kterými se provádí tato směrnice, a k zajištění fungování správní spolupráce, kterou tato směrnice zřizuje, stanoví členské státy ze zákona přístup správců daně k mechanismům, postupům, dokumentům a informacím uvedené v článcích 13, 30, 31, 32a a 40 směrnice Evropského parlamentu a Rady (EU) 2015/849</w:t>
      </w:r>
      <w:r>
        <w:rPr>
          <w:rStyle w:val="FootnoteReference"/>
          <w:noProof/>
        </w:rPr>
        <w:t>*</w:t>
      </w:r>
      <w:r>
        <w:rPr>
          <w:noProof/>
        </w:rPr>
        <w:t>.</w:t>
      </w:r>
    </w:p>
    <w:p>
      <w:pPr>
        <w:pStyle w:val="Text2"/>
        <w:rPr>
          <w:noProof/>
        </w:rPr>
      </w:pPr>
      <w:r>
        <w:rPr>
          <w:noProof/>
        </w:rPr>
        <w:t xml:space="preserve">* Směrnice Evropského parlamentu a Rady (EU) 2015/849 ze dne 20. května 2015 o předcházení využívání finančního systému k praní peněz nebo financování terorismu, o změně nařízení Evropského parlamentu a Rady (EU) </w:t>
      </w:r>
      <w:r>
        <w:rPr>
          <w:noProof/>
        </w:rPr>
        <w:lastRenderedPageBreak/>
        <w:t>č. 648/2012 a o zrušení směrnice Evropského parlamentu a Rady 2005/60/ES a směrnice Evropského parlamentu a Rady 2006/70/ES (Úř. věst. L 141, 5.6.2015, s. 73).“.</w:t>
      </w:r>
    </w:p>
    <w:p>
      <w:pPr>
        <w:pStyle w:val="Point0"/>
        <w:rPr>
          <w:noProof/>
        </w:rPr>
      </w:pPr>
      <w:r>
        <w:rPr>
          <w:noProof/>
        </w:rPr>
        <w:t>17)</w:t>
      </w:r>
      <w:r>
        <w:rPr>
          <w:noProof/>
        </w:rPr>
        <w:tab/>
        <w:t xml:space="preserve">V </w:t>
      </w:r>
      <w:r>
        <w:rPr>
          <w:rStyle w:val="Marker0"/>
          <w:noProof/>
          <w:color w:val="auto"/>
        </w:rPr>
        <w:t>článku</w:t>
      </w:r>
      <w:r>
        <w:rPr>
          <w:noProof/>
        </w:rPr>
        <w:t> 23 se odstavec 2 nahrazuje tímto:</w:t>
      </w:r>
    </w:p>
    <w:p>
      <w:pPr>
        <w:pStyle w:val="Point1"/>
        <w:rPr>
          <w:noProof/>
        </w:rPr>
      </w:pPr>
      <w:r>
        <w:rPr>
          <w:noProof/>
        </w:rPr>
        <w:t>„2.</w:t>
      </w:r>
      <w:r>
        <w:rPr>
          <w:noProof/>
        </w:rPr>
        <w:tab/>
        <w:t>Členské státy ve své jurisdikci přezkoumají a vyhodnotí účinnost správní spolupráce v souladu s touto směrnicí v boji proti daňovým únikům a vyhýbání se daňovým povinnostem a každoročně sdělí Komisi výsledky svého hodnocení.“</w:t>
      </w:r>
      <w:r>
        <w:rPr>
          <w:noProof/>
          <w:color w:val="444444"/>
          <w:sz w:val="21"/>
          <w:szCs w:val="21"/>
        </w:rPr>
        <w:t>.</w:t>
      </w:r>
    </w:p>
    <w:p>
      <w:pPr>
        <w:pStyle w:val="Point0"/>
        <w:rPr>
          <w:noProof/>
        </w:rPr>
      </w:pPr>
      <w:r>
        <w:rPr>
          <w:noProof/>
        </w:rPr>
        <w:t>18)</w:t>
      </w:r>
      <w:r>
        <w:rPr>
          <w:noProof/>
        </w:rPr>
        <w:tab/>
        <w:t xml:space="preserve">V </w:t>
      </w:r>
      <w:r>
        <w:rPr>
          <w:rStyle w:val="Marker0"/>
          <w:noProof/>
          <w:color w:val="auto"/>
        </w:rPr>
        <w:t>článku</w:t>
      </w:r>
      <w:r>
        <w:rPr>
          <w:noProof/>
        </w:rPr>
        <w:t xml:space="preserve"> 23a se odstavec 2 nahrazuje tímto:</w:t>
      </w:r>
    </w:p>
    <w:p>
      <w:pPr>
        <w:pStyle w:val="Point1"/>
        <w:rPr>
          <w:noProof/>
        </w:rPr>
      </w:pPr>
      <w:r>
        <w:rPr>
          <w:noProof/>
        </w:rPr>
        <w:t>„2.</w:t>
      </w:r>
      <w:r>
        <w:rPr>
          <w:noProof/>
        </w:rPr>
        <w:tab/>
        <w:t>Informace, které Komisi poskytl některý členský stát podle článku 23, a veškeré zprávy či dokumenty vypracované Komisí na jejich základě mohou být předány jiným členským státům. Tyto předané informace podléhají úřednímu tajemství a požívají stejné ochrany jako obdobné informace podle vnitrostátního práva členského státu, který je obdržel.</w:t>
      </w:r>
    </w:p>
    <w:p>
      <w:pPr>
        <w:pStyle w:val="Text2"/>
        <w:rPr>
          <w:noProof/>
        </w:rPr>
      </w:pPr>
      <w:r>
        <w:rPr>
          <w:noProof/>
        </w:rPr>
        <w:t>Zprávy a dokumenty vypracované Komisí uvedené v prvním pododstavci mohou členské státy použít pouze pro analytické účely a nesmějí je zveřejnit ani zpřístupnit žádné další osobě nebo právnímu subjektu bez výslovného souhlasu Komise.</w:t>
      </w:r>
    </w:p>
    <w:p>
      <w:pPr>
        <w:pStyle w:val="Text2"/>
        <w:rPr>
          <w:noProof/>
        </w:rPr>
      </w:pPr>
      <w:r>
        <w:rPr>
          <w:noProof/>
        </w:rPr>
        <w:t>Bez ohledu na první a druhý pododstavec může Komise zveřejňovat každoročně anonymizované souhrny statistických údajů, které jí členské státy sdělují v souladu s čl. 23 odst. 4.“.</w:t>
      </w:r>
    </w:p>
    <w:p>
      <w:pPr>
        <w:pStyle w:val="Point0"/>
        <w:rPr>
          <w:noProof/>
        </w:rPr>
      </w:pPr>
      <w:r>
        <w:rPr>
          <w:noProof/>
        </w:rPr>
        <w:t>19)</w:t>
      </w:r>
      <w:r>
        <w:rPr>
          <w:noProof/>
        </w:rPr>
        <w:tab/>
      </w:r>
      <w:r>
        <w:rPr>
          <w:rStyle w:val="Marker0"/>
          <w:noProof/>
          <w:color w:val="auto"/>
        </w:rPr>
        <w:t>Článek</w:t>
      </w:r>
      <w:r>
        <w:rPr>
          <w:noProof/>
        </w:rPr>
        <w:t xml:space="preserve"> 25 se mění takto: </w:t>
      </w:r>
    </w:p>
    <w:p>
      <w:pPr>
        <w:pStyle w:val="Point1"/>
        <w:rPr>
          <w:noProof/>
        </w:rPr>
      </w:pPr>
      <w:r>
        <w:rPr>
          <w:noProof/>
        </w:rPr>
        <w:t>a)</w:t>
      </w:r>
      <w:r>
        <w:rPr>
          <w:noProof/>
        </w:rPr>
        <w:tab/>
        <w:t xml:space="preserve">Odstavce 2 a 3 se nahrazují tímto: </w:t>
      </w:r>
    </w:p>
    <w:p>
      <w:pPr>
        <w:pStyle w:val="Point2"/>
        <w:rPr>
          <w:noProof/>
        </w:rPr>
      </w:pPr>
      <w:r>
        <w:rPr>
          <w:noProof/>
        </w:rPr>
        <w:t>„2.</w:t>
      </w:r>
      <w:r>
        <w:rPr>
          <w:noProof/>
        </w:rPr>
        <w:tab/>
        <w:t>Oznamující finanční instituce, zprostředkovatelé, oznamující provozovatelé platforem a příslušné orgány jednotlivých členských států se považují za společné správce údajů a Komise se považuje za zpracovatele údajů ve smyslu nařízení Evropského parlamentu a Rady (EU) 2016/679*.</w:t>
      </w:r>
    </w:p>
    <w:p>
      <w:pPr>
        <w:pStyle w:val="Point2"/>
        <w:rPr>
          <w:noProof/>
        </w:rPr>
      </w:pPr>
      <w:r>
        <w:rPr>
          <w:noProof/>
        </w:rPr>
        <w:t>3.</w:t>
      </w:r>
      <w:r>
        <w:rPr>
          <w:noProof/>
        </w:rPr>
        <w:tab/>
        <w:t>Bez ohledu na odstavec 1 zajistí každý členský stát, aby jeho příslušný orgán nebo každý oznamující finanční orgán, případně zprostředkovatel nebo oznamující provozovatel platformy, který spadá do jeho pravomoci:</w:t>
      </w:r>
    </w:p>
    <w:p>
      <w:pPr>
        <w:pStyle w:val="Point3"/>
        <w:rPr>
          <w:noProof/>
        </w:rPr>
      </w:pPr>
      <w:r>
        <w:rPr>
          <w:noProof/>
        </w:rPr>
        <w:t>a)</w:t>
      </w:r>
      <w:r>
        <w:rPr>
          <w:noProof/>
        </w:rPr>
        <w:tab/>
        <w:t xml:space="preserve">informoval každou dotčenou osobu o tom, že informace týkající se tohoto jednotlivce budou shromažďovány a předávány v souladu s touto směrnicí; </w:t>
      </w:r>
    </w:p>
    <w:p>
      <w:pPr>
        <w:pStyle w:val="Point3"/>
        <w:rPr>
          <w:noProof/>
        </w:rPr>
      </w:pPr>
      <w:r>
        <w:rPr>
          <w:noProof/>
        </w:rPr>
        <w:t>b)</w:t>
      </w:r>
      <w:r>
        <w:rPr>
          <w:noProof/>
        </w:rPr>
        <w:tab/>
        <w:t>poskytl každé osobě veškeré informace, na které má předmětná osoba právo od správce údajů, v dostatečném časovém předstihu tak, aby jednotlivec mohl uplatnit svá práva na ochranu údajů, v každém případě před oznámením informací předmětné osoby.</w:t>
      </w:r>
    </w:p>
    <w:p>
      <w:pPr>
        <w:pStyle w:val="Text3"/>
        <w:rPr>
          <w:noProof/>
        </w:rPr>
      </w:pPr>
      <w:r>
        <w:rPr>
          <w:noProof/>
        </w:rPr>
        <w:t>Bez ohledu na první pododstavec písm. b) stanoví každý členský stát pravidla ukládající oznamujícím provozovatelům platforem povinnost informovat oznamované prodejce o oznámeném protiplnění.</w:t>
      </w:r>
    </w:p>
    <w:p>
      <w:pPr>
        <w:pStyle w:val="Text3"/>
        <w:rPr>
          <w:noProof/>
        </w:rPr>
      </w:pPr>
      <w:r>
        <w:rPr>
          <w:noProof/>
        </w:rPr>
        <w:t xml:space="preserve">* Nařízení Evropského parlamentu a Rady (EU) 2016/679 ze dne 27. dubna 2016 o ochraně fyzických osob v souvislosti se zpracováním osobních údajů a o volném pohybu těchto údajů a o zrušení směrnice </w:t>
      </w:r>
      <w:r>
        <w:rPr>
          <w:noProof/>
        </w:rPr>
        <w:lastRenderedPageBreak/>
        <w:t>95/46/ES (obecné nařízení o ochraně osobních údajů) (Úř. věst. L 119, 4.5.2016, s. 1).“.</w:t>
      </w:r>
    </w:p>
    <w:p>
      <w:pPr>
        <w:pStyle w:val="Point1"/>
        <w:rPr>
          <w:noProof/>
        </w:rPr>
      </w:pPr>
      <w:r>
        <w:rPr>
          <w:noProof/>
        </w:rPr>
        <w:t>b)</w:t>
      </w:r>
      <w:r>
        <w:rPr>
          <w:noProof/>
        </w:rPr>
        <w:tab/>
        <w:t>Doplňuje se nový odstavec, který zní:</w:t>
      </w:r>
    </w:p>
    <w:p>
      <w:pPr>
        <w:pStyle w:val="Point2"/>
        <w:rPr>
          <w:noProof/>
        </w:rPr>
      </w:pPr>
      <w:r>
        <w:rPr>
          <w:noProof/>
        </w:rPr>
        <w:t>„5.</w:t>
      </w:r>
      <w:r>
        <w:rPr>
          <w:noProof/>
        </w:rPr>
        <w:tab/>
        <w:t>Členské státy zajistí, aby v případě porušení ochrany osobních údajů ve smyslu čl. 4 bodu 12 nařízení (EU) 2016/679 mohly příslušné orgány požádat Komisi jako zpracovatele o zmírňující opatření formou pozastavení výměny informací podle této směrnice s členským státem, kde k porušení ochrany došlo.</w:t>
      </w:r>
    </w:p>
    <w:p>
      <w:pPr>
        <w:pStyle w:val="Text3"/>
        <w:rPr>
          <w:noProof/>
        </w:rPr>
      </w:pPr>
      <w:r>
        <w:rPr>
          <w:noProof/>
        </w:rPr>
        <w:t>Pozastavení trvá, dokud příslušné orgány nepožádají Komisi, aby znovu umožnila výměnu informací podle této směrnice s členským státem, v němž k porušení ochrany došlo.“.</w:t>
      </w:r>
    </w:p>
    <w:p>
      <w:pPr>
        <w:pStyle w:val="Point0"/>
        <w:rPr>
          <w:noProof/>
        </w:rPr>
      </w:pPr>
      <w:r>
        <w:rPr>
          <w:noProof/>
        </w:rPr>
        <w:t>20)</w:t>
      </w:r>
      <w:r>
        <w:rPr>
          <w:noProof/>
        </w:rPr>
        <w:tab/>
      </w:r>
      <w:r>
        <w:rPr>
          <w:rStyle w:val="Marker0"/>
          <w:noProof/>
          <w:color w:val="auto"/>
        </w:rPr>
        <w:t>Článek</w:t>
      </w:r>
      <w:r>
        <w:rPr>
          <w:noProof/>
        </w:rPr>
        <w:t xml:space="preserve"> 25a se nahrazuje tímto: </w:t>
      </w:r>
    </w:p>
    <w:p>
      <w:pPr>
        <w:pStyle w:val="Titrearticle"/>
        <w:rPr>
          <w:noProof/>
        </w:rPr>
      </w:pPr>
      <w:r>
        <w:rPr>
          <w:noProof/>
        </w:rPr>
        <w:t>„Článek 25a</w:t>
      </w:r>
    </w:p>
    <w:p>
      <w:pPr>
        <w:pStyle w:val="NormalCentered"/>
        <w:rPr>
          <w:b/>
          <w:noProof/>
        </w:rPr>
      </w:pPr>
      <w:r>
        <w:rPr>
          <w:b/>
          <w:i/>
          <w:noProof/>
        </w:rPr>
        <w:t>Sankce</w:t>
      </w:r>
    </w:p>
    <w:p>
      <w:pPr>
        <w:pStyle w:val="Text1"/>
        <w:rPr>
          <w:noProof/>
        </w:rPr>
      </w:pPr>
      <w:r>
        <w:rPr>
          <w:noProof/>
        </w:rPr>
        <w:t>Členské státy stanoví sankce za porušení vnitrostátních předpisů přijatých na základě této směrnice a týkajících se článků 8aa, 8ab a 8ac a přijmou veškerá opatření nezbytná k jejich uplatňování. Stanovené sankce musí být účinné, přiměřené a odrazující.“.</w:t>
      </w:r>
    </w:p>
    <w:p>
      <w:pPr>
        <w:pStyle w:val="Point0"/>
        <w:rPr>
          <w:noProof/>
        </w:rPr>
      </w:pPr>
      <w:r>
        <w:rPr>
          <w:noProof/>
        </w:rPr>
        <w:t>21)</w:t>
      </w:r>
      <w:r>
        <w:rPr>
          <w:noProof/>
        </w:rPr>
        <w:tab/>
        <w:t xml:space="preserve">Doplňuje se nová </w:t>
      </w:r>
      <w:r>
        <w:rPr>
          <w:rStyle w:val="Marker0"/>
          <w:noProof/>
          <w:color w:val="auto"/>
        </w:rPr>
        <w:t>příloha</w:t>
      </w:r>
      <w:r>
        <w:rPr>
          <w:noProof/>
        </w:rPr>
        <w:t xml:space="preserve"> V, jejíž znění je uvedeno v příloze této směrnice.</w:t>
      </w:r>
    </w:p>
    <w:p>
      <w:pPr>
        <w:pStyle w:val="Titrearticle"/>
        <w:rPr>
          <w:noProof/>
        </w:rPr>
      </w:pPr>
      <w:r>
        <w:rPr>
          <w:noProof/>
        </w:rPr>
        <w:t>Článek 2</w:t>
      </w:r>
    </w:p>
    <w:p>
      <w:pPr>
        <w:pStyle w:val="ManualNumPar1"/>
        <w:rPr>
          <w:noProof/>
        </w:rPr>
      </w:pPr>
      <w:r>
        <w:rPr>
          <w:noProof/>
        </w:rPr>
        <w:t>1.</w:t>
      </w:r>
      <w:r>
        <w:rPr>
          <w:noProof/>
        </w:rPr>
        <w:tab/>
        <w:t>Členské státy přijmou a zveřejní právní a správní předpisy nezbytné pro dosažení souladu s touto směrnicí do dne 31. prosince 2021. Neprodleně sdělí Komisi znění těchto ustanovení.</w:t>
      </w:r>
    </w:p>
    <w:p>
      <w:pPr>
        <w:pStyle w:val="Text1"/>
        <w:rPr>
          <w:noProof/>
        </w:rPr>
      </w:pPr>
      <w:r>
        <w:rPr>
          <w:noProof/>
        </w:rPr>
        <w:t>Předmětná ustanovení vstoupí v platnost ke dni 1. ledna 2022.</w:t>
      </w:r>
    </w:p>
    <w:p>
      <w:pPr>
        <w:pStyle w:val="Text1"/>
        <w:rPr>
          <w:noProof/>
        </w:rPr>
      </w:pPr>
      <w:r>
        <w:rPr>
          <w:noProof/>
        </w:rPr>
        <w:t>Tyto předpisy přijaté členskými státy musí obsahovat odkaz na tuto směrnici nebo musí být takový odkaz učiněn při jejich oficiální zveřejnění. Členské státy jsou povinny stanovit, jakým způsobem bude tento odkaz realizován.</w:t>
      </w:r>
    </w:p>
    <w:p>
      <w:pPr>
        <w:pStyle w:val="ManualNumPar1"/>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t>Článek 3</w:t>
      </w:r>
    </w:p>
    <w:p>
      <w:pPr>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Řídící a kontrolní systém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Slučitelnost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rPr>
          <w:noProof/>
        </w:rPr>
        <w:t>1.</w:t>
      </w:r>
      <w:r>
        <w:rPr>
          <w:noProof/>
        </w:rPr>
        <w:tab/>
        <w:t xml:space="preserve">RÁMEC NÁVRHU/PODNĚTU </w:t>
      </w:r>
    </w:p>
    <w:p>
      <w:pPr>
        <w:pStyle w:val="ManualHeading2"/>
        <w:rPr>
          <w:noProof/>
        </w:rPr>
      </w:pPr>
      <w:r>
        <w:rPr>
          <w:noProof/>
        </w:rPr>
        <w:t>1.1.</w:t>
      </w:r>
      <w:r>
        <w:rPr>
          <w:noProof/>
        </w:rPr>
        <w:tab/>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Návrh směrnice Rady, kterou se mění směrnice 2011/16/EU o správní spolupráci v oblasti daní</w:t>
      </w:r>
    </w:p>
    <w:p>
      <w:pPr>
        <w:pStyle w:val="ManualHeading2"/>
        <w:rPr>
          <w:noProof/>
          <w:szCs w:val="24"/>
        </w:rPr>
      </w:pPr>
      <w:r>
        <w:rPr>
          <w:noProof/>
        </w:rPr>
        <w:t>1.2.</w:t>
      </w:r>
      <w:r>
        <w:rPr>
          <w:noProof/>
        </w:rPr>
        <w:tab/>
        <w:t>Příslušné oblasti politik podle členění ABM/ABB</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rPr>
          <w:noProof/>
        </w:rPr>
        <w:t>1.3.</w:t>
      </w:r>
      <w:r>
        <w:rPr>
          <w:noProof/>
        </w:rPr>
        <w:tab/>
        <w:t xml:space="preserve">Povaha návrhu/podnětu </w:t>
      </w:r>
    </w:p>
    <w:p>
      <w:pPr>
        <w:pStyle w:val="Text1"/>
        <w:rPr>
          <w:b/>
          <w:noProof/>
          <w:sz w:val="22"/>
        </w:rPr>
      </w:pPr>
      <w:r>
        <w:rPr>
          <w:noProof/>
          <w:sz w:val="22"/>
        </w:rPr>
        <w:sym w:font="Wingdings" w:char="F0FD"/>
      </w:r>
      <w:r>
        <w:rPr>
          <w:b/>
          <w:i/>
          <w:noProof/>
          <w:sz w:val="22"/>
        </w:rPr>
        <w:t xml:space="preserve"> </w:t>
      </w:r>
      <w:r>
        <w:rPr>
          <w:noProof/>
        </w:rPr>
        <w:t xml:space="preserve">Návrh/podnět se týká </w:t>
      </w:r>
      <w:r>
        <w:rPr>
          <w:b/>
          <w:noProof/>
        </w:rPr>
        <w:t>nové akce</w:t>
      </w:r>
      <w:r>
        <w:rPr>
          <w:b/>
          <w:noProof/>
          <w:sz w:val="22"/>
        </w:rPr>
        <w:t xml:space="preserve"> </w:t>
      </w:r>
    </w:p>
    <w:p>
      <w:pPr>
        <w:pStyle w:val="Text1"/>
        <w:ind w:left="851"/>
        <w:rPr>
          <w:noProof/>
          <w:szCs w:val="24"/>
        </w:rPr>
      </w:pPr>
      <w:r>
        <w:rPr>
          <w:noProof/>
          <w:sz w:val="22"/>
        </w:rPr>
        <w:sym w:font="Wingdings" w:char="F0A8"/>
      </w:r>
      <w:r>
        <w:rPr>
          <w:noProof/>
          <w:sz w:val="22"/>
        </w:rPr>
        <w:t xml:space="preserve"> </w:t>
      </w:r>
      <w:r>
        <w:rPr>
          <w:noProof/>
        </w:rPr>
        <w:t xml:space="preserve">Návrh/podnět se týká </w:t>
      </w:r>
      <w:r>
        <w:rPr>
          <w:b/>
          <w:noProof/>
          <w:szCs w:val="24"/>
        </w:rPr>
        <w:t>nové akce následující po pilotním projektu / přípravné akci</w:t>
      </w:r>
      <w:r>
        <w:rPr>
          <w:rStyle w:val="FootnoteReference"/>
          <w:b/>
          <w:noProof/>
          <w:szCs w:val="24"/>
        </w:rPr>
        <w:footnoteReference w:id="28"/>
      </w:r>
      <w:r>
        <w:rPr>
          <w:noProof/>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novou akci</w:t>
      </w:r>
      <w:r>
        <w:rPr>
          <w:noProof/>
        </w:rPr>
        <w:t xml:space="preserve"> </w:t>
      </w:r>
    </w:p>
    <w:p>
      <w:pPr>
        <w:pStyle w:val="ManualHeading2"/>
        <w:rPr>
          <w:bCs/>
          <w:noProof/>
          <w:szCs w:val="24"/>
        </w:rPr>
      </w:pPr>
      <w:r>
        <w:rPr>
          <w:noProof/>
        </w:rPr>
        <w:t>1.4.</w:t>
      </w:r>
      <w:r>
        <w:rPr>
          <w:noProof/>
        </w:rPr>
        <w:tab/>
        <w:t>Cíle</w:t>
      </w:r>
    </w:p>
    <w:p>
      <w:pPr>
        <w:pStyle w:val="ManualHeading3"/>
        <w:rPr>
          <w:noProof/>
        </w:rPr>
      </w:pPr>
      <w:r>
        <w:rPr>
          <w:noProof/>
        </w:rPr>
        <w:t>1.4.1.</w:t>
      </w:r>
      <w:r>
        <w:rPr>
          <w:noProof/>
        </w:rPr>
        <w:tab/>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pracovním programu Komise na rok 2020 se mezi prioritami uvádí boj proti daňovým únikům. V návaznosti na to je klíčovou oblastí činnosti další posílení boje proti daňovým únikům a zvýšení transparentnosti a výměny informací. </w:t>
      </w:r>
    </w:p>
    <w:p>
      <w:pPr>
        <w:pStyle w:val="ManualHeading3"/>
        <w:rPr>
          <w:bCs/>
          <w:noProof/>
          <w:szCs w:val="24"/>
        </w:rPr>
      </w:pPr>
      <w:r>
        <w:rPr>
          <w:noProof/>
        </w:rPr>
        <w:t>1.4.2.</w:t>
      </w:r>
      <w:r>
        <w:rPr>
          <w:noProof/>
        </w:rPr>
        <w:tab/>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Specifický cíl </w:t>
      </w:r>
    </w:p>
    <w:p>
      <w:pPr>
        <w:pStyle w:val="Text1"/>
        <w:pBdr>
          <w:top w:val="single" w:sz="4" w:space="1" w:color="auto"/>
          <w:left w:val="single" w:sz="4" w:space="4" w:color="auto"/>
          <w:bottom w:val="single" w:sz="4" w:space="1" w:color="auto"/>
          <w:right w:val="single" w:sz="4" w:space="4" w:color="auto"/>
        </w:pBdr>
        <w:rPr>
          <w:noProof/>
        </w:rPr>
      </w:pPr>
      <w:r>
        <w:rPr>
          <w:noProof/>
        </w:rPr>
        <w:t>Cílem navrhovaných právních předpisů je zlepšit fungování stávajících politických ustanovení směrnice 2011/16/EU o správní spolupráci. Navrhovaná zlepšení se týkají všech forem výměny informací a správní spolupráce. Jejich cílem je také rozšíření rozsahu automatické výměny informací, pokud jde o informace oznámené provozovateli platforem</w:t>
      </w:r>
      <w:r>
        <w:rPr>
          <w:rStyle w:val="Marker0"/>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t>1.4.3.</w:t>
      </w:r>
      <w:r>
        <w:rPr>
          <w:noProof/>
        </w:rPr>
        <w:tab/>
        <w:t>Očekávané výsledky a dopady</w:t>
      </w:r>
    </w:p>
    <w:p>
      <w:pPr>
        <w:pStyle w:val="Text1"/>
        <w:rPr>
          <w:i/>
          <w:noProof/>
          <w:sz w:val="20"/>
        </w:rPr>
      </w:pPr>
      <w:r>
        <w:rPr>
          <w:i/>
          <w:noProof/>
          <w:sz w:val="20"/>
        </w:rPr>
        <w:t>Upřesněte účinky, které by návrh/podnět měl mít na příjemce/cílové skupiny.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Zlepšení stávajícího ustanovení by mělo mít pozitivní vliv na účinné uplatňování směrnice 2011/16/EU o správní spolupráci. Jednotné řešení současných nedostatků v účinnosti zajistí právní jistotu a srozumitelnost. </w:t>
      </w:r>
    </w:p>
    <w:p>
      <w:pPr>
        <w:pStyle w:val="Text1"/>
        <w:pBdr>
          <w:top w:val="single" w:sz="4" w:space="1" w:color="auto"/>
          <w:left w:val="single" w:sz="4" w:space="4" w:color="auto"/>
          <w:bottom w:val="single" w:sz="4" w:space="1" w:color="auto"/>
          <w:right w:val="single" w:sz="4" w:space="4" w:color="auto"/>
        </w:pBdr>
        <w:rPr>
          <w:noProof/>
        </w:rPr>
      </w:pPr>
      <w:r>
        <w:rPr>
          <w:noProof/>
        </w:rPr>
        <w:t>Cílem oznamovací povinnosti týkající se příjmů dosažených na základě používání digitálních platforem je především informovat správce daně o činnostech, jejichž rozměr přesahuje jednu jurisdikci. Informace oznámené a vyměněné s relevantními jurisdikcemi umožní příslušným orgánům vyměřit splatnou daň na základě správných a úplných informací. Uložením požadavku na oznamování digitálních platforem se navíc bude oznamovat příjem prodejců takovým způsobem, aby se mezi prodejci vytvořily rovné podmínky bez ohledu na to, zda pracují prostřednictvím digitálních platforem. Všichni provozovatelé platforem navíc budou podléhat stejným požadavkům.</w:t>
      </w:r>
    </w:p>
    <w:p>
      <w:pPr>
        <w:pStyle w:val="ManualHeading3"/>
        <w:rPr>
          <w:bCs/>
          <w:noProof/>
          <w:szCs w:val="24"/>
        </w:rPr>
      </w:pPr>
      <w:r>
        <w:rPr>
          <w:noProof/>
        </w:rPr>
        <w:t>1.4.4.</w:t>
      </w:r>
      <w:r>
        <w:rPr>
          <w:noProof/>
        </w:rPr>
        <w:tab/>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Návrh se bude řídit požadavky směrnice 2011/16/EU o správní spolupráci (kterou mění), pokud jde o následující body: i) roční poskytování statistických údajů o výměně informací členskými státy a ii) předložení zprávy Komisí na základě těchto statistik, včetně účinnosti automatické výměny informací.</w:t>
      </w:r>
    </w:p>
    <w:p>
      <w:pPr>
        <w:pStyle w:val="ManualHeading2"/>
        <w:rPr>
          <w:bCs/>
          <w:noProof/>
          <w:szCs w:val="24"/>
        </w:rPr>
      </w:pPr>
      <w:r>
        <w:rPr>
          <w:noProof/>
        </w:rPr>
        <w:t>1.5.</w:t>
      </w:r>
      <w:r>
        <w:rPr>
          <w:noProof/>
        </w:rPr>
        <w:tab/>
        <w:t xml:space="preserve">Odůvodnění návrhu/podnětu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Směrnice 2011/16/EU o správní spolupráci bude pozměněna tak, aby došlo k okamžitému zlepšení fungování stávajících ustanovení a zavedly se povinnosti provozovatelů digitálních platforem s cílem shromažďovat a oznamovat informace o příjmech generovaných daňovými poplatníky prostřednictvím digitálních platforem.</w:t>
      </w:r>
    </w:p>
    <w:p>
      <w:pPr>
        <w:pStyle w:val="ManualHeading3"/>
        <w:rPr>
          <w:bCs/>
          <w:noProof/>
          <w:szCs w:val="24"/>
        </w:rPr>
      </w:pPr>
      <w:r>
        <w:rPr>
          <w:noProof/>
        </w:rPr>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Opatření na úrovni EU přinese ve srovnání s iniciativami jednotlivých členských států v této oblasti přidanou hodnotu. Zaprvé zajistí důsledné uplatňování pravidel v celé EU. Zadruhé budou všechny platformy v oblasti působnosti podléhat stejným požadavkům na oznamování. Zatřetí bude oznamování doprovázeno výměnou informací a jako takové umožní správcům daně získat komplexní soubor informací o příjmech získaných prostřednictvím digitální platformy. Koordinovaná opatření na úrovni EU tak mohou zajistit účinnost a úplnost systému výměny informací a správní spolupráci lépe než jednotlivé iniciativy členských států.</w:t>
      </w:r>
    </w:p>
    <w:p>
      <w:pPr>
        <w:pStyle w:val="ManualHeading3"/>
        <w:rPr>
          <w:bCs/>
          <w:noProof/>
          <w:szCs w:val="24"/>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Pokud jde o provozovatele digitálních platforem, má 12 členských států zavedeny právní a/nebo správní pokyny, na jejichž základě by provozovatelé platforem museli oznamovat správcům daně informace o prodejcích působících na jejich platformě. Další čtyři členské státy plánují zavést takové právní předpisy nebo správní pokyny. Většina členských států navíc provedla kontroly souladu zaměřené na transakce umožňované platformami, jako jsou audity, dekrety nebo informační kampaně.</w:t>
      </w:r>
    </w:p>
    <w:p>
      <w:pPr>
        <w:pStyle w:val="ManualHeading3"/>
        <w:rPr>
          <w:bCs/>
          <w:noProof/>
          <w:szCs w:val="24"/>
        </w:rPr>
      </w:pPr>
      <w:r>
        <w:rPr>
          <w:noProof/>
        </w:rPr>
        <w:t>1.5.4.</w:t>
      </w:r>
      <w:r>
        <w:rPr>
          <w:noProof/>
        </w:rPr>
        <w:tab/>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Jelikož je tento návrh koncipován jakožto novelizace směrnice o správní spolupráci 2011/16/EU, budou postupy, režimy a nástroje informačních technologií, které již byly zřízeny, nebo které jsou vyvíjeny v souvislosti s uvedenou směrnicí, k dispozici k použití pro účely tohoto návrhu.</w:t>
      </w:r>
    </w:p>
    <w:p>
      <w:pPr>
        <w:pStyle w:val="ManualHeading2"/>
        <w:rPr>
          <w:bCs/>
          <w:noProof/>
          <w:szCs w:val="24"/>
        </w:rPr>
      </w:pPr>
      <w:r>
        <w:rPr>
          <w:noProof/>
        </w:rPr>
        <w:br w:type="page"/>
        <w:t>1.6.</w:t>
      </w:r>
      <w:r>
        <w:rPr>
          <w:noProof/>
        </w:rPr>
        <w:tab/>
        <w:t xml:space="preserve">Doba trvání akce a finanční dopad </w:t>
      </w:r>
    </w:p>
    <w:p>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ingdings" w:char="F0A8"/>
      </w:r>
      <w:r>
        <w:rPr>
          <w:noProof/>
        </w:rPr>
        <w:tab/>
        <w:t xml:space="preserve">Návrh/podnět s platností od [DD/MM]RRRR do [DD/MM]RRRR </w:t>
      </w:r>
    </w:p>
    <w:p>
      <w:pPr>
        <w:pStyle w:val="ListDash2"/>
        <w:rPr>
          <w:noProof/>
        </w:rPr>
      </w:pPr>
      <w:r>
        <w:rPr>
          <w:noProof/>
        </w:rPr>
        <w:sym w:font="Wingdings" w:char="F0A8"/>
      </w:r>
      <w:r>
        <w:rPr>
          <w:noProof/>
        </w:rPr>
        <w:tab/>
        <w:t xml:space="preserve">Finanční dopad od RRRR do RRRR </w:t>
      </w:r>
    </w:p>
    <w:p>
      <w:pPr>
        <w:pStyle w:val="Text1"/>
        <w:rPr>
          <w:noProof/>
        </w:rPr>
      </w:pPr>
      <w:r>
        <w:rPr>
          <w:noProof/>
        </w:rPr>
        <w:sym w:font="Wingdings" w:char="F0FD"/>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od RRRR do RRRR,</w:t>
      </w:r>
    </w:p>
    <w:p>
      <w:pPr>
        <w:pStyle w:val="ListDash1"/>
        <w:rPr>
          <w:noProof/>
        </w:rPr>
      </w:pPr>
      <w:r>
        <w:rPr>
          <w:noProof/>
        </w:rPr>
        <w:t>poté plné fungování.</w:t>
      </w:r>
    </w:p>
    <w:p>
      <w:pPr>
        <w:pStyle w:val="ManualHeading2"/>
        <w:rPr>
          <w:bCs/>
          <w:noProof/>
          <w:szCs w:val="24"/>
        </w:rPr>
      </w:pPr>
      <w:r>
        <w:rPr>
          <w:noProof/>
        </w:rPr>
        <w:t>1.7.</w:t>
      </w:r>
      <w:r>
        <w:rPr>
          <w:noProof/>
        </w:rPr>
        <w:tab/>
        <w:t>Předpokládaný způsob řízení</w:t>
      </w:r>
      <w:r>
        <w:rPr>
          <w:rStyle w:val="FootnoteReference"/>
          <w:noProof/>
        </w:rPr>
        <w:footnoteReference w:id="29"/>
      </w:r>
      <w:r>
        <w:rPr>
          <w:rStyle w:val="FootnoteReference"/>
          <w:noProof/>
        </w:rPr>
        <w:t xml:space="preserve">  </w:t>
      </w:r>
    </w:p>
    <w:p>
      <w:pPr>
        <w:pStyle w:val="Text1"/>
        <w:rPr>
          <w:noProof/>
        </w:rPr>
      </w:pPr>
      <w:r>
        <w:rPr>
          <w:noProof/>
          <w:sz w:val="22"/>
        </w:rPr>
        <w:sym w:font="Wingdings" w:char="F0FD"/>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orgány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specifických akcí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Tento návrh je založen na existujícím rámci a systémech automatické výměny informací, které byly vytvořeny podle článku 21 Směrnice 2011/16/EU v souvislosti s předcházející změnou. Komise spolu s členskými státy zpracuje standardizované formuláře a formy pro výměnu informací prostřednictvím prováděcích opatření. Pokud jde o společnou komunikační síť – CCN, která umožní výměnu informací mezi členskými státy, je Komise odpovědná za rozvoj takové sítě a členské státy se zavážou, že vytvoří příslušnou vnitrostátní infrastrukturu, která umožní výměnu informací prostřednictvím sítě CCN.</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SPRÁVNÍ OPATŘENÍ </w:t>
      </w:r>
    </w:p>
    <w:p>
      <w:pPr>
        <w:pStyle w:val="ManualHeading2"/>
        <w:rPr>
          <w:noProof/>
        </w:rPr>
      </w:pPr>
      <w:r>
        <w:rPr>
          <w:noProof/>
        </w:rPr>
        <w:t>2.1.</w:t>
      </w:r>
      <w:r>
        <w:rPr>
          <w:noProof/>
        </w:rPr>
        <w:tab/>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 xml:space="preserve">Členské státy se zavazují: </w:t>
      </w:r>
    </w:p>
    <w:p>
      <w:pPr>
        <w:pStyle w:val="Text1"/>
        <w:pBdr>
          <w:top w:val="single" w:sz="4" w:space="1" w:color="auto"/>
          <w:left w:val="single" w:sz="4" w:space="4" w:color="auto"/>
          <w:bottom w:val="single" w:sz="4" w:space="1" w:color="auto"/>
          <w:right w:val="single" w:sz="4" w:space="4" w:color="auto"/>
        </w:pBdr>
        <w:rPr>
          <w:noProof/>
        </w:rPr>
      </w:pPr>
      <w:r>
        <w:rPr>
          <w:noProof/>
        </w:rPr>
        <w:t>- Sdělit Komisi roční hodnocení účinnosti automatické výměny informací ve směrnici uvedené v článcích 8, 8a, 8aa, 8ab a navrhovaném článku 8ac, jakož i dosažené praktické výsledky;</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poskytovat seznam statistických údajů, který stanoví Komise v souladu s postupem v čl. 26 odst. 2 (prováděcí opatření), pro hodnocení této směrnice. </w:t>
      </w:r>
    </w:p>
    <w:p>
      <w:pPr>
        <w:pStyle w:val="Text1"/>
        <w:pBdr>
          <w:top w:val="single" w:sz="4" w:space="1" w:color="auto"/>
          <w:left w:val="single" w:sz="4" w:space="4" w:color="auto"/>
          <w:bottom w:val="single" w:sz="4" w:space="1" w:color="auto"/>
          <w:right w:val="single" w:sz="4" w:space="4" w:color="auto"/>
        </w:pBdr>
        <w:rPr>
          <w:noProof/>
        </w:rPr>
      </w:pPr>
      <w:r>
        <w:rPr>
          <w:noProof/>
        </w:rPr>
        <w:t>V článku 27 se Komise zavázala předkládat každých pět let zprávu o uplatňování této směrnice; tato lhůta začala běžet od 1. ledna 2013. Výsledky tohoto návrhu (kterým se mění směrnice o správní spolupráci) budou zahrnuty do zprávy pro Evropský parlament a Radu, která bude vydaná do 1. ledna 2028.</w:t>
      </w:r>
    </w:p>
    <w:p>
      <w:pPr>
        <w:pStyle w:val="ManualHeading2"/>
        <w:rPr>
          <w:bCs/>
          <w:noProof/>
          <w:szCs w:val="24"/>
        </w:rPr>
      </w:pPr>
      <w:r>
        <w:rPr>
          <w:noProof/>
        </w:rPr>
        <w:t>2.2.</w:t>
      </w:r>
      <w:r>
        <w:rPr>
          <w:noProof/>
        </w:rPr>
        <w:tab/>
        <w:t xml:space="preserve">Řídící a kontrolní systém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Byla zjištěna tato potenciální rizika: </w:t>
      </w:r>
    </w:p>
    <w:p>
      <w:pPr>
        <w:pStyle w:val="Text1"/>
        <w:pBdr>
          <w:top w:val="single" w:sz="4" w:space="1" w:color="auto"/>
          <w:left w:val="single" w:sz="4" w:space="4" w:color="auto"/>
          <w:bottom w:val="single" w:sz="4" w:space="1" w:color="auto"/>
          <w:right w:val="single" w:sz="4" w:space="4" w:color="auto"/>
        </w:pBdr>
        <w:rPr>
          <w:noProof/>
        </w:rPr>
      </w:pPr>
      <w:r>
        <w:rPr>
          <w:noProof/>
        </w:rPr>
        <w:t>- Členské státy se zavazují, že Komisi poskytnou statistické údaje, které se potom použijí pro hodnocení směrnice. Komise se zavazuje předkládat každých 5 let zprávu o těchto údajích. Členské státy se zavazují, zejména co se týče automatické výměny informací, předávat Komisi roční hodnocení o efektivnosti této výměny. S tím spojené riziko spočívá v tom, že údaje, které Komise obdržela, nemají očekávanou kvalitu.</w:t>
      </w:r>
    </w:p>
    <w:p>
      <w:pPr>
        <w:pStyle w:val="ManualHeading3"/>
        <w:rPr>
          <w:bCs/>
          <w:noProof/>
          <w:szCs w:val="24"/>
        </w:rPr>
      </w:pPr>
      <w:r>
        <w:rPr>
          <w:noProof/>
        </w:rPr>
        <w:t>2.2.2.</w:t>
      </w:r>
      <w:r>
        <w:rPr>
          <w:noProof/>
        </w:rPr>
        <w:tab/>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Program Fiscalis podpoří interní kontrolní systém v souladu s nařízením (EU) č. 1286/2013 ze dne 11. prosince 2013</w:t>
      </w:r>
      <w:r>
        <w:rPr>
          <w:rStyle w:val="FootnoteReference"/>
          <w:noProof/>
        </w:rPr>
        <w:footnoteReference w:id="30"/>
      </w:r>
      <w:r>
        <w:rPr>
          <w:noProof/>
        </w:rPr>
        <w:t xml:space="preserve"> poskytnutím finančních prostředků na následující tituly: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společné akce (např. ve formě projektových skupin); </w:t>
      </w:r>
    </w:p>
    <w:p>
      <w:pPr>
        <w:pStyle w:val="Text1"/>
        <w:pBdr>
          <w:top w:val="single" w:sz="4" w:space="1" w:color="auto"/>
          <w:left w:val="single" w:sz="4" w:space="4" w:color="auto"/>
          <w:bottom w:val="single" w:sz="4" w:space="1" w:color="auto"/>
          <w:right w:val="single" w:sz="4" w:space="4" w:color="auto"/>
        </w:pBdr>
        <w:rPr>
          <w:noProof/>
        </w:rPr>
      </w:pPr>
      <w:r>
        <w:rPr>
          <w:noProof/>
        </w:rPr>
        <w:t>- vývoj technických specifikací včetně schématu XML.</w:t>
      </w:r>
    </w:p>
    <w:p>
      <w:pPr>
        <w:pStyle w:val="Text1"/>
        <w:pBdr>
          <w:top w:val="single" w:sz="4" w:space="1" w:color="auto"/>
          <w:left w:val="single" w:sz="4" w:space="4" w:color="auto"/>
          <w:bottom w:val="single" w:sz="4" w:space="1" w:color="auto"/>
          <w:right w:val="single" w:sz="4" w:space="4" w:color="auto"/>
        </w:pBdr>
        <w:rPr>
          <w:noProof/>
        </w:rPr>
      </w:pPr>
      <w:r>
        <w:rPr>
          <w:noProof/>
        </w:rPr>
        <w:t xml:space="preserve">Hlavní prvky kontrolní strategie jsou: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Veřejné zakázky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Kontrolní postupy pro veřejné zakázky definované ve finančním nařízení: k zadání veřejné zakázky dochází po ověření, které zavedeným postupem provedou útvary Komise, přičemž se zohledňují smluvní závazky a řádné finanční i obecné řízení. Opatření proti podvodům (kontroly, zprávy atd.) budou obsažena ve všech smlouvách uzavřených mezi Komisí a příjemci. Základem každé konkrétní smlouvy jsou podrobné zadávací podmínky. Schvalovací proces se striktně řídí metodikou TAXUD TEMPO: provádí se přezkum, případně úpravy předmětu plnění a nakonec se transakce výslovně schválí (nebo zamítne). Nelze vyplatit žádnou fakturu bez „akceptačního dopisu“.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Technické ověřování pro veřejné zakázky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GŘ TAXUD provádí kontroly předmětů plnění a dozor nad operacemi a službami prováděnými dodavateli/zhotoviteli/poskytovateli. Také pravidelně provádí audity jakosti a bezpečnostní audity dodavatelů/zhotovitelů/poskytovatelů. Audity jakosti ověřují, jestli jejich procesy splňují pravidla a postupy, které jsou definovány v plánech jakosti. Bezpečnostní audity se zaměřují na konkrétní procesy, postupy a nastavení.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Kromě výše uvedených kontrol provádí GŘ TAXUD také tradiční finanční kontroly: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Předběžné ověřování závazků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Veškeré závazky v rámci GŘ TAXUD ověřuje vedoucí oddělení pro finance a obchodní korespondent úseku lidských zdrojů. V důsledku toho je předběžně ověřováno 100 % přidělených částek. Tento postup poskytuje vysokou úroveň jistoty, co se týče legality a správnosti transakcí.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Předběžné ověřování plateb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Předběžně je ověřováno 100 % plateb. Kromě toho je náhodně vybrána alespoň jedna platba (ze všech kategorií výdajů) týdně k dalšímu ověření ex ante; toto ověření provádí vedoucí finančního oddělení a obchodní korespondent úseku lidských zdrojů. Není stanoven žádný cíl, co se týče pokrytí, jelikož účelem tohoto ověřování je „náhodná“ kontrola plateb za účelem zjištění, jestli všechny platby byly připraveny v souladu s požadavky. Zbývající platby jsou denně zpracovávány v souladu s platnými pravidly.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Prohlášení dále pověřených schvalujících osob (AOSD) </w:t>
      </w:r>
    </w:p>
    <w:p>
      <w:pPr>
        <w:pStyle w:val="Text1"/>
        <w:pBdr>
          <w:top w:val="single" w:sz="4" w:space="1" w:color="auto"/>
          <w:left w:val="single" w:sz="4" w:space="4" w:color="auto"/>
          <w:bottom w:val="single" w:sz="4" w:space="1" w:color="auto"/>
          <w:right w:val="single" w:sz="4" w:space="4" w:color="auto"/>
        </w:pBdr>
        <w:rPr>
          <w:noProof/>
        </w:rPr>
      </w:pPr>
      <w:r>
        <w:rPr>
          <w:noProof/>
        </w:rPr>
        <w:t>Všechna prohlášení na podporu výroční zprávy o činnosti za příslušný rok podepisují dále pověřené schvalující osoby. Tato prohlášení se týkají operací prováděných v rámci programu. AOSD prohlašují, že operace související s plněním rozpočtu byly provedeny v souladu se zásadami řádného finančního řízení, že zavedené systémy řízení a kontroly poskytují uspokojivou záruku ohledně zákonnosti a řádnosti transakcí a že rizika související s těmito operacemi byla řádně identifikována, nahlášena a že byla realizována zmírňující opatření.</w:t>
      </w:r>
    </w:p>
    <w:p>
      <w:pPr>
        <w:pStyle w:val="ManualHeading3"/>
        <w:rPr>
          <w:noProof/>
        </w:rPr>
      </w:pPr>
      <w:r>
        <w:rPr>
          <w:noProof/>
        </w:rPr>
        <w:t>2.2.3.</w:t>
      </w:r>
      <w:r>
        <w:rPr>
          <w:noProof/>
        </w:rPr>
        <w:tab/>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Zavedené kontroly poskytují GŘ TAXUD dostatečnou záruku kvality a správnosti výdajů a snižují riziko nedodržování předpisů. Výše uvedená opatření kontrolní strategie snižují potenciální rizika na méně než vytyčená 2 % a vztahují se na všechny příjemce. Jakákoli další opatření pro snížení rizik by znamenala neúměrně vysoké náklady, a proto se neplánují. Celkové náklady vzniklé při provádění výše uvedené kontrolní strategie – pro všechny výdaje v rámci programu Fiscalis 2020 – jsou omezeny na 1,6 % celkových zaplacených plateb. U této iniciativy by se měly udržet na tomto poměru. Kontrolní strategie programu snižuje riziko neshody s předpisy prakticky na nulu a je úměrná v souvislosti s riziky, která s sebou program nese.</w:t>
      </w:r>
    </w:p>
    <w:p>
      <w:pPr>
        <w:pStyle w:val="ManualHeading2"/>
        <w:rPr>
          <w:bCs/>
          <w:noProof/>
          <w:szCs w:val="24"/>
        </w:rPr>
      </w:pPr>
      <w:r>
        <w:rPr>
          <w:noProof/>
        </w:rPr>
        <w:t>2.3.</w:t>
      </w:r>
      <w:r>
        <w:rPr>
          <w:noProof/>
        </w:rPr>
        <w:tab/>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Evropský úřad pro boj proti podvodům (OLAF) může provádět vyšetřování, včetně kontrol a inspekcí na místě, v souladu s ustanoveními a postupy stanovenými v nařízení Evropského parlamentu a Rady (ES) č. 1073/1999</w:t>
      </w:r>
      <w:r>
        <w:rPr>
          <w:rStyle w:val="FootnoteReference"/>
          <w:noProof/>
        </w:rPr>
        <w:footnoteReference w:id="31"/>
      </w:r>
      <w:r>
        <w:rPr>
          <w:noProof/>
        </w:rPr>
        <w:t xml:space="preserve"> a v nařízení Rady (Euratom, ES) č. 2185/96</w:t>
      </w:r>
      <w:r>
        <w:rPr>
          <w:rStyle w:val="FootnoteReference"/>
          <w:noProof/>
        </w:rPr>
        <w:footnoteReference w:id="32"/>
      </w:r>
      <w:r>
        <w:rPr>
          <w:noProof/>
        </w:rPr>
        <w:t xml:space="preserve"> s cílem zjistit, zda v souvislosti s grantovou dohodou, rozhodnutím o grantu nebo smlouvou o financování na základě uvedeného nařízení nedošlo k podvodu, korupci nebo jinému protiprávnímu jednání ohrožujícímu finanční zájmy Unie.</w:t>
      </w:r>
    </w:p>
    <w:p>
      <w:pPr>
        <w:pStyle w:val="ManualHeading1"/>
        <w:rPr>
          <w:noProof/>
        </w:rPr>
      </w:pPr>
      <w:r>
        <w:rPr>
          <w:noProof/>
        </w:rPr>
        <w:t>3.</w:t>
      </w:r>
      <w:r>
        <w:rPr>
          <w:noProof/>
        </w:rPr>
        <w:tab/>
        <w:t xml:space="preserve">ODHADOVANÝ FINANČNÍ DOPAD NÁVRHU/PODNĚTU </w:t>
      </w:r>
    </w:p>
    <w:p>
      <w:pPr>
        <w:pStyle w:val="ManualHeading2"/>
        <w:rPr>
          <w:noProof/>
        </w:rPr>
      </w:pPr>
      <w:r>
        <w:rPr>
          <w:noProof/>
        </w:rPr>
        <w:t>3.1.</w:t>
      </w:r>
      <w:r>
        <w:rPr>
          <w:noProof/>
        </w:rPr>
        <w:tab/>
        <w:t xml:space="preserve">Okruhy víceletého finančního rámce a dotčené výdajové rozpočtové položky </w:t>
      </w:r>
    </w:p>
    <w:p>
      <w:pPr>
        <w:tabs>
          <w:tab w:val="num" w:pos="1134"/>
        </w:tabs>
        <w:ind w:left="1134" w:hanging="283"/>
        <w:rPr>
          <w:rFonts w:eastAsia="Times New Roman"/>
          <w:noProof/>
        </w:rPr>
      </w:pPr>
      <w:r>
        <w:rPr>
          <w:noProof/>
        </w:rPr>
        <w:t xml:space="preserve">Stávající rozpočtové položky </w:t>
      </w:r>
    </w:p>
    <w:p>
      <w:pPr>
        <w:ind w:left="850"/>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Okruh víceletého finančního rámce</w:t>
            </w:r>
          </w:p>
        </w:tc>
        <w:tc>
          <w:tcPr>
            <w:tcW w:w="3240" w:type="dxa"/>
            <w:vAlign w:val="center"/>
          </w:tcPr>
          <w:p>
            <w:pPr>
              <w:spacing w:before="60" w:after="60"/>
              <w:jc w:val="center"/>
              <w:rPr>
                <w:noProof/>
                <w:sz w:val="22"/>
              </w:rPr>
            </w:pPr>
            <w:r>
              <w:rPr>
                <w:noProof/>
                <w:sz w:val="20"/>
              </w:rPr>
              <w:t>Rozpočtová položka</w:t>
            </w:r>
          </w:p>
        </w:tc>
        <w:tc>
          <w:tcPr>
            <w:tcW w:w="1200" w:type="dxa"/>
            <w:vAlign w:val="center"/>
          </w:tcPr>
          <w:p>
            <w:pPr>
              <w:spacing w:before="60" w:after="60"/>
              <w:jc w:val="center"/>
              <w:rPr>
                <w:noProof/>
                <w:sz w:val="22"/>
              </w:rPr>
            </w:pPr>
            <w:r>
              <w:rPr>
                <w:noProof/>
                <w:sz w:val="18"/>
              </w:rPr>
              <w:t xml:space="preserve">Druh </w:t>
            </w:r>
            <w:r>
              <w:rPr>
                <w:noProof/>
              </w:rPr>
              <w:t xml:space="preserve"> </w:t>
            </w:r>
            <w:r>
              <w:rPr>
                <w:noProof/>
              </w:rPr>
              <w:br/>
            </w:r>
            <w:r>
              <w:rPr>
                <w:noProof/>
                <w:sz w:val="18"/>
              </w:rPr>
              <w:t>výdaje</w:t>
            </w:r>
          </w:p>
        </w:tc>
        <w:tc>
          <w:tcPr>
            <w:tcW w:w="4320" w:type="dxa"/>
            <w:gridSpan w:val="4"/>
            <w:vAlign w:val="center"/>
          </w:tcPr>
          <w:p>
            <w:pPr>
              <w:spacing w:before="60" w:after="60"/>
              <w:jc w:val="center"/>
              <w:rPr>
                <w:noProof/>
                <w:sz w:val="22"/>
              </w:rPr>
            </w:pPr>
            <w:r>
              <w:rPr>
                <w:noProof/>
                <w:sz w:val="20"/>
              </w:rPr>
              <w:t xml:space="preserve">Příspěvek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RP/NRP</w:t>
            </w:r>
            <w:r>
              <w:rPr>
                <w:rStyle w:val="FootnoteReference"/>
                <w:noProof/>
              </w:rPr>
              <w:footnoteReference w:id="33"/>
            </w:r>
          </w:p>
        </w:tc>
        <w:tc>
          <w:tcPr>
            <w:tcW w:w="960" w:type="dxa"/>
            <w:vAlign w:val="center"/>
          </w:tcPr>
          <w:p>
            <w:pPr>
              <w:jc w:val="center"/>
              <w:rPr>
                <w:noProof/>
                <w:sz w:val="22"/>
              </w:rPr>
            </w:pPr>
            <w:r>
              <w:rPr>
                <w:noProof/>
                <w:sz w:val="18"/>
              </w:rPr>
              <w:t>zemí ESVO</w:t>
            </w:r>
            <w:r>
              <w:rPr>
                <w:rStyle w:val="FootnoteReference"/>
                <w:noProof/>
              </w:rPr>
              <w:footnoteReference w:id="34"/>
            </w:r>
          </w:p>
          <w:p>
            <w:pPr>
              <w:spacing w:before="0" w:after="0"/>
              <w:jc w:val="center"/>
              <w:rPr>
                <w:b/>
                <w:noProof/>
                <w:sz w:val="18"/>
              </w:rPr>
            </w:pPr>
          </w:p>
        </w:tc>
        <w:tc>
          <w:tcPr>
            <w:tcW w:w="956" w:type="dxa"/>
            <w:vAlign w:val="center"/>
          </w:tcPr>
          <w:p>
            <w:pPr>
              <w:jc w:val="center"/>
              <w:rPr>
                <w:noProof/>
                <w:sz w:val="22"/>
              </w:rPr>
            </w:pPr>
            <w:r>
              <w:rPr>
                <w:noProof/>
                <w:sz w:val="18"/>
              </w:rPr>
              <w:t>kandidátských zemí</w:t>
            </w:r>
            <w:r>
              <w:rPr>
                <w:rStyle w:val="FootnoteReference"/>
                <w:noProof/>
              </w:rPr>
              <w:footnoteReference w:id="35"/>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800" w:type="dxa"/>
            <w:vAlign w:val="center"/>
          </w:tcPr>
          <w:p>
            <w:pPr>
              <w:jc w:val="center"/>
              <w:rPr>
                <w:noProof/>
                <w:sz w:val="22"/>
              </w:rPr>
            </w:pPr>
            <w:r>
              <w:rPr>
                <w:noProof/>
                <w:sz w:val="22"/>
              </w:rPr>
              <w:t>1A – Konkurenceschopnost pro růst a zaměstnanost</w:t>
            </w:r>
          </w:p>
        </w:tc>
        <w:tc>
          <w:tcPr>
            <w:tcW w:w="3240" w:type="dxa"/>
            <w:vAlign w:val="center"/>
          </w:tcPr>
          <w:p>
            <w:pPr>
              <w:rPr>
                <w:noProof/>
                <w:sz w:val="22"/>
              </w:rPr>
            </w:pPr>
            <w:r>
              <w:rPr>
                <w:noProof/>
                <w:sz w:val="22"/>
              </w:rPr>
              <w:t>Zlepšení řádného fungování systémů zdanění</w:t>
            </w:r>
          </w:p>
          <w:p>
            <w:pPr>
              <w:spacing w:after="60"/>
              <w:rPr>
                <w:noProof/>
                <w:sz w:val="22"/>
              </w:rPr>
            </w:pPr>
          </w:p>
        </w:tc>
        <w:tc>
          <w:tcPr>
            <w:tcW w:w="1200" w:type="dxa"/>
            <w:vAlign w:val="center"/>
          </w:tcPr>
          <w:p>
            <w:pPr>
              <w:jc w:val="center"/>
              <w:rPr>
                <w:noProof/>
                <w:color w:val="0000FF"/>
                <w:sz w:val="22"/>
              </w:rPr>
            </w:pPr>
            <w:r>
              <w:rPr>
                <w:noProof/>
                <w:sz w:val="22"/>
              </w:rPr>
              <w:t>Rozl.</w:t>
            </w:r>
          </w:p>
        </w:tc>
        <w:tc>
          <w:tcPr>
            <w:tcW w:w="96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tabs>
          <w:tab w:val="num" w:pos="1134"/>
        </w:tabs>
        <w:ind w:left="1134" w:hanging="283"/>
        <w:rPr>
          <w:rFonts w:eastAsia="Times New Roman"/>
          <w:noProof/>
        </w:rPr>
      </w:pPr>
      <w:r>
        <w:rPr>
          <w:noProof/>
        </w:rPr>
        <w:t xml:space="preserve">Nové rozpočtové položky, jejichž vytvoření se požaduje </w:t>
      </w:r>
    </w:p>
    <w:p>
      <w:pPr>
        <w:ind w:left="850"/>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sz w:val="22"/>
              </w:rPr>
            </w:pPr>
            <w:r>
              <w:rPr>
                <w:noProof/>
                <w:sz w:val="20"/>
              </w:rPr>
              <w:t>Rozpočtová položka</w:t>
            </w:r>
          </w:p>
        </w:tc>
        <w:tc>
          <w:tcPr>
            <w:tcW w:w="1080" w:type="dxa"/>
            <w:vAlign w:val="center"/>
          </w:tcPr>
          <w:p>
            <w:pPr>
              <w:spacing w:before="60" w:after="60"/>
              <w:jc w:val="center"/>
              <w:rPr>
                <w:noProof/>
                <w:sz w:val="22"/>
              </w:rPr>
            </w:pPr>
            <w:r>
              <w:rPr>
                <w:noProof/>
                <w:sz w:val="18"/>
              </w:rPr>
              <w:t>Druh</w:t>
            </w:r>
            <w:r>
              <w:rPr>
                <w:noProof/>
              </w:rPr>
              <w:t xml:space="preserve"> </w:t>
            </w:r>
            <w:r>
              <w:rPr>
                <w:noProof/>
              </w:rPr>
              <w:br/>
            </w:r>
            <w:r>
              <w:rPr>
                <w:noProof/>
                <w:sz w:val="18"/>
              </w:rPr>
              <w:t>výdaje</w:t>
            </w:r>
          </w:p>
        </w:tc>
        <w:tc>
          <w:tcPr>
            <w:tcW w:w="4440" w:type="dxa"/>
            <w:gridSpan w:val="4"/>
            <w:vAlign w:val="center"/>
          </w:tcPr>
          <w:p>
            <w:pPr>
              <w:spacing w:before="60" w:after="60"/>
              <w:jc w:val="center"/>
              <w:rPr>
                <w:noProof/>
                <w:sz w:val="22"/>
              </w:rPr>
            </w:pPr>
            <w:r>
              <w:rPr>
                <w:noProof/>
                <w:sz w:val="20"/>
              </w:rPr>
              <w:t xml:space="preserve">Příspěvek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rPr>
              <w:t xml:space="preserve"> </w:t>
            </w:r>
            <w:r>
              <w:rPr>
                <w:noProof/>
              </w:rPr>
              <w:br/>
            </w:r>
            <w:r>
              <w:rPr>
                <w:noProof/>
                <w:color w:val="0000FF"/>
                <w:sz w:val="22"/>
              </w:rPr>
              <w:t>[…]</w:t>
            </w:r>
            <w:r>
              <w:rPr>
                <w:noProof/>
                <w:sz w:val="20"/>
              </w:rPr>
              <w:t>[Okruh………………………………………]</w:t>
            </w:r>
          </w:p>
        </w:tc>
        <w:tc>
          <w:tcPr>
            <w:tcW w:w="1080" w:type="dxa"/>
            <w:vAlign w:val="center"/>
          </w:tcPr>
          <w:p>
            <w:pPr>
              <w:jc w:val="center"/>
              <w:rPr>
                <w:noProof/>
                <w:sz w:val="22"/>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ANO/NE</w:t>
            </w:r>
          </w:p>
        </w:tc>
        <w:tc>
          <w:tcPr>
            <w:tcW w:w="1080" w:type="dxa"/>
            <w:vAlign w:val="center"/>
          </w:tcPr>
          <w:p>
            <w:pPr>
              <w:jc w:val="center"/>
              <w:rPr>
                <w:noProof/>
                <w:color w:val="0000FF"/>
                <w:sz w:val="18"/>
              </w:rPr>
            </w:pPr>
            <w:r>
              <w:rPr>
                <w:noProof/>
                <w:sz w:val="22"/>
              </w:rPr>
              <w:t>ANO/NE</w:t>
            </w:r>
          </w:p>
        </w:tc>
        <w:tc>
          <w:tcPr>
            <w:tcW w:w="956" w:type="dxa"/>
            <w:vAlign w:val="center"/>
          </w:tcPr>
          <w:p>
            <w:pPr>
              <w:jc w:val="center"/>
              <w:rPr>
                <w:noProof/>
                <w:color w:val="0000FF"/>
                <w:sz w:val="18"/>
              </w:rPr>
            </w:pPr>
            <w:r>
              <w:rPr>
                <w:noProof/>
                <w:sz w:val="22"/>
              </w:rPr>
              <w:t>ANO/NE</w:t>
            </w:r>
          </w:p>
        </w:tc>
        <w:tc>
          <w:tcPr>
            <w:tcW w:w="1448" w:type="dxa"/>
            <w:vAlign w:val="center"/>
          </w:tcPr>
          <w:p>
            <w:pPr>
              <w:jc w:val="center"/>
              <w:rPr>
                <w:noProof/>
                <w:sz w:val="22"/>
              </w:rPr>
            </w:pPr>
            <w:r>
              <w:rPr>
                <w:noProof/>
                <w:sz w:val="22"/>
              </w:rPr>
              <w:t>ANO/NE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Odhadovaný dopad na výdaje </w:t>
      </w:r>
    </w:p>
    <w:p>
      <w:pPr>
        <w:pStyle w:val="ManualHeading3"/>
        <w:rPr>
          <w:noProof/>
          <w:u w:val="single"/>
        </w:rPr>
      </w:pPr>
      <w:r>
        <w:rPr>
          <w:noProof/>
        </w:rPr>
        <w:t>3.2.1.</w:t>
      </w:r>
      <w:r>
        <w:rPr>
          <w:noProof/>
        </w:rPr>
        <w:tab/>
        <w:t xml:space="preserve">Odhadovaný souhrnný dopad na výdaje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Okruh víceletého finančního</w:t>
            </w:r>
            <w:r>
              <w:rPr>
                <w:noProof/>
              </w:rPr>
              <w:t xml:space="preserve"> </w:t>
            </w:r>
            <w:r>
              <w:rPr>
                <w:b/>
                <w:noProof/>
                <w:sz w:val="22"/>
              </w:rPr>
              <w:t xml:space="preserve">rámce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Konkurenceschopnost pro růst a zaměstnanost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GŘ: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w:t>
            </w:r>
            <w:r>
              <w:rPr>
                <w:rStyle w:val="FootnoteReference"/>
                <w:noProof/>
              </w:rPr>
              <w:footnoteReference w:id="36"/>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N+3</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N+4</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CELKEM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Operační prostředky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Číslo rozpočtové položky 14.03.01</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val="restart"/>
            <w:vAlign w:val="center"/>
          </w:tcPr>
          <w:p>
            <w:pPr>
              <w:rPr>
                <w:noProof/>
                <w:sz w:val="22"/>
              </w:rPr>
            </w:pPr>
            <w:r>
              <w:rPr>
                <w:noProof/>
                <w:sz w:val="20"/>
              </w:rPr>
              <w:t>Číslo rozpočtové položky</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Prostředky správní povahy financované z rámce na zvláštní programy</w:t>
            </w:r>
            <w:r>
              <w:rPr>
                <w:rStyle w:val="FootnoteReference"/>
                <w:noProof/>
              </w:rPr>
              <w:footnoteReference w:id="37"/>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Číslo rozpočtové položky</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CELKOVÉ prostředky</w:t>
            </w:r>
            <w:r>
              <w:rPr>
                <w:noProof/>
              </w:rPr>
              <w:t xml:space="preserve"> </w:t>
            </w:r>
            <w:r>
              <w:rPr>
                <w:noProof/>
              </w:rPr>
              <w:br/>
            </w:r>
            <w:r>
              <w:rPr>
                <w:b/>
                <w:noProof/>
                <w:sz w:val="22"/>
              </w:rPr>
              <w:t>GŘ TAXUD</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r>
        <w:rPr>
          <w:noProof/>
        </w:rPr>
        <w:t xml:space="preserve"> </w:t>
      </w:r>
      <w:r>
        <w:rPr>
          <w:noProof/>
        </w:rPr>
        <w:b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Operační prostředky CELKEM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CELKOVÉ prostředky </w:t>
            </w:r>
            <w:r>
              <w:rPr>
                <w:noProof/>
              </w:rPr>
              <w:t xml:space="preserve"> </w:t>
            </w:r>
            <w:r>
              <w:rPr>
                <w:noProof/>
              </w:rPr>
              <w:br/>
            </w:r>
            <w:r>
              <w:rPr>
                <w:b/>
                <w:noProof/>
                <w:sz w:val="22"/>
              </w:rPr>
              <w:t>OKRUHU 1A</w:t>
            </w:r>
            <w:r>
              <w:rPr>
                <w:noProof/>
              </w:rPr>
              <w:t xml:space="preserve"> </w:t>
            </w:r>
            <w:r>
              <w:rPr>
                <w:noProof/>
              </w:rPr>
              <w:br/>
            </w:r>
            <w:r>
              <w:rPr>
                <w:noProof/>
                <w:sz w:val="22"/>
              </w:rPr>
              <w:t>víceletého finančního rámce</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b/>
          <w:noProof/>
          <w:sz w:val="22"/>
          <w:u w:val="single"/>
        </w:rPr>
      </w:pPr>
      <w:r>
        <w:rPr>
          <w:b/>
          <w:noProof/>
          <w:sz w:val="22"/>
          <w:u w:val="single"/>
        </w:rPr>
        <w:t>Má-li návrh/podnět dopad na více okruhů:</w:t>
      </w:r>
    </w:p>
    <w:tbl>
      <w:tblPr>
        <w:tblW w:w="0" w:type="auto"/>
        <w:tblInd w:w="-252" w:type="dxa"/>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sz w:val="21"/>
              </w:rPr>
              <w:sym w:font="Wingdings" w:char="F09F"/>
            </w:r>
            <w:r>
              <w:rPr>
                <w:noProof/>
                <w:sz w:val="21"/>
              </w:rPr>
              <w:t xml:space="preserve">Operační prostředky CELKEM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CELKOVÉ prostředky </w:t>
            </w:r>
            <w:r>
              <w:rPr>
                <w:noProof/>
              </w:rPr>
              <w:t xml:space="preserve"> </w:t>
            </w:r>
            <w:r>
              <w:rPr>
                <w:noProof/>
              </w:rPr>
              <w:br/>
            </w:r>
            <w:r>
              <w:rPr>
                <w:b/>
                <w:noProof/>
                <w:sz w:val="22"/>
              </w:rPr>
              <w:t>OKRUHŮ 1 až 4</w:t>
            </w:r>
            <w:r>
              <w:rPr>
                <w:noProof/>
              </w:rPr>
              <w:t xml:space="preserve"> </w:t>
            </w:r>
            <w:r>
              <w:rPr>
                <w:noProof/>
              </w:rPr>
              <w:br/>
            </w:r>
            <w:r>
              <w:rPr>
                <w:noProof/>
                <w:sz w:val="22"/>
              </w:rPr>
              <w:t>víceletého finančního rámce</w:t>
            </w:r>
            <w:r>
              <w:rPr>
                <w:noProof/>
              </w:rPr>
              <w:t xml:space="preserve"> </w:t>
            </w:r>
            <w:r>
              <w:rPr>
                <w:noProof/>
              </w:rPr>
              <w:br/>
            </w:r>
            <w:r>
              <w:rPr>
                <w:noProof/>
                <w:sz w:val="20"/>
              </w:rPr>
              <w:t>(hlavní referenční částka)</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Okruh víceletého finančního</w:t>
            </w:r>
            <w:r>
              <w:rPr>
                <w:noProof/>
              </w:rPr>
              <w:t xml:space="preserve"> </w:t>
            </w:r>
            <w:r>
              <w:rPr>
                <w:b/>
                <w:noProof/>
                <w:sz w:val="22"/>
              </w:rPr>
              <w:t xml:space="preserve">rámce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„Správní výdaje celkem“</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N+4</w:t>
            </w:r>
          </w:p>
        </w:tc>
        <w:tc>
          <w:tcPr>
            <w:tcW w:w="3513" w:type="dxa"/>
            <w:vAlign w:val="center"/>
          </w:tcPr>
          <w:p>
            <w:pPr>
              <w:jc w:val="center"/>
              <w:rPr>
                <w:b/>
                <w:noProof/>
                <w:sz w:val="20"/>
              </w:rPr>
            </w:pPr>
            <w:r>
              <w:rPr>
                <w:b/>
                <w:noProof/>
                <w:sz w:val="20"/>
              </w:rPr>
              <w:t>CELKEM</w:t>
            </w:r>
          </w:p>
        </w:tc>
      </w:tr>
      <w:tr>
        <w:trPr>
          <w:gridAfter w:val="8"/>
          <w:wAfter w:w="9947" w:type="dxa"/>
        </w:trPr>
        <w:tc>
          <w:tcPr>
            <w:tcW w:w="3960" w:type="dxa"/>
            <w:vAlign w:val="center"/>
          </w:tcPr>
          <w:p>
            <w:pPr>
              <w:spacing w:before="60" w:after="60"/>
              <w:jc w:val="center"/>
              <w:rPr>
                <w:noProof/>
                <w:sz w:val="22"/>
              </w:rPr>
            </w:pPr>
            <w:r>
              <w:rPr>
                <w:noProof/>
                <w:sz w:val="22"/>
              </w:rPr>
              <w:t>GŘ: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Lidské zdroje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Jiné výdaje na správní činnost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GŘ TAXUD CELKEM</w:t>
            </w:r>
          </w:p>
        </w:tc>
        <w:tc>
          <w:tcPr>
            <w:tcW w:w="2094" w:type="dxa"/>
            <w:gridSpan w:val="2"/>
            <w:vAlign w:val="center"/>
          </w:tcPr>
          <w:p>
            <w:pPr>
              <w:rPr>
                <w:noProof/>
                <w:sz w:val="14"/>
              </w:rPr>
            </w:pPr>
            <w:r>
              <w:rPr>
                <w:noProof/>
                <w:sz w:val="18"/>
              </w:rPr>
              <w:t xml:space="preserve">Prostředky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CELKOVÉ prostředky</w:t>
            </w:r>
            <w:r>
              <w:rPr>
                <w:noProof/>
              </w:rPr>
              <w:t xml:space="preserve"> </w:t>
            </w:r>
            <w:r>
              <w:rPr>
                <w:noProof/>
              </w:rPr>
              <w:br/>
            </w:r>
            <w:r>
              <w:rPr>
                <w:b/>
                <w:noProof/>
                <w:sz w:val="22"/>
              </w:rPr>
              <w:t>OKRUHU 5</w:t>
            </w:r>
            <w:r>
              <w:rPr>
                <w:noProof/>
              </w:rPr>
              <w:t xml:space="preserve"> </w:t>
            </w:r>
            <w:r>
              <w:rPr>
                <w:noProof/>
              </w:rPr>
              <w:br/>
            </w:r>
            <w:r>
              <w:rPr>
                <w:noProof/>
                <w:sz w:val="22"/>
              </w:rPr>
              <w:t>víceletého finančního rámce</w:t>
            </w:r>
            <w:r>
              <w:rPr>
                <w:b/>
                <w:noProof/>
                <w:sz w:val="22"/>
              </w:rPr>
              <w:t xml:space="preserve"> </w:t>
            </w:r>
          </w:p>
        </w:tc>
        <w:tc>
          <w:tcPr>
            <w:tcW w:w="2094" w:type="dxa"/>
            <w:vAlign w:val="center"/>
          </w:tcPr>
          <w:p>
            <w:pPr>
              <w:spacing w:before="40" w:after="40"/>
              <w:rPr>
                <w:noProof/>
                <w:sz w:val="22"/>
              </w:rPr>
            </w:pPr>
            <w:r>
              <w:rPr>
                <w:noProof/>
                <w:sz w:val="18"/>
              </w:rPr>
              <w:t>(Závazky celkem = platby celkem)</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w:t>
            </w:r>
            <w:r>
              <w:rPr>
                <w:rStyle w:val="FootnoteReference"/>
                <w:noProof/>
              </w:rPr>
              <w:footnoteReference w:id="38"/>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N+4</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N+5</w:t>
            </w:r>
          </w:p>
        </w:tc>
        <w:tc>
          <w:tcPr>
            <w:tcW w:w="2645"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sz w:val="22"/>
              </w:rPr>
            </w:pPr>
            <w:r>
              <w:rPr>
                <w:b/>
                <w:noProof/>
                <w:sz w:val="22"/>
              </w:rPr>
              <w:t xml:space="preserve">CELKOVÉ prostředky </w:t>
            </w:r>
            <w:r>
              <w:rPr>
                <w:noProof/>
              </w:rPr>
              <w:t xml:space="preserve"> </w:t>
            </w:r>
            <w:r>
              <w:rPr>
                <w:noProof/>
              </w:rPr>
              <w:br/>
            </w:r>
            <w:r>
              <w:rPr>
                <w:b/>
                <w:noProof/>
                <w:sz w:val="22"/>
              </w:rPr>
              <w:t>OKRUHŮ 1 až 5</w:t>
            </w:r>
            <w:r>
              <w:rPr>
                <w:noProof/>
              </w:rPr>
              <w:t xml:space="preserve"> </w:t>
            </w:r>
            <w:r>
              <w:rPr>
                <w:noProof/>
              </w:rPr>
              <w:br/>
            </w:r>
            <w:r>
              <w:rPr>
                <w:noProof/>
                <w:sz w:val="22"/>
              </w:rP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0,130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b/>
                <w:noProof/>
                <w:sz w:val="20"/>
              </w:rPr>
            </w:pPr>
            <w:r>
              <w:rPr>
                <w:noProof/>
                <w:sz w:val="20"/>
              </w:rPr>
              <w:t>0,115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1,306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0,100</w:t>
            </w:r>
          </w:p>
        </w:tc>
        <w:tc>
          <w:tcPr>
            <w:tcW w:w="2645" w:type="dxa"/>
            <w:vAlign w:val="center"/>
          </w:tcPr>
          <w:p>
            <w:pPr>
              <w:spacing w:before="60" w:after="60"/>
              <w:jc w:val="right"/>
              <w:rPr>
                <w:b/>
                <w:noProof/>
                <w:sz w:val="20"/>
              </w:rPr>
            </w:pPr>
            <w:r>
              <w:rPr>
                <w:b/>
                <w:noProof/>
                <w:sz w:val="20"/>
              </w:rPr>
              <w:t>1,306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Odhadovaný dopad na operační prostředky</w:t>
      </w:r>
    </w:p>
    <w:p>
      <w:pPr>
        <w:tabs>
          <w:tab w:val="num" w:pos="1134"/>
        </w:tabs>
        <w:ind w:left="1134" w:hanging="283"/>
        <w:rPr>
          <w:rFonts w:eastAsia="Times New Roman"/>
          <w:noProof/>
        </w:rPr>
      </w:pPr>
      <w:r>
        <w:rPr>
          <w:noProof/>
        </w:rPr>
        <w:sym w:font="Wingdings" w:char="F0A8"/>
      </w:r>
      <w:r>
        <w:rPr>
          <w:noProof/>
        </w:rPr>
        <w:tab/>
        <w:t xml:space="preserve">Návrh/podnět nevyžaduje využití operačních prostředků. </w:t>
      </w:r>
    </w:p>
    <w:p>
      <w:pPr>
        <w:tabs>
          <w:tab w:val="num" w:pos="1134"/>
        </w:tabs>
        <w:ind w:left="1134" w:hanging="283"/>
        <w:rPr>
          <w:rFonts w:eastAsia="Times New Roman"/>
          <w:noProof/>
        </w:rPr>
      </w:pPr>
      <w:r>
        <w:rPr>
          <w:noProof/>
        </w:rPr>
        <w:sym w:font="Wingdings" w:char="F0FD"/>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Rok</w:t>
            </w:r>
            <w:r>
              <w:rPr>
                <w:noProof/>
              </w:rPr>
              <w:t xml:space="preserve"> </w:t>
            </w:r>
            <w:r>
              <w:rPr>
                <w:noProof/>
              </w:rPr>
              <w:br/>
            </w:r>
            <w:r>
              <w:rPr>
                <w:b/>
                <w:noProof/>
                <w:sz w:val="18"/>
              </w:rPr>
              <w:t>N</w:t>
            </w:r>
          </w:p>
        </w:tc>
        <w:tc>
          <w:tcPr>
            <w:tcW w:w="1560" w:type="dxa"/>
            <w:gridSpan w:val="2"/>
            <w:vAlign w:val="center"/>
          </w:tcPr>
          <w:p>
            <w:pPr>
              <w:ind w:right="-29"/>
              <w:jc w:val="center"/>
              <w:rPr>
                <w:noProof/>
                <w:sz w:val="18"/>
                <w:szCs w:val="18"/>
              </w:rPr>
            </w:pPr>
            <w:r>
              <w:rPr>
                <w:noProof/>
                <w:sz w:val="18"/>
              </w:rPr>
              <w:t>Rok</w:t>
            </w:r>
            <w:r>
              <w:rPr>
                <w:noProof/>
              </w:rPr>
              <w:t xml:space="preserve"> </w:t>
            </w:r>
            <w:r>
              <w:rPr>
                <w:noProof/>
              </w:rPr>
              <w:br/>
            </w:r>
            <w:r>
              <w:rPr>
                <w:b/>
                <w:noProof/>
                <w:sz w:val="18"/>
              </w:rPr>
              <w:t>N+1</w:t>
            </w:r>
          </w:p>
        </w:tc>
        <w:tc>
          <w:tcPr>
            <w:tcW w:w="1602" w:type="dxa"/>
            <w:gridSpan w:val="2"/>
            <w:vAlign w:val="center"/>
          </w:tcPr>
          <w:p>
            <w:pPr>
              <w:ind w:right="-29"/>
              <w:jc w:val="center"/>
              <w:rPr>
                <w:noProof/>
                <w:sz w:val="18"/>
                <w:szCs w:val="18"/>
              </w:rPr>
            </w:pPr>
            <w:r>
              <w:rPr>
                <w:noProof/>
                <w:sz w:val="18"/>
              </w:rPr>
              <w:t>Rok</w:t>
            </w:r>
            <w:r>
              <w:rPr>
                <w:noProof/>
              </w:rPr>
              <w:t xml:space="preserve"> </w:t>
            </w:r>
            <w:r>
              <w:rPr>
                <w:noProof/>
              </w:rPr>
              <w:br/>
            </w:r>
            <w:r>
              <w:rPr>
                <w:b/>
                <w:noProof/>
                <w:sz w:val="18"/>
              </w:rPr>
              <w:t>N+2</w:t>
            </w:r>
          </w:p>
        </w:tc>
        <w:tc>
          <w:tcPr>
            <w:tcW w:w="1630" w:type="dxa"/>
            <w:gridSpan w:val="3"/>
            <w:vAlign w:val="center"/>
          </w:tcPr>
          <w:p>
            <w:pPr>
              <w:ind w:right="-29"/>
              <w:jc w:val="center"/>
              <w:rPr>
                <w:noProof/>
                <w:sz w:val="18"/>
                <w:szCs w:val="18"/>
              </w:rPr>
            </w:pPr>
            <w:r>
              <w:rPr>
                <w:noProof/>
                <w:sz w:val="18"/>
              </w:rPr>
              <w:t>Rok</w:t>
            </w:r>
            <w:r>
              <w:rPr>
                <w:noProof/>
              </w:rPr>
              <w:t xml:space="preserve"> </w:t>
            </w:r>
            <w:r>
              <w:rPr>
                <w:noProof/>
              </w:rPr>
              <w:br/>
            </w:r>
            <w:r>
              <w:rPr>
                <w:b/>
                <w:noProof/>
                <w:sz w:val="18"/>
              </w:rPr>
              <w:t>N+3</w:t>
            </w:r>
          </w:p>
        </w:tc>
        <w:tc>
          <w:tcPr>
            <w:tcW w:w="1616" w:type="dxa"/>
            <w:gridSpan w:val="2"/>
            <w:vAlign w:val="center"/>
          </w:tcPr>
          <w:p>
            <w:pPr>
              <w:spacing w:after="0"/>
              <w:jc w:val="center"/>
              <w:rPr>
                <w:noProof/>
                <w:sz w:val="18"/>
              </w:rPr>
            </w:pPr>
            <w:r>
              <w:rPr>
                <w:noProof/>
                <w:sz w:val="18"/>
              </w:rPr>
              <w:t>Rok</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CELKEM</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VÝSTUPY</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99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Náklady celkem</w:t>
            </w:r>
          </w:p>
        </w:tc>
      </w:tr>
      <w:tr>
        <w:tc>
          <w:tcPr>
            <w:tcW w:w="2844" w:type="dxa"/>
            <w:gridSpan w:val="3"/>
            <w:vAlign w:val="center"/>
          </w:tcPr>
          <w:p>
            <w:pPr>
              <w:spacing w:before="60" w:after="60"/>
              <w:ind w:right="-29"/>
              <w:jc w:val="center"/>
              <w:rPr>
                <w:noProof/>
                <w:sz w:val="18"/>
                <w:szCs w:val="18"/>
              </w:rPr>
            </w:pPr>
            <w:r>
              <w:rPr>
                <w:noProof/>
                <w:sz w:val="18"/>
              </w:rPr>
              <w:t>SPECIFICKÝ CÍL č. 1</w:t>
            </w:r>
            <w:r>
              <w:rPr>
                <w:rStyle w:val="FootnoteReference"/>
                <w:noProof/>
              </w:rPr>
              <w:footnoteReference w:id="4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Specifikace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szCs w:val="18"/>
              </w:rPr>
              <w:t>0,400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0,100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0,500</w:t>
            </w:r>
          </w:p>
        </w:tc>
      </w:tr>
      <w:tr>
        <w:trPr>
          <w:trHeight w:hRule="exact" w:val="369"/>
        </w:trPr>
        <w:tc>
          <w:tcPr>
            <w:tcW w:w="1423" w:type="dxa"/>
          </w:tcPr>
          <w:p>
            <w:pPr>
              <w:ind w:right="-29"/>
              <w:jc w:val="left"/>
              <w:rPr>
                <w:noProof/>
                <w:sz w:val="18"/>
                <w:szCs w:val="18"/>
              </w:rPr>
            </w:pPr>
            <w:r>
              <w:rPr>
                <w:noProof/>
                <w:sz w:val="18"/>
              </w:rPr>
              <w:t>Rozvoj</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0,280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0,280</w:t>
            </w:r>
          </w:p>
        </w:tc>
      </w:tr>
      <w:tr>
        <w:trPr>
          <w:trHeight w:hRule="exact" w:val="369"/>
        </w:trPr>
        <w:tc>
          <w:tcPr>
            <w:tcW w:w="1423" w:type="dxa"/>
          </w:tcPr>
          <w:p>
            <w:pPr>
              <w:ind w:right="-29"/>
              <w:jc w:val="left"/>
              <w:rPr>
                <w:noProof/>
                <w:sz w:val="18"/>
                <w:szCs w:val="18"/>
              </w:rPr>
            </w:pPr>
            <w:r>
              <w:rPr>
                <w:noProof/>
                <w:sz w:val="18"/>
              </w:rPr>
              <w:t>Údržba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0,050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0,050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0,050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0,150</w:t>
            </w:r>
          </w:p>
        </w:tc>
      </w:tr>
      <w:tr>
        <w:trPr>
          <w:trHeight w:hRule="exact" w:val="369"/>
        </w:trPr>
        <w:tc>
          <w:tcPr>
            <w:tcW w:w="1423" w:type="dxa"/>
          </w:tcPr>
          <w:p>
            <w:pPr>
              <w:ind w:right="-29"/>
              <w:jc w:val="left"/>
              <w:rPr>
                <w:noProof/>
                <w:sz w:val="18"/>
              </w:rPr>
            </w:pPr>
            <w:r>
              <w:rPr>
                <w:noProof/>
                <w:sz w:val="18"/>
              </w:rPr>
              <w:t>Podpora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0,030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0,030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0,030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0,100</w:t>
            </w:r>
          </w:p>
        </w:tc>
      </w:tr>
      <w:tr>
        <w:trPr>
          <w:trHeight w:hRule="exact" w:val="369"/>
        </w:trPr>
        <w:tc>
          <w:tcPr>
            <w:tcW w:w="1423" w:type="dxa"/>
          </w:tcPr>
          <w:p>
            <w:pPr>
              <w:ind w:right="-29"/>
              <w:jc w:val="left"/>
              <w:rPr>
                <w:noProof/>
                <w:sz w:val="18"/>
              </w:rPr>
            </w:pPr>
            <w:r>
              <w:rPr>
                <w:noProof/>
                <w:sz w:val="18"/>
              </w:rPr>
              <w:t>Školení</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trHeight w:hRule="exact" w:val="1056"/>
        </w:trPr>
        <w:tc>
          <w:tcPr>
            <w:tcW w:w="1423" w:type="dxa"/>
          </w:tcPr>
          <w:p>
            <w:pPr>
              <w:ind w:right="-29"/>
              <w:jc w:val="left"/>
              <w:rPr>
                <w:noProof/>
                <w:sz w:val="18"/>
              </w:rPr>
            </w:pPr>
            <w:r>
              <w:rPr>
                <w:noProof/>
                <w:sz w:val="18"/>
              </w:rPr>
              <w:t>ITSM (IT Service Management) – řízení služeb IT (infrastruktura, uspořádání akcí, licence atd.)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0,070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Mezisoučet pro specifický cíl č.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szCs w:val="18"/>
              </w:rPr>
              <w:t>0,400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szCs w:val="18"/>
              </w:rPr>
              <w:t>0,400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szCs w:val="18"/>
              </w:rPr>
              <w:t>0,100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szCs w:val="18"/>
              </w:rPr>
              <w:t>0,100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szCs w:val="18"/>
              </w:rPr>
              <w:t>0,100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szCs w:val="18"/>
              </w:rPr>
              <w:t>1,100</w:t>
            </w:r>
          </w:p>
        </w:tc>
      </w:tr>
      <w:tr>
        <w:tc>
          <w:tcPr>
            <w:tcW w:w="2844" w:type="dxa"/>
            <w:gridSpan w:val="3"/>
            <w:vAlign w:val="center"/>
          </w:tcPr>
          <w:p>
            <w:pPr>
              <w:spacing w:before="60" w:after="60"/>
              <w:ind w:right="-29"/>
              <w:jc w:val="center"/>
              <w:rPr>
                <w:noProof/>
                <w:sz w:val="18"/>
                <w:szCs w:val="18"/>
              </w:rPr>
            </w:pPr>
            <w:r>
              <w:rPr>
                <w:noProof/>
                <w:sz w:val="18"/>
              </w:rPr>
              <w:t>SPECIFICKÝ CÍL č. 2 …</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Mezisoučet pro specifický cíl č.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CELKEM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1,100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Odhadovaný dopad na prostředky správní povahy</w:t>
      </w:r>
    </w:p>
    <w:p>
      <w:pPr>
        <w:pStyle w:val="ManualHeading4"/>
        <w:rPr>
          <w:noProof/>
        </w:rPr>
      </w:pPr>
      <w:r>
        <w:rPr>
          <w:noProof/>
        </w:rPr>
        <w:t>3.2.3.1.</w:t>
      </w:r>
      <w:r>
        <w:rPr>
          <w:noProof/>
        </w:rPr>
        <w:tab/>
        <w:t xml:space="preserve">Souhrn </w:t>
      </w:r>
    </w:p>
    <w:p>
      <w:pPr>
        <w:tabs>
          <w:tab w:val="num" w:pos="1134"/>
        </w:tabs>
        <w:ind w:left="1134" w:hanging="283"/>
        <w:rPr>
          <w:rFonts w:eastAsia="Times New Roman"/>
          <w:noProof/>
        </w:rPr>
      </w:pPr>
      <w:r>
        <w:rPr>
          <w:noProof/>
        </w:rPr>
        <w:sym w:font="Wingdings" w:char="F0A8"/>
      </w:r>
      <w:r>
        <w:rPr>
          <w:noProof/>
        </w:rPr>
        <w:tab/>
        <w:t xml:space="preserve">Návrh/podnět nevyžaduje využití prostředků správní povahy </w:t>
      </w:r>
    </w:p>
    <w:p>
      <w:pPr>
        <w:tabs>
          <w:tab w:val="num" w:pos="1134"/>
        </w:tabs>
        <w:ind w:left="1134" w:hanging="283"/>
        <w:rPr>
          <w:rFonts w:eastAsia="Times New Roman"/>
          <w:noProof/>
        </w:rPr>
      </w:pPr>
      <w:r>
        <w:rPr>
          <w:noProof/>
        </w:rPr>
        <w:sym w:font="Wingdings" w:char="F0FD"/>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w:t>
            </w:r>
            <w:r>
              <w:rPr>
                <w:rStyle w:val="FootnoteReference"/>
                <w:noProof/>
              </w:rPr>
              <w:footnoteReference w:id="41"/>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N+3</w:t>
            </w:r>
          </w:p>
        </w:tc>
        <w:tc>
          <w:tcPr>
            <w:tcW w:w="1080" w:type="dxa"/>
            <w:vAlign w:val="center"/>
          </w:tcPr>
          <w:p>
            <w:pPr>
              <w:spacing w:line="200" w:lineRule="exact"/>
              <w:jc w:val="center"/>
              <w:rPr>
                <w:b/>
                <w:noProof/>
                <w:sz w:val="16"/>
                <w:szCs w:val="16"/>
              </w:rPr>
            </w:pPr>
            <w:r>
              <w:rPr>
                <w:noProof/>
                <w:sz w:val="16"/>
              </w:rPr>
              <w:t>Rok</w:t>
            </w:r>
            <w:r>
              <w:rPr>
                <w:noProof/>
              </w:rPr>
              <w:t xml:space="preserve"> </w:t>
            </w:r>
            <w:r>
              <w:rPr>
                <w:noProof/>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t xml:space="preserve"> </w:t>
            </w:r>
            <w:r>
              <w:rPr>
                <w:noProof/>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szCs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správní povahy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szCs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OKRUHU 5</w:t>
            </w:r>
            <w:r>
              <w:rPr>
                <w:noProof/>
              </w:rPr>
              <w:t xml:space="preserve"> </w:t>
            </w:r>
            <w:r>
              <w:rPr>
                <w:noProof/>
              </w:rPr>
              <w:br/>
            </w:r>
            <w:r>
              <w:rPr>
                <w:b/>
                <w:noProof/>
                <w:sz w:val="16"/>
              </w:rPr>
              <w:t xml:space="preserve">víceletého finančního rámce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szCs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noProof/>
              </w:rPr>
              <w:footnoteReference w:id="42"/>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Ostatní výdaje</w:t>
            </w:r>
            <w:r>
              <w:rPr>
                <w:noProof/>
              </w:rPr>
              <w:t xml:space="preserve"> </w:t>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rPr>
              <w:t xml:space="preserve"> </w:t>
            </w:r>
            <w:r>
              <w:rPr>
                <w:noProof/>
              </w:rPr>
              <w:br/>
            </w:r>
            <w:r>
              <w:rPr>
                <w:b/>
                <w:noProof/>
                <w:sz w:val="16"/>
              </w:rPr>
              <w:t>mimo OKRUH 5</w:t>
            </w:r>
            <w:r>
              <w:rPr>
                <w:noProof/>
              </w:rPr>
              <w:t xml:space="preserve"> </w:t>
            </w:r>
            <w:r>
              <w:rPr>
                <w:noProof/>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0,206</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3.2.3.2.</w:t>
      </w:r>
      <w:r>
        <w:rPr>
          <w:noProof/>
        </w:rPr>
        <w:tab/>
        <w:t>Odhadované potřeby v oblasti lidských zdrojů</w:t>
      </w:r>
    </w:p>
    <w:p>
      <w:pPr>
        <w:tabs>
          <w:tab w:val="num" w:pos="1134"/>
        </w:tabs>
        <w:ind w:left="1134" w:hanging="283"/>
        <w:rPr>
          <w:rFonts w:eastAsia="Times New Roman"/>
          <w:noProof/>
        </w:rPr>
      </w:pPr>
      <w:r>
        <w:rPr>
          <w:noProof/>
        </w:rPr>
        <w:sym w:font="Wingdings" w:char="F0A8"/>
      </w:r>
      <w:r>
        <w:rPr>
          <w:noProof/>
        </w:rPr>
        <w:tab/>
        <w:t xml:space="preserve">Návrh/podnět nevyžaduje využití lidských zdrojů. </w:t>
      </w:r>
    </w:p>
    <w:p>
      <w:pPr>
        <w:tabs>
          <w:tab w:val="num" w:pos="1134"/>
        </w:tabs>
        <w:ind w:left="1134" w:hanging="283"/>
        <w:rPr>
          <w:rFonts w:eastAsia="Times New Roman"/>
          <w:noProof/>
        </w:rPr>
      </w:pPr>
      <w:r>
        <w:rPr>
          <w:noProof/>
        </w:rPr>
        <w:sym w:font="Wingdings" w:char="F0FD"/>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spacing w:before="40" w:after="4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szCs w:val="16"/>
              </w:rPr>
              <w:t xml:space="preserve">Rok </w:t>
            </w:r>
            <w:r>
              <w:rPr>
                <w:b/>
                <w:noProof/>
                <w:sz w:val="16"/>
                <w:szCs w:val="16"/>
              </w:rPr>
              <w:t>N+2</w:t>
            </w:r>
          </w:p>
        </w:tc>
        <w:tc>
          <w:tcPr>
            <w:tcW w:w="500" w:type="pct"/>
            <w:shd w:val="clear" w:color="auto" w:fill="auto"/>
            <w:vAlign w:val="center"/>
          </w:tcPr>
          <w:p>
            <w:pPr>
              <w:spacing w:before="20" w:after="20"/>
              <w:jc w:val="center"/>
              <w:rPr>
                <w:noProof/>
                <w:sz w:val="16"/>
                <w:szCs w:val="16"/>
              </w:rPr>
            </w:pPr>
            <w:r>
              <w:rPr>
                <w:noProof/>
                <w:sz w:val="16"/>
                <w:szCs w:val="16"/>
              </w:rPr>
              <w:t xml:space="preserve">Rok </w:t>
            </w:r>
            <w:r>
              <w:rPr>
                <w:b/>
                <w:noProof/>
                <w:sz w:val="16"/>
                <w:szCs w:val="16"/>
              </w:rPr>
              <w:t>N+3</w:t>
            </w:r>
          </w:p>
        </w:tc>
        <w:tc>
          <w:tcPr>
            <w:tcW w:w="500" w:type="pct"/>
            <w:shd w:val="clear" w:color="auto" w:fill="auto"/>
            <w:vAlign w:val="center"/>
          </w:tcPr>
          <w:p>
            <w:pPr>
              <w:spacing w:before="20" w:after="20"/>
              <w:jc w:val="center"/>
              <w:rPr>
                <w:noProof/>
                <w:sz w:val="16"/>
                <w:szCs w:val="16"/>
              </w:rPr>
            </w:pPr>
            <w:r>
              <w:rPr>
                <w:noProof/>
                <w:sz w:val="16"/>
                <w:szCs w:val="16"/>
              </w:rPr>
              <w:t xml:space="preserve">Rok </w:t>
            </w:r>
            <w:r>
              <w:rPr>
                <w:b/>
                <w:noProof/>
                <w:sz w:val="16"/>
                <w:szCs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b/>
                <w:noProof/>
                <w:sz w:val="16"/>
                <w:szCs w:val="16"/>
              </w:rPr>
            </w:pPr>
            <w:r>
              <w:rPr>
                <w:noProof/>
                <w:sz w:val="16"/>
              </w:rPr>
              <w:t>XX 01 01 01 (v ústředí a v zastoupeních Komise)</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01" w:type="pct"/>
            <w:shd w:val="clear" w:color="auto" w:fill="auto"/>
            <w:vAlign w:val="center"/>
          </w:tcPr>
          <w:p>
            <w:pPr>
              <w:spacing w:beforeLines="20" w:before="48" w:afterLines="20" w:after="48"/>
              <w:jc w:val="center"/>
              <w:rPr>
                <w:noProof/>
                <w:sz w:val="16"/>
                <w:szCs w:val="16"/>
              </w:rPr>
            </w:pPr>
            <w:r>
              <w:rPr>
                <w:noProof/>
                <w:sz w:val="16"/>
                <w:szCs w:val="16"/>
              </w:rPr>
              <w:t>0,2</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01 02 (při delegacích)</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05 01 (v nepřímém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10 01 05 01 (v 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spacing w:before="60" w:after="60"/>
              <w:jc w:val="left"/>
              <w:rPr>
                <w:b/>
                <w:noProof/>
                <w:sz w:val="16"/>
                <w:szCs w:val="16"/>
              </w:rPr>
            </w:pPr>
            <w:r>
              <w:rPr>
                <w:b/>
                <w:noProof/>
                <w:sz w:val="16"/>
              </w:rPr>
              <w:sym w:font="Wingdings" w:char="F09F"/>
            </w:r>
            <w:r>
              <w:rPr>
                <w:b/>
                <w:noProof/>
                <w:sz w:val="16"/>
              </w:rPr>
              <w:t>Externí zaměstnanci (v přepočtu na plné pracovní úvazky: FTE)</w:t>
            </w:r>
            <w:r>
              <w:rPr>
                <w:rStyle w:val="FootnoteReference"/>
                <w:noProof/>
              </w:rPr>
              <w:footnoteReference w:id="43"/>
            </w:r>
          </w:p>
          <w:p>
            <w:pPr>
              <w:spacing w:before="0" w:after="0"/>
              <w:jc w:val="left"/>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b/>
                <w:noProof/>
                <w:sz w:val="16"/>
                <w:szCs w:val="16"/>
              </w:rPr>
            </w:pPr>
            <w:r>
              <w:rPr>
                <w:noProof/>
                <w:sz w:val="16"/>
              </w:rPr>
              <w:t>XX 01 02 01 (SZ, VNO, ZAP z „celkového rámce")</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XX 01 02 02 (SZ, MZ, VNO, ZAP a MOD při delegacích)</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44"/>
            </w:r>
          </w:p>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v ústředí</w:t>
            </w:r>
          </w:p>
          <w:p>
            <w:pPr>
              <w:spacing w:beforeLines="20" w:before="48" w:afterLines="20" w:after="48"/>
              <w:ind w:left="136"/>
              <w:jc w:val="left"/>
              <w:rPr>
                <w:b/>
                <w:noProof/>
                <w:sz w:val="16"/>
                <w:szCs w:val="16"/>
              </w:rPr>
            </w:pP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xml:space="preserve">- v delegacích </w:t>
            </w: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b/>
                <w:noProof/>
                <w:sz w:val="16"/>
                <w:szCs w:val="16"/>
              </w:rPr>
              <w:t>XX</w:t>
            </w:r>
            <w:r>
              <w:rPr>
                <w:noProof/>
                <w:sz w:val="16"/>
                <w:szCs w:val="16"/>
              </w:rPr>
              <w:t xml:space="preserve"> 01 05 02 (SZ, VNO, ZAP – nepřímý výzkum)</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10 01 05 02 (SZ, ZAP, VNO v 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Jiné rozpočtové položky (upřesněte)</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CELKEM</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r>
    </w:tbl>
    <w:p>
      <w:pPr>
        <w:spacing w:before="60" w:after="60"/>
        <w:ind w:left="851"/>
        <w:rPr>
          <w:noProof/>
          <w:sz w:val="18"/>
          <w:szCs w:val="18"/>
        </w:rPr>
      </w:pPr>
      <w:r>
        <w:rPr>
          <w:b/>
          <w:noProof/>
          <w:sz w:val="18"/>
          <w:szCs w:val="18"/>
        </w:rPr>
        <w:t>XX</w:t>
      </w:r>
      <w:r>
        <w:rPr>
          <w:noProof/>
          <w:sz w:val="18"/>
          <w:szCs w:val="18"/>
        </w:rPr>
        <w:t xml:space="preserve"> je oblast politiky nebo dotčená hlava rozpočtu.</w:t>
      </w:r>
    </w:p>
    <w:p>
      <w:pPr>
        <w:ind w:left="850"/>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 xml:space="preserve">Příprava schůzí a korespondence s členskými státy; práce na formulářích, formátech IT a centrálním rejstříku; </w:t>
            </w:r>
          </w:p>
          <w:p>
            <w:pPr>
              <w:rPr>
                <w:noProof/>
                <w:sz w:val="20"/>
              </w:rPr>
            </w:pPr>
            <w:r>
              <w:rPr>
                <w:noProof/>
                <w:sz w:val="20"/>
              </w:rPr>
              <w:t>Zadávání práce na systému IT externím dodavatelům</w:t>
            </w:r>
          </w:p>
        </w:tc>
      </w:tr>
      <w:tr>
        <w:tc>
          <w:tcPr>
            <w:tcW w:w="3240" w:type="dxa"/>
          </w:tcPr>
          <w:p>
            <w:pPr>
              <w:spacing w:before="60" w:after="60"/>
              <w:rPr>
                <w:noProof/>
                <w:sz w:val="20"/>
              </w:rPr>
            </w:pPr>
            <w:r>
              <w:rPr>
                <w:noProof/>
                <w:sz w:val="20"/>
              </w:rPr>
              <w:t>Externí zaměstnanci</w:t>
            </w:r>
          </w:p>
        </w:tc>
        <w:tc>
          <w:tcPr>
            <w:tcW w:w="7200" w:type="dxa"/>
          </w:tcPr>
          <w:p>
            <w:pPr>
              <w:rPr>
                <w:noProof/>
                <w:sz w:val="20"/>
              </w:rPr>
            </w:pPr>
            <w:r>
              <w:rPr>
                <w:noProof/>
                <w:sz w:val="20"/>
              </w:rPr>
              <w:t>Nevztahuje se na tento návrh.</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Slučitelnost se stávajícím víceletým finančním rámcem</w:t>
      </w:r>
    </w:p>
    <w:p>
      <w:pPr>
        <w:tabs>
          <w:tab w:val="num" w:pos="1134"/>
        </w:tabs>
        <w:ind w:left="1134" w:hanging="283"/>
        <w:rPr>
          <w:rFonts w:eastAsia="Times New Roman"/>
          <w:noProof/>
        </w:rPr>
      </w:pPr>
      <w:r>
        <w:rPr>
          <w:noProof/>
        </w:rPr>
        <w:sym w:font="Wingdings" w:char="F0FD"/>
      </w:r>
      <w:r>
        <w:rPr>
          <w:noProof/>
        </w:rPr>
        <w:tab/>
        <w:t>Návrh/podnět je v souladu se stávajícím víceletým finančním rámcem.</w:t>
      </w:r>
    </w:p>
    <w:p>
      <w:pPr>
        <w:tabs>
          <w:tab w:val="num" w:pos="1134"/>
        </w:tabs>
        <w:ind w:left="1134" w:hanging="283"/>
        <w:rPr>
          <w:rFonts w:eastAsia="Times New Roman"/>
          <w:noProof/>
        </w:rPr>
      </w:pPr>
      <w:r>
        <w:rPr>
          <w:noProof/>
        </w:rPr>
        <w:sym w:font="Wingdings" w:char="F0A8"/>
      </w:r>
      <w:r>
        <w:rPr>
          <w:noProof/>
        </w:rPr>
        <w:tab/>
        <w:t>Návrh/podnět si vyžádá úpravu příslušného okruhu víceletého finančního rámce.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Upřesněte, jaká úprava se požaduje, příslušné rozpočtové položky a odpovídající částky.</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tabs>
          <w:tab w:val="num" w:pos="1134"/>
        </w:tabs>
        <w:ind w:left="1134" w:hanging="283"/>
        <w:rPr>
          <w:rFonts w:eastAsia="Times New Roman"/>
          <w:noProof/>
        </w:rPr>
      </w:pPr>
      <w:r>
        <w:rPr>
          <w:noProof/>
        </w:rPr>
        <w:sym w:font="Wingdings" w:char="F0A8"/>
      </w:r>
      <w:r>
        <w:rPr>
          <w:noProof/>
        </w:rPr>
        <w:tab/>
        <w:t>Návrh/podnět vyžaduje použití nástroje pružnosti nebo změnu víceletého finančního rámce.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Upřesněte, co se požaduje, příslušné okruhy a rozpočtové položky a odpovídající částky.</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Příspěvky třetích stran </w:t>
      </w:r>
    </w:p>
    <w:p>
      <w:pPr>
        <w:tabs>
          <w:tab w:val="num" w:pos="1134"/>
        </w:tabs>
        <w:ind w:left="1134" w:hanging="283"/>
        <w:rPr>
          <w:rFonts w:eastAsia="Times New Roman"/>
          <w:noProof/>
        </w:rPr>
      </w:pPr>
      <w:r>
        <w:rPr>
          <w:noProof/>
        </w:rPr>
        <w:t xml:space="preserve">Návrh/podnět nepočítá se spolufinancováním od třetích stran. </w:t>
      </w:r>
    </w:p>
    <w:p>
      <w:pPr>
        <w:tabs>
          <w:tab w:val="num" w:pos="1134"/>
        </w:tabs>
        <w:ind w:left="1134" w:hanging="283"/>
        <w:rPr>
          <w:rFonts w:eastAsia="Times New Roman"/>
          <w:strike/>
          <w:noProof/>
        </w:rPr>
      </w:pPr>
      <w:r>
        <w:rPr>
          <w:strike/>
          <w:noProof/>
        </w:rPr>
        <w:t>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sz w:val="22"/>
              </w:rPr>
            </w:pPr>
            <w:r>
              <w:rPr>
                <w:noProof/>
                <w:sz w:val="20"/>
              </w:rPr>
              <w:t>Upřesněte spolufinancující právní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szCs w:val="24"/>
        </w:rPr>
      </w:pPr>
      <w:r>
        <w:rPr>
          <w:noProof/>
        </w:rPr>
        <w:br w:type="page"/>
        <w:t>3,3.</w:t>
      </w:r>
      <w:r>
        <w:rPr>
          <w:noProof/>
        </w:rPr>
        <w:tab/>
        <w:t xml:space="preserve">Odhadovaný dopad na příjmy </w:t>
      </w:r>
    </w:p>
    <w:p>
      <w:pPr>
        <w:tabs>
          <w:tab w:val="num" w:pos="1134"/>
        </w:tabs>
        <w:ind w:left="1134" w:hanging="283"/>
        <w:rPr>
          <w:rFonts w:eastAsia="Times New Roman"/>
          <w:noProof/>
        </w:rPr>
      </w:pPr>
      <w:r>
        <w:rPr>
          <w:noProof/>
        </w:rPr>
        <w:sym w:font="Wingdings" w:char="F0FD"/>
      </w:r>
      <w:r>
        <w:rPr>
          <w:noProof/>
        </w:rPr>
        <w:tab/>
        <w:t>Návrh/podnět nemá žádný finanční dopad na příjmy.</w:t>
      </w:r>
    </w:p>
    <w:p>
      <w:pPr>
        <w:tabs>
          <w:tab w:val="num" w:pos="1134"/>
        </w:tabs>
        <w:ind w:left="1134" w:hanging="283"/>
        <w:rPr>
          <w:rFonts w:eastAsia="Times New Roman"/>
          <w:noProof/>
        </w:rPr>
      </w:pPr>
      <w:r>
        <w:rPr>
          <w:noProof/>
        </w:rPr>
        <w:sym w:font="Wingdings" w:char="F0A8"/>
      </w:r>
      <w:r>
        <w:rPr>
          <w:noProof/>
        </w:rPr>
        <w:tab/>
        <w:t>Návrh/podnět má tento finanční dopad:</w:t>
      </w:r>
    </w:p>
    <w:p>
      <w:pPr>
        <w:numPr>
          <w:ilvl w:val="2"/>
          <w:numId w:val="0"/>
        </w:numPr>
        <w:tabs>
          <w:tab w:val="num" w:pos="2126"/>
        </w:tabs>
        <w:ind w:left="2126" w:hanging="709"/>
        <w:rPr>
          <w:rFonts w:eastAsia="Times New Roman"/>
          <w:noProof/>
        </w:rPr>
      </w:pPr>
      <w:r>
        <w:rPr>
          <w:noProof/>
        </w:rPr>
        <w:sym w:font="Wingdings" w:char="F0A8"/>
      </w:r>
      <w:r>
        <w:rPr>
          <w:noProof/>
        </w:rPr>
        <w:tab/>
        <w:t xml:space="preserve">na vlastní zdroje </w:t>
      </w:r>
    </w:p>
    <w:p>
      <w:pPr>
        <w:numPr>
          <w:ilvl w:val="2"/>
          <w:numId w:val="0"/>
        </w:numPr>
        <w:tabs>
          <w:tab w:val="num" w:pos="2126"/>
        </w:tabs>
        <w:ind w:left="2126" w:hanging="709"/>
        <w:rPr>
          <w:rFonts w:eastAsia="Times New Roman"/>
          <w:noProof/>
        </w:rPr>
      </w:pPr>
      <w:r>
        <w:rPr>
          <w:noProof/>
        </w:rPr>
        <w:sym w:font="Wingdings" w:char="F0A8"/>
      </w:r>
      <w:r>
        <w:rPr>
          <w:noProof/>
        </w:rPr>
        <w:tab/>
        <w:t xml:space="preserve">na různé příjmy </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U účelově vázaných různých příjmů upřesněte dotčené výdajové rozpočtové položky.</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Upřesněte způsob výpočtu dopadu na příjmy.</w:t>
      </w:r>
    </w:p>
    <w:p>
      <w:pPr>
        <w:pBdr>
          <w:top w:val="single" w:sz="4" w:space="1" w:color="auto"/>
          <w:left w:val="single" w:sz="4" w:space="4" w:color="auto"/>
          <w:bottom w:val="single" w:sz="4" w:space="1" w:color="auto"/>
          <w:right w:val="single" w:sz="4" w:space="4" w:color="auto"/>
        </w:pBdr>
        <w:rPr>
          <w:noProof/>
        </w:rPr>
      </w:pPr>
      <w:r>
        <w:rPr>
          <w:noProof/>
          <w:color w:val="0000FF"/>
        </w:rPr>
        <w:t>[…]</w:t>
      </w:r>
    </w:p>
    <w:p>
      <w:pPr>
        <w:jc w:val="center"/>
        <w:rPr>
          <w:b/>
          <w:noProof/>
          <w:u w:val="single"/>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Evropská komise, Politické směry pro příští Evropskou komisi na období 2019-2024, Unie, která si klade vyšší cíle, </w:t>
      </w:r>
      <w:hyperlink r:id="rId1" w:history="1">
        <w:r>
          <w:rPr>
            <w:rStyle w:val="Hyperlink"/>
          </w:rPr>
          <w:t>https://ec.europa.eu/commission/sites/beta-political/files/political-guidelines-next-commission_cs.pdf</w:t>
        </w:r>
      </w:hyperlink>
      <w:r>
        <w:t>.</w:t>
      </w:r>
    </w:p>
  </w:footnote>
  <w:footnote w:id="2">
    <w:p>
      <w:pPr>
        <w:pStyle w:val="FootnoteText"/>
      </w:pPr>
      <w:r>
        <w:rPr>
          <w:rStyle w:val="FootnoteReference"/>
        </w:rPr>
        <w:footnoteRef/>
      </w:r>
      <w:r>
        <w:tab/>
        <w:t>COM(2020) 456 final.</w:t>
      </w:r>
    </w:p>
  </w:footnote>
  <w:footnote w:id="3">
    <w:p>
      <w:pPr>
        <w:pStyle w:val="FootnoteText"/>
        <w:contextualSpacing/>
      </w:pPr>
      <w:r>
        <w:rPr>
          <w:rStyle w:val="FootnoteReference"/>
        </w:rPr>
        <w:footnoteRef/>
      </w:r>
      <w:r>
        <w:tab/>
        <w:t>COM(2020) 312 final.</w:t>
      </w:r>
    </w:p>
  </w:footnote>
  <w:footnote w:id="4">
    <w:p>
      <w:pPr>
        <w:pStyle w:val="FootnoteText"/>
      </w:pPr>
      <w:r>
        <w:rPr>
          <w:rStyle w:val="FootnoteReference"/>
        </w:rPr>
        <w:footnoteRef/>
      </w:r>
      <w:r>
        <w:tab/>
        <w:t>COM(2020) 313 final.</w:t>
      </w:r>
    </w:p>
  </w:footnote>
  <w:footnote w:id="5">
    <w:p>
      <w:pPr>
        <w:pStyle w:val="FootnoteText"/>
      </w:pPr>
      <w:r>
        <w:rPr>
          <w:rStyle w:val="FootnoteReference"/>
        </w:rPr>
        <w:footnoteRef/>
      </w:r>
      <w:r>
        <w:tab/>
        <w:t>Evropská komise, pracovní dokument útvarů Komise, vyhodnocení směrnice Rady 2011/16/EU o správní spolupráci v oblasti daní a o zrušení směrnice 77/799/EHS, SWD (2019) 328 final.</w:t>
      </w:r>
    </w:p>
  </w:footnote>
  <w:footnote w:id="6">
    <w:p>
      <w:pPr>
        <w:pStyle w:val="FootnoteText"/>
      </w:pPr>
      <w:r>
        <w:rPr>
          <w:rStyle w:val="FootnoteReference"/>
        </w:rPr>
        <w:footnoteRef/>
      </w:r>
      <w:r>
        <w:tab/>
        <w:t>Směrnice Rady 2011/16/EU o správní spolupráci v oblasti daní a o zrušení směrnice 77/799/EHS (Úř. věst. L 64, 11.3.2011, s. 1).</w:t>
      </w:r>
    </w:p>
  </w:footnote>
  <w:footnote w:id="7">
    <w:p>
      <w:pPr>
        <w:pStyle w:val="FootnoteText"/>
      </w:pPr>
      <w:r>
        <w:rPr>
          <w:rStyle w:val="FootnoteReference"/>
        </w:rPr>
        <w:footnoteRef/>
      </w:r>
      <w:r>
        <w:tab/>
        <w:t>Společné fórum EU pro převodní ceny, „</w:t>
      </w:r>
      <w:r>
        <w:rPr>
          <w:i/>
        </w:rPr>
        <w:t>A Coordinated Approach to Transfer Pricing Controls within the EU</w:t>
      </w:r>
      <w:r>
        <w:t>“ (Koordinovaný přístup ke kontrolám transferových cen v EU), JTPF/013/2018/EN, říjen 2018.</w:t>
      </w:r>
    </w:p>
  </w:footnote>
  <w:footnote w:id="8">
    <w:p>
      <w:pPr>
        <w:pStyle w:val="FootnoteText"/>
      </w:pPr>
      <w:r>
        <w:rPr>
          <w:rStyle w:val="FootnoteReference"/>
        </w:rPr>
        <w:footnoteRef/>
      </w:r>
      <w:r>
        <w:tab/>
        <w:t>Pověřovací dopis adresovaný komisaři pro hospodářství Paolu Gentilonimu, od Ursuly von der Leyenové, současné Evropské komise, 10. září 2019.</w:t>
      </w:r>
    </w:p>
  </w:footnote>
  <w:footnote w:id="9">
    <w:p>
      <w:pPr>
        <w:pStyle w:val="FootnoteText"/>
      </w:pPr>
      <w:r>
        <w:rPr>
          <w:rStyle w:val="FootnoteReference"/>
        </w:rPr>
        <w:footnoteRef/>
      </w:r>
      <w:r>
        <w:tab/>
        <w:t>Směrnice Rady (EU) 2014/107 ze dne 9. prosince 2014, kterou se mění směrnice 2011/16/EU, pokud jde o povinnou automatickou výměnu informací v oblasti daní (Úř. věst. L 359, 16.12.2014, s. 1).</w:t>
      </w:r>
    </w:p>
  </w:footnote>
  <w:footnote w:id="10">
    <w:p>
      <w:pPr>
        <w:pStyle w:val="FootnoteText"/>
      </w:pPr>
      <w:r>
        <w:rPr>
          <w:rStyle w:val="FootnoteReference"/>
        </w:rPr>
        <w:footnoteRef/>
      </w:r>
      <w:r>
        <w:tab/>
        <w:t>Směrnice Rady (EU) 2015/2376 ze dne 8. prosince 2015, kterou se mění směrnice 2011/16/EU, pokud jde o povinnou automatickou výměnu informací v oblasti daní (Úř. věst. L 332, 18.12.2015, s. 1).</w:t>
      </w:r>
    </w:p>
  </w:footnote>
  <w:footnote w:id="11">
    <w:p>
      <w:pPr>
        <w:pStyle w:val="FootnoteText"/>
      </w:pPr>
      <w:r>
        <w:rPr>
          <w:rStyle w:val="FootnoteReference"/>
        </w:rPr>
        <w:footnoteRef/>
      </w:r>
      <w:r>
        <w:tab/>
        <w:t>Směrnice Rady (EU) 2016/881 ze dne 25. května 2016, kterou se mění směrnice 2011/16/EU, pokud jde o povinnou automatickou výměnu informací v oblasti daní (Úř. věst. L 146, 3.6.2016, s. 8).</w:t>
      </w:r>
    </w:p>
  </w:footnote>
  <w:footnote w:id="12">
    <w:p>
      <w:pPr>
        <w:pStyle w:val="FootnoteText"/>
      </w:pPr>
      <w:r>
        <w:rPr>
          <w:rStyle w:val="FootnoteReference"/>
        </w:rPr>
        <w:footnoteRef/>
      </w:r>
      <w:r>
        <w:tab/>
        <w:t>Směrnice Rady (EU) 2016/2258 ze dne 6. prosince 2016, kterou se mění směrnice 2011/16/EU, pokud jde o přístup daňových orgánů k informacím pro boj proti praní peněz (Úř. věst. L 342, 16.12.2016, s. 1).</w:t>
      </w:r>
    </w:p>
  </w:footnote>
  <w:footnote w:id="13">
    <w:p>
      <w:pPr>
        <w:pStyle w:val="FootnoteText"/>
      </w:pPr>
      <w:r>
        <w:rPr>
          <w:rStyle w:val="FootnoteReference"/>
        </w:rPr>
        <w:footnoteRef/>
      </w:r>
      <w:r>
        <w:tab/>
        <w:t>Směrnice Rady (EU) 2018/822 ze dne 25. května 2018, kterou se mění směrnice 2011/16/EU, pokud jde o povinnou automatickou výměnu informací v oblasti daní ve vztahu k přeshraničním uspořádáním, která se mají oznamovat (Úř. věst. L 139, 5.6.2018, s. 1).</w:t>
      </w:r>
    </w:p>
  </w:footnote>
  <w:footnote w:id="14">
    <w:p>
      <w:pPr>
        <w:pStyle w:val="FootnoteText"/>
      </w:pPr>
      <w:r>
        <w:rPr>
          <w:rStyle w:val="FootnoteReference"/>
        </w:rPr>
        <w:footnoteRef/>
      </w:r>
      <w:r>
        <w:tab/>
        <w:t>Nařízení Evropského parlamentu a Rady (EU) 2018/1725 ze dne 23. října 2018 o ochraně fyzických osob v souvislosti se zpracováním osobních údajů orgány, institucemi a jinými právními subjekty Unie a o volném pohybu těchto údajů a o zrušení nařízení (ES) č. 45/2001 a rozhodnutí č. 1247/2002/ES (Úř. věst. L 295, 21.11.2018, s. 39).</w:t>
      </w:r>
    </w:p>
  </w:footnote>
  <w:footnote w:id="15">
    <w:p>
      <w:pPr>
        <w:pStyle w:val="FootnoteText"/>
      </w:pPr>
      <w:r>
        <w:rPr>
          <w:rStyle w:val="FootnoteReference"/>
        </w:rPr>
        <w:footnoteRef/>
      </w:r>
      <w:r>
        <w:tab/>
        <w:t>Směrnice Evropského parlamentu a Rady 2000/31/ES ze dne 8. června 2000 o některých právních aspektech služeb informační společnosti, zejména elektronického obchodu, na vnitřním trhu („směrnice o elektronickém obchodu“) (Úř. věst. L 178, 17.7.2000, s. 1).</w:t>
      </w:r>
    </w:p>
  </w:footnote>
  <w:footnote w:id="16">
    <w:p>
      <w:pPr>
        <w:pStyle w:val="FootnoteText"/>
      </w:pPr>
      <w:r>
        <w:rPr>
          <w:rStyle w:val="FootnoteReference"/>
        </w:rPr>
        <w:footnoteRef/>
      </w:r>
      <w:r>
        <w:tab/>
        <w:t>Pracovní dokument útvarů Komise</w:t>
      </w:r>
      <w:r>
        <w:rPr>
          <w:rStyle w:val="Hyperlink"/>
          <w:color w:val="000000" w:themeColor="text1"/>
          <w:u w:val="none"/>
        </w:rPr>
        <w:t xml:space="preserve"> (n 2).</w:t>
      </w:r>
    </w:p>
  </w:footnote>
  <w:footnote w:id="17">
    <w:p>
      <w:pPr>
        <w:pStyle w:val="FootnoteText"/>
      </w:pPr>
      <w:r>
        <w:rPr>
          <w:rStyle w:val="FootnoteReference"/>
        </w:rPr>
        <w:footnoteRef/>
      </w:r>
      <w:r>
        <w:tab/>
        <w:t>(vložte odkaz na stanovisko Výboru pro kontrolu regulace).</w:t>
      </w:r>
    </w:p>
  </w:footnote>
  <w:footnote w:id="18">
    <w:p>
      <w:pPr>
        <w:pStyle w:val="FootnoteText"/>
      </w:pPr>
      <w:r>
        <w:rPr>
          <w:rStyle w:val="FootnoteReference"/>
        </w:rPr>
        <w:footnoteRef/>
      </w:r>
      <w:r>
        <w:tab/>
        <w:t xml:space="preserve">(vložte odkaz na konečné posouzení dopadů). </w:t>
      </w:r>
    </w:p>
  </w:footnote>
  <w:footnote w:id="19">
    <w:p>
      <w:pPr>
        <w:pStyle w:val="FootnoteText"/>
      </w:pPr>
      <w:r>
        <w:rPr>
          <w:rStyle w:val="FootnoteReference"/>
        </w:rPr>
        <w:footnoteRef/>
      </w:r>
      <w:r>
        <w:tab/>
        <w:t xml:space="preserve">Úř. věst. C </w:t>
      </w:r>
      <w:r>
        <w:rPr>
          <w:rStyle w:val="Marker0"/>
        </w:rPr>
        <w:t>[…]</w:t>
      </w:r>
      <w:r>
        <w:t xml:space="preserve">, </w:t>
      </w:r>
      <w:r>
        <w:rPr>
          <w:rStyle w:val="Marker0"/>
        </w:rPr>
        <w:t>[…]</w:t>
      </w:r>
      <w:r>
        <w:t xml:space="preserve">, s. </w:t>
      </w:r>
      <w:r>
        <w:rPr>
          <w:rStyle w:val="Marker0"/>
        </w:rPr>
        <w:t>[…]</w:t>
      </w:r>
      <w:r>
        <w:t>.</w:t>
      </w:r>
    </w:p>
  </w:footnote>
  <w:footnote w:id="20">
    <w:p>
      <w:pPr>
        <w:pStyle w:val="FootnoteText"/>
      </w:pPr>
      <w:r>
        <w:rPr>
          <w:rStyle w:val="FootnoteReference"/>
        </w:rPr>
        <w:footnoteRef/>
      </w:r>
      <w:r>
        <w:tab/>
        <w:t xml:space="preserve">Úř. věst. C </w:t>
      </w:r>
      <w:r>
        <w:rPr>
          <w:rStyle w:val="Marker0"/>
        </w:rPr>
        <w:t>[…]</w:t>
      </w:r>
      <w:r>
        <w:t xml:space="preserve">, </w:t>
      </w:r>
      <w:r>
        <w:rPr>
          <w:rStyle w:val="Marker0"/>
        </w:rPr>
        <w:t>[…]</w:t>
      </w:r>
      <w:r>
        <w:t xml:space="preserve">, s. </w:t>
      </w:r>
      <w:r>
        <w:rPr>
          <w:rStyle w:val="Marker0"/>
        </w:rPr>
        <w:t>[…]</w:t>
      </w:r>
      <w:r>
        <w:t>.</w:t>
      </w:r>
    </w:p>
  </w:footnote>
  <w:footnote w:id="21">
    <w:p>
      <w:pPr>
        <w:pStyle w:val="FootnoteText"/>
        <w:ind w:left="709" w:hanging="709"/>
      </w:pPr>
      <w:r>
        <w:rPr>
          <w:rStyle w:val="FootnoteReference"/>
        </w:rPr>
        <w:footnoteRef/>
      </w:r>
      <w:r>
        <w:tab/>
        <w:t>Směrnice Rady 2011/16/EU ze dne 15. února 2011 o správní spolupráci v oblasti daní a o zrušení směrnice 77/799/EHS (Úř. věst. L 64, 11.3.2011, s. 1).</w:t>
      </w:r>
    </w:p>
  </w:footnote>
  <w:footnote w:id="22">
    <w:p>
      <w:pPr>
        <w:pStyle w:val="FootnoteText"/>
      </w:pPr>
      <w:r>
        <w:rPr>
          <w:rStyle w:val="FootnoteReference"/>
        </w:rPr>
        <w:footnoteRef/>
      </w:r>
      <w:r>
        <w:tab/>
        <w:t>Evropská komise, pracovní dokument útvarů Komise, vyhodnocení směrnice Rady 2011/16/EU o správní spolupráci v oblasti daní a o zrušení směrnice 77/799/EHS, SWD (2019) 328 final.</w:t>
      </w:r>
    </w:p>
  </w:footnote>
  <w:footnote w:id="23">
    <w:p>
      <w:pPr>
        <w:pStyle w:val="FootnoteText"/>
      </w:pPr>
      <w:r>
        <w:rPr>
          <w:rStyle w:val="FootnoteReference"/>
        </w:rPr>
        <w:footnoteRef/>
      </w:r>
      <w:r>
        <w:tab/>
        <w:t>Nařízení Evropského parlamentu a Rady (EU) č. 1286/2013 ze dne 11. prosince 2013, kterým se zavádí akční program ke zlepšení fungování systémů zdanění v Evropské unii na období 2014-2020 (Fiscalis 2020) a zrušuje rozhodnutí č. 1482/2007/ES (Úř. věst. EU L 347, 20.12.2013, s. 25).</w:t>
      </w:r>
    </w:p>
  </w:footnote>
  <w:footnote w:id="24">
    <w:p>
      <w:pPr>
        <w:pStyle w:val="FootnoteText"/>
        <w:ind w:left="709" w:hanging="709"/>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25">
    <w:p>
      <w:pPr>
        <w:pStyle w:val="FootnoteText"/>
        <w:ind w:left="709" w:hanging="709"/>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6">
    <w:p>
      <w:pPr>
        <w:pStyle w:val="FootnoteText"/>
        <w:ind w:left="709" w:hanging="709"/>
      </w:pPr>
      <w:r>
        <w:rPr>
          <w:rStyle w:val="FootnoteReference"/>
        </w:rPr>
        <w:footnoteRef/>
      </w:r>
      <w:r>
        <w:tab/>
        <w:t>Nařízení Evropského parlamentu a Rady (EU) 2018/1725 ze dne 23. října 2018 o ochraně fyzických osob v souvislosti se zpracováním osobních údajů orgány, institucemi a jinými právními subjekty Unie a o volném pohybu těchto údajů a o zrušení nařízení (ES) č. 45/2001 a rozhodnutí č. 1247/2002/ES.</w:t>
      </w:r>
    </w:p>
  </w:footnote>
  <w:footnote w:id="27">
    <w:p>
      <w:pPr>
        <w:pStyle w:val="FootnoteText"/>
        <w:rPr>
          <w:szCs w:val="24"/>
        </w:rPr>
      </w:pPr>
      <w:r>
        <w:rPr>
          <w:rStyle w:val="FootnoteReference"/>
        </w:rPr>
        <w:footnoteRef/>
      </w:r>
      <w:r>
        <w:tab/>
        <w:t>ABM: řízení podle činností (activity-based management); ABB: sestavování rozpočtu podle činností (activity-based budgeting).</w:t>
      </w:r>
    </w:p>
  </w:footnote>
  <w:footnote w:id="28">
    <w:p>
      <w:pPr>
        <w:pStyle w:val="FootnoteText"/>
        <w:rPr>
          <w:szCs w:val="24"/>
        </w:rPr>
      </w:pPr>
      <w:r>
        <w:rPr>
          <w:rStyle w:val="FootnoteReference"/>
        </w:rPr>
        <w:footnoteRef/>
      </w:r>
      <w:r>
        <w:tab/>
        <w:t>Uvedené v čl. 54 odst. 2 písm. a) nebo b) finančního nařízení.</w:t>
      </w:r>
    </w:p>
  </w:footnote>
  <w:footnote w:id="29">
    <w:p>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2" w:history="1">
        <w:r>
          <w:rPr>
            <w:rStyle w:val="Hyperlink"/>
            <w:sz w:val="18"/>
          </w:rPr>
          <w:t>http://www.cc.cec/budg/man/budgmanag/budgmanag_en.html</w:t>
        </w:r>
      </w:hyperlink>
    </w:p>
  </w:footnote>
  <w:footnote w:id="30">
    <w:p>
      <w:pPr>
        <w:pStyle w:val="FootnoteText"/>
      </w:pPr>
      <w:r>
        <w:rPr>
          <w:rStyle w:val="FootnoteReference"/>
        </w:rPr>
        <w:footnoteRef/>
      </w:r>
      <w:r>
        <w:tab/>
        <w:t>Nařízení Evropského parlamentu a Rady (EU) č. 1286/2013 ze dne 11. prosince 2013, kterým se zavádí akční program činnosti Společenství ke zdokonalení systémů nepřímého zdanění na vnitřním trhu v Evropské unii na období 2014–2020 (Fiscalis 2020) a kterým se zrušuje rozhodnutí č. 1482/2007/ES, Úř. věst. L 347, s. 25, 20.12.2013.</w:t>
      </w:r>
    </w:p>
  </w:footnote>
  <w:footnote w:id="31">
    <w:p>
      <w:pPr>
        <w:pStyle w:val="FootnoteText"/>
      </w:pPr>
      <w:r>
        <w:rPr>
          <w:rStyle w:val="FootnoteReference"/>
        </w:rPr>
        <w:footnoteRef/>
      </w:r>
      <w:r>
        <w:tab/>
        <w:t>Nařízení Evropského parlamentu a Rady (ES) č. 1073/1999 ze dne 25. května 1999 o vyšetřování prováděném Evropským úřadem pro boj proti podvodům (OLAF), Úř. věst. 136, s. 1, 31.5.1999.</w:t>
      </w:r>
    </w:p>
  </w:footnote>
  <w:footnote w:id="32">
    <w:p>
      <w:pPr>
        <w:pStyle w:val="FootnoteText"/>
      </w:pPr>
      <w:r>
        <w:rPr>
          <w:rStyle w:val="FootnoteReference"/>
        </w:rPr>
        <w:footnoteRef/>
      </w:r>
      <w:r>
        <w:tab/>
        <w:t>Nařízení Rady (Euratom, ES) č. 2185/96 ze dne 11. listopadu 1996 o kontrolách a inspekcích na místě prováděných Komisí za účelem ochrany finančních zájmů Evropských společenství proti podvodům a jiným nesrovnalostem, Úř. věst. 292, s. 2, 15.11.96.</w:t>
      </w:r>
    </w:p>
  </w:footnote>
  <w:footnote w:id="33">
    <w:p>
      <w:pPr>
        <w:pStyle w:val="FootnoteText"/>
        <w:rPr>
          <w:szCs w:val="24"/>
        </w:rPr>
      </w:pPr>
      <w:r>
        <w:rPr>
          <w:rStyle w:val="FootnoteReference"/>
        </w:rPr>
        <w:footnoteRef/>
      </w:r>
      <w:r>
        <w:tab/>
        <w:t>RP = rozlišené prostředky / NRP = nerozlišené prostředky.</w:t>
      </w:r>
    </w:p>
  </w:footnote>
  <w:footnote w:id="34">
    <w:p>
      <w:pPr>
        <w:pStyle w:val="FootnoteText"/>
        <w:rPr>
          <w:szCs w:val="24"/>
        </w:rPr>
      </w:pPr>
      <w:r>
        <w:rPr>
          <w:rStyle w:val="FootnoteReference"/>
        </w:rPr>
        <w:footnoteRef/>
      </w:r>
      <w:r>
        <w:tab/>
        <w:t xml:space="preserve">ESVO: Evropské sdružení volného obchodu. </w:t>
      </w:r>
    </w:p>
  </w:footnote>
  <w:footnote w:id="35">
    <w:p>
      <w:pPr>
        <w:pStyle w:val="FootnoteText"/>
        <w:rPr>
          <w:szCs w:val="24"/>
        </w:rPr>
      </w:pPr>
      <w:r>
        <w:rPr>
          <w:rStyle w:val="FootnoteReference"/>
        </w:rPr>
        <w:footnoteRef/>
      </w:r>
      <w:r>
        <w:tab/>
        <w:t>Kandidátské země a případně potenciální kandidáti ze západního Balkánu.</w:t>
      </w:r>
    </w:p>
  </w:footnote>
  <w:footnote w:id="36">
    <w:p>
      <w:pPr>
        <w:pStyle w:val="FootnoteText"/>
        <w:rPr>
          <w:szCs w:val="24"/>
        </w:rPr>
      </w:pPr>
      <w:r>
        <w:rPr>
          <w:rStyle w:val="FootnoteReference"/>
        </w:rPr>
        <w:footnoteRef/>
      </w:r>
      <w:r>
        <w:tab/>
        <w:t>Rokem N se rozumí rok, kdy se návrh/podnět začíná provádět.</w:t>
      </w:r>
    </w:p>
  </w:footnote>
  <w:footnote w:id="37">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38">
    <w:p>
      <w:pPr>
        <w:pStyle w:val="FootnoteText"/>
        <w:rPr>
          <w:szCs w:val="24"/>
        </w:rPr>
      </w:pPr>
      <w:r>
        <w:rPr>
          <w:rStyle w:val="FootnoteReference"/>
        </w:rPr>
        <w:footnoteRef/>
      </w:r>
      <w:r>
        <w:tab/>
        <w:t>Rokem N se rozumí rok, kdy se návrh/podnět začíná provádět.</w:t>
      </w:r>
    </w:p>
  </w:footnote>
  <w:footnote w:id="39">
    <w:p>
      <w:pPr>
        <w:pStyle w:val="FootnoteText"/>
        <w:rPr>
          <w:szCs w:val="24"/>
        </w:rPr>
      </w:pPr>
      <w:r>
        <w:rPr>
          <w:rStyle w:val="FootnoteReference"/>
        </w:rPr>
        <w:footnoteRef/>
      </w:r>
      <w:r>
        <w:tab/>
        <w:t>Výstupy se rozumí produkty a služby, které mají být dodány (například počet financovaných studentských výměn, počet vybudovaných kilometrů silnic atd.).</w:t>
      </w:r>
    </w:p>
  </w:footnote>
  <w:footnote w:id="40">
    <w:p>
      <w:pPr>
        <w:pStyle w:val="FootnoteText"/>
        <w:rPr>
          <w:szCs w:val="24"/>
        </w:rPr>
      </w:pPr>
      <w:r>
        <w:rPr>
          <w:rStyle w:val="FootnoteReference"/>
        </w:rPr>
        <w:footnoteRef/>
      </w:r>
      <w:r>
        <w:tab/>
        <w:t xml:space="preserve">Popsaný v bodě 1.4.2. „Specifické cíle…“ </w:t>
      </w:r>
    </w:p>
  </w:footnote>
  <w:footnote w:id="41">
    <w:p>
      <w:pPr>
        <w:pStyle w:val="FootnoteText"/>
        <w:rPr>
          <w:szCs w:val="24"/>
        </w:rPr>
      </w:pPr>
      <w:r>
        <w:rPr>
          <w:rStyle w:val="FootnoteReference"/>
        </w:rPr>
        <w:footnoteRef/>
      </w:r>
      <w:r>
        <w:tab/>
        <w:t>Rokem N se rozumí rok, kdy se návrh/podnět začíná provádět.</w:t>
      </w:r>
    </w:p>
  </w:footnote>
  <w:footnote w:id="42">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43">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44">
    <w:p>
      <w:pPr>
        <w:pStyle w:val="FootnoteText"/>
        <w:rPr>
          <w:szCs w:val="24"/>
        </w:rPr>
      </w:pPr>
      <w:r>
        <w:rPr>
          <w:rStyle w:val="FootnoteReference"/>
        </w:rPr>
        <w:footnoteRef/>
      </w:r>
      <w:r>
        <w:tab/>
        <w:t>Dílčí strop na externí zaměstnance financované z operačních prostředků (bývalé položky „BA“).</w:t>
      </w:r>
    </w:p>
  </w:footnote>
  <w:footnote w:id="45">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name w:val="0,3039776"/>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1"/>
  </w:num>
  <w:num w:numId="17">
    <w:abstractNumId w:val="11"/>
  </w:num>
  <w:num w:numId="18">
    <w:abstractNumId w:val="24"/>
  </w:num>
  <w:num w:numId="19">
    <w:abstractNumId w:val="6"/>
  </w:num>
  <w:num w:numId="20">
    <w:abstractNumId w:val="12"/>
  </w:num>
  <w:num w:numId="21">
    <w:abstractNumId w:val="4"/>
  </w:num>
  <w:num w:numId="22">
    <w:abstractNumId w:val="23"/>
  </w:num>
  <w:num w:numId="23">
    <w:abstractNumId w:val="3"/>
  </w:num>
  <w:num w:numId="24">
    <w:abstractNumId w:val="13"/>
  </w:num>
  <w:num w:numId="25">
    <w:abstractNumId w:val="19"/>
  </w:num>
  <w:num w:numId="26">
    <w:abstractNumId w:val="20"/>
  </w:num>
  <w:num w:numId="27">
    <w:abstractNumId w:val="5"/>
  </w:num>
  <w:num w:numId="28">
    <w:abstractNumId w:val="17"/>
  </w:num>
  <w:num w:numId="29">
    <w:abstractNumId w:val="28"/>
  </w:num>
  <w:num w:numId="30">
    <w:abstractNumId w:val="21"/>
  </w:num>
  <w:num w:numId="31">
    <w:abstractNumId w:val="11"/>
  </w:num>
  <w:num w:numId="32">
    <w:abstractNumId w:val="24"/>
  </w:num>
  <w:num w:numId="33">
    <w:abstractNumId w:val="6"/>
  </w:num>
  <w:num w:numId="34">
    <w:abstractNumId w:val="12"/>
  </w:num>
  <w:num w:numId="35">
    <w:abstractNumId w:val="4"/>
  </w:num>
  <w:num w:numId="36">
    <w:abstractNumId w:val="23"/>
  </w:num>
  <w:num w:numId="37">
    <w:abstractNumId w:val="3"/>
  </w:num>
  <w:num w:numId="38">
    <w:abstractNumId w:val="13"/>
  </w:num>
  <w:num w:numId="39">
    <w:abstractNumId w:val="19"/>
  </w:num>
  <w:num w:numId="40">
    <w:abstractNumId w:val="20"/>
  </w:num>
  <w:num w:numId="41">
    <w:abstractNumId w:val="5"/>
  </w:num>
  <w:num w:numId="42">
    <w:abstractNumId w:val="1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31: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C42AF5-D551-47B8-A8AC-01573118B4F8"/>
    <w:docVar w:name="LW_COVERPAGE_TYPE" w:val="1"/>
    <w:docVar w:name="LW_CROSSREFERENCE" w:val="{SEC(2020) 271 final} - {SWD(2020) 129 final} - {SWD(2020) 130 final} - {SWD(2020) 131 final}"/>
    <w:docVar w:name="LW_DocType" w:val="COM"/>
    <w:docVar w:name="LW_EMISSION" w:val="15.7.2020"/>
    <w:docVar w:name="LW_EMISSION_ISODATE" w:val="2020-07-15"/>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148"/>
    <w:docVar w:name="LW_REF.II.NEW.CP_YEAR" w:val="2020"/>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ou se m\u283?ní sm\u283?rnice 2011/16/EU o správní spolupráci v oblasti daní"/>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s://ec.europa.eu/commission/sites/beta-political/files/political-guidelines-next-commission_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B888C9-E9DB-49EF-812D-B9397F6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47</Pages>
  <Words>14430</Words>
  <Characters>88456</Characters>
  <Application>Microsoft Office Word</Application>
  <DocSecurity>0</DocSecurity>
  <Lines>2390</Lines>
  <Paragraphs>1071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2020-07-08T12:06:00Z</cp:lastPrinted>
  <dcterms:created xsi:type="dcterms:W3CDTF">2020-07-17T08:06:00Z</dcterms:created>
  <dcterms:modified xsi:type="dcterms:W3CDTF">2020-07-22T14:31:00Z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