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025F128E-DD4D-4ACA-B732-77E10AAA9A8D" style="width:450.75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b w:val="0"/>
          <w:i/>
          <w:noProof/>
        </w:rPr>
      </w:pPr>
      <w:bookmarkStart w:id="0" w:name="_GoBack"/>
      <w:bookmarkEnd w:id="0"/>
      <w:r>
        <w:rPr>
          <w:noProof/>
        </w:rPr>
        <w:lastRenderedPageBreak/>
        <w:t>ANNESS</w:t>
      </w:r>
      <w:r>
        <w:rPr>
          <w:noProof/>
        </w:rPr>
        <w:br/>
      </w:r>
      <w:r>
        <w:rPr>
          <w:noProof/>
        </w:rPr>
        <w:br/>
        <w:t>“ANNESS V</w:t>
      </w:r>
      <w:r>
        <w:rPr>
          <w:noProof/>
        </w:rPr>
        <w:br/>
        <w:t>REGOLI TAR-RAPPURTAR GĦALL-</w:t>
      </w:r>
      <w:r>
        <w:rPr>
          <w:caps/>
          <w:noProof/>
        </w:rPr>
        <w:t>operaturi tal-pjattaformi</w:t>
      </w:r>
    </w:p>
    <w:p>
      <w:pPr>
        <w:rPr>
          <w:noProof/>
        </w:rPr>
      </w:pPr>
    </w:p>
    <w:p>
      <w:pPr>
        <w:rPr>
          <w:i/>
          <w:noProof/>
        </w:rPr>
      </w:pPr>
      <w:r>
        <w:rPr>
          <w:noProof/>
        </w:rPr>
        <w:t>Dan l-Anness jistabbilixxi r-regoli tar-rappurtar u tad-diliġenza dovuta li għandhom jiġu applikati mill-Operaturi tal-Pjattaformi Rapportanti sabiex l-Istati Membri, permezz ta’ skambju awtomatiku, ikunu jistgħu jikkomunikaw l-informazzjoni msemmija fl-Artikolu 8ac ta’ din id-Direttiva.</w:t>
      </w:r>
    </w:p>
    <w:p>
      <w:pPr>
        <w:rPr>
          <w:i/>
          <w:noProof/>
        </w:rPr>
      </w:pPr>
      <w:r>
        <w:rPr>
          <w:noProof/>
        </w:rPr>
        <w:t>Dan l-Anness jiddeskrivi wkoll ir-regoli u l-proċeduri amministrattivi li l-Istati Membri għandu jkollhom fis-seħħ sabiex jiżguraw l-implimentazzjoni effettiva tal-proċeduri tar-rappurtar u tad-diliġenza dovuta stabbiliti fiha u l-konformità magħhom.</w:t>
      </w:r>
    </w:p>
    <w:p>
      <w:pPr>
        <w:rPr>
          <w:noProof/>
        </w:rPr>
      </w:pPr>
    </w:p>
    <w:p>
      <w:pPr>
        <w:pStyle w:val="SectionTitle"/>
        <w:rPr>
          <w:i/>
          <w:noProof/>
        </w:rPr>
      </w:pPr>
      <w:r>
        <w:rPr>
          <w:b w:val="0"/>
          <w:noProof/>
        </w:rPr>
        <w:t>TAQSIMA I</w:t>
      </w:r>
      <w:r>
        <w:rPr>
          <w:b w:val="0"/>
          <w:noProof/>
        </w:rPr>
        <w:br/>
      </w:r>
      <w:r>
        <w:rPr>
          <w:noProof/>
        </w:rPr>
        <w:br/>
        <w:t>TERMINI DEFINITI</w:t>
      </w:r>
    </w:p>
    <w:p>
      <w:pPr>
        <w:spacing w:before="0" w:after="0"/>
        <w:rPr>
          <w:noProof/>
        </w:rPr>
      </w:pPr>
      <w:r>
        <w:rPr>
          <w:noProof/>
        </w:rPr>
        <w:t xml:space="preserve">It-termini li ġejjin għandhom it-tifsiriet stabbiliti hawn taħt: </w:t>
      </w:r>
    </w:p>
    <w:p>
      <w:pPr>
        <w:spacing w:before="0" w:after="0"/>
        <w:rPr>
          <w:noProof/>
        </w:rPr>
      </w:pPr>
    </w:p>
    <w:p>
      <w:pPr>
        <w:spacing w:before="0" w:after="0"/>
        <w:rPr>
          <w:noProof/>
        </w:rPr>
      </w:pPr>
      <w:r>
        <w:rPr>
          <w:noProof/>
        </w:rPr>
        <w:t>A. Operaturi tal-Pjattaformi Rapportanti</w:t>
      </w:r>
    </w:p>
    <w:p>
      <w:pPr>
        <w:pStyle w:val="NumPar1"/>
        <w:numPr>
          <w:ilvl w:val="0"/>
          <w:numId w:val="29"/>
        </w:numPr>
        <w:rPr>
          <w:noProof/>
        </w:rPr>
      </w:pPr>
      <w:r>
        <w:rPr>
          <w:noProof/>
        </w:rPr>
        <w:t>“Pjattaforma” tfisser kwalunkwe software, inkluż sit web jew parti minnu, u applikazzjonijiet, inkluż l-applikazzjonijiet mobbli, aċċessibbli mill-utenti u li jippermettu lill-Bejjiegħa jkunu konnessi ma’ utenti oħra għall-fini li titwettaq Attività Rilevanti, b’mod dirett jew indirett, għal tali utenti. Tinkludi wkoll kwalunkwe arranġament għall-ġbir u għall-pagament ta’ Korrispettiv fir-rigward ta’ Attività Rilevanti.</w:t>
      </w:r>
    </w:p>
    <w:p>
      <w:pPr>
        <w:pStyle w:val="Text1"/>
        <w:rPr>
          <w:noProof/>
        </w:rPr>
      </w:pPr>
      <w:r>
        <w:rPr>
          <w:noProof/>
        </w:rPr>
        <w:t xml:space="preserve">It-terminu “Pjattaforma” ma għandux jinkludi s-software li mingħajr xi intervent ulterjuri għat-twettiq ta’ Attività Rilevanti jippermetti xi waħda minn dawn li ġejjin b’mod esklużiv: </w:t>
      </w:r>
    </w:p>
    <w:p>
      <w:pPr>
        <w:pStyle w:val="Point1letter"/>
        <w:numPr>
          <w:ilvl w:val="3"/>
          <w:numId w:val="30"/>
        </w:numPr>
        <w:rPr>
          <w:noProof/>
        </w:rPr>
      </w:pPr>
      <w:r>
        <w:rPr>
          <w:noProof/>
        </w:rPr>
        <w:t>l-ipproċessar ta’ pagamenti fir-rigward ta’ Attività Rilevanti;</w:t>
      </w:r>
    </w:p>
    <w:p>
      <w:pPr>
        <w:pStyle w:val="Point1letter"/>
        <w:rPr>
          <w:noProof/>
        </w:rPr>
      </w:pPr>
      <w:r>
        <w:rPr>
          <w:noProof/>
        </w:rPr>
        <w:t xml:space="preserve">l-elenkar jew ir-reklamar ta’ Attività Rilevanti mill-utenti; </w:t>
      </w:r>
    </w:p>
    <w:p>
      <w:pPr>
        <w:pStyle w:val="Point1letter"/>
        <w:rPr>
          <w:noProof/>
        </w:rPr>
      </w:pPr>
      <w:r>
        <w:rPr>
          <w:noProof/>
        </w:rPr>
        <w:t xml:space="preserve">id-direzzjonar mill-ġdid jew it-trasferiment tal-utenti lejn Pjattaforma. </w:t>
      </w:r>
    </w:p>
    <w:p>
      <w:pPr>
        <w:pStyle w:val="NumPar1"/>
        <w:rPr>
          <w:noProof/>
        </w:rPr>
      </w:pPr>
      <w:r>
        <w:rPr>
          <w:noProof/>
        </w:rPr>
        <w:t xml:space="preserve">“Operatur tal-Pjattaformi” tfisser Entità li tikkuntratta ma’ Bejjiegħa biex tagħmel disponibbli Pjattaforma sħiħa jew parti minnha lil tali Bejjiegħa. </w:t>
      </w:r>
    </w:p>
    <w:p>
      <w:pPr>
        <w:pStyle w:val="NumPar1"/>
        <w:rPr>
          <w:noProof/>
        </w:rPr>
      </w:pPr>
      <w:r>
        <w:rPr>
          <w:noProof/>
        </w:rPr>
        <w:t xml:space="preserve"> “Operatur tal-Pjattaformi Rapportanti” tfisser l-Operatur tal-Pjattaformi fi kwalunkwe waħda mis-sitwazzjonijiet li ġejjin:</w:t>
      </w:r>
    </w:p>
    <w:p>
      <w:pPr>
        <w:pStyle w:val="Point1letter"/>
        <w:numPr>
          <w:ilvl w:val="3"/>
          <w:numId w:val="27"/>
        </w:numPr>
        <w:rPr>
          <w:noProof/>
        </w:rPr>
      </w:pPr>
      <w:r>
        <w:rPr>
          <w:noProof/>
        </w:rPr>
        <w:t xml:space="preserve">huwa resident għal finijiet tat-taxxa fi Stat Membru jew, meta Operatur tal-Pjattaformi ma jkollux residenza għal finijiet tat-taxxa fi Stat Membru, jissodisfa kwalunkwe waħda mill-kundizzjonijiet li ġejjin: </w:t>
      </w:r>
    </w:p>
    <w:p>
      <w:pPr>
        <w:pStyle w:val="Point2"/>
        <w:rPr>
          <w:noProof/>
        </w:rPr>
      </w:pPr>
      <w:r>
        <w:rPr>
          <w:noProof/>
        </w:rPr>
        <w:t>(i)</w:t>
      </w:r>
      <w:r>
        <w:rPr>
          <w:noProof/>
        </w:rPr>
        <w:tab/>
        <w:t xml:space="preserve"> huwa inkorporat skont il-liġijiet ta’ Stat Membru; </w:t>
      </w:r>
    </w:p>
    <w:p>
      <w:pPr>
        <w:pStyle w:val="Point2"/>
        <w:rPr>
          <w:noProof/>
        </w:rPr>
      </w:pPr>
      <w:r>
        <w:rPr>
          <w:noProof/>
        </w:rPr>
        <w:t>(ii)</w:t>
      </w:r>
      <w:r>
        <w:rPr>
          <w:noProof/>
        </w:rPr>
        <w:tab/>
        <w:t xml:space="preserve"> għandu l-post tal-ġestjoni tiegħu (inkluż il-ġestjoni effettiva) fi Stat Membru;</w:t>
      </w:r>
    </w:p>
    <w:p>
      <w:pPr>
        <w:pStyle w:val="Point2"/>
        <w:rPr>
          <w:noProof/>
        </w:rPr>
      </w:pPr>
      <w:r>
        <w:rPr>
          <w:noProof/>
        </w:rPr>
        <w:t>(iii)</w:t>
      </w:r>
      <w:r>
        <w:rPr>
          <w:noProof/>
        </w:rPr>
        <w:tab/>
        <w:t>għandu stabbiliment permanenti fi Stat Membru;</w:t>
      </w:r>
    </w:p>
    <w:p>
      <w:pPr>
        <w:pStyle w:val="Point1letter"/>
        <w:rPr>
          <w:noProof/>
        </w:rPr>
      </w:pPr>
      <w:r>
        <w:rPr>
          <w:noProof/>
        </w:rPr>
        <w:t>la huwa residenti għal finijiet tat-taxxa, la huwa inkorporat jew ġestit fi Stat Membru, u lanqas ma għandu stabbiliment permanenti fi Stat Membru, iżda jiffaċilita t-twettiq ta’ Attività Rilevanti minn Bejjiegħa Rapportabbli jew il-kiri ta’ proprjetà immobbli li tinsab fi Stat Membru.</w:t>
      </w:r>
    </w:p>
    <w:p>
      <w:pPr>
        <w:pStyle w:val="NumPar1"/>
        <w:tabs>
          <w:tab w:val="left" w:pos="0"/>
        </w:tabs>
        <w:rPr>
          <w:noProof/>
        </w:rPr>
      </w:pPr>
      <w:r>
        <w:rPr>
          <w:noProof/>
        </w:rPr>
        <w:t xml:space="preserve">“Attività Rilevanti” tfisser attività li titwettaq għal Korrispettiv u li hija kwalunkwe waħda minn dawn li ġejjin:  </w:t>
      </w:r>
    </w:p>
    <w:p>
      <w:pPr>
        <w:pStyle w:val="Point1letter"/>
        <w:numPr>
          <w:ilvl w:val="3"/>
          <w:numId w:val="5"/>
        </w:numPr>
        <w:rPr>
          <w:noProof/>
        </w:rPr>
      </w:pPr>
      <w:r>
        <w:rPr>
          <w:noProof/>
        </w:rPr>
        <w:t xml:space="preserve">il-kiri ta’ proprjetà immobbli; </w:t>
      </w:r>
    </w:p>
    <w:p>
      <w:pPr>
        <w:pStyle w:val="Point1letter"/>
        <w:numPr>
          <w:ilvl w:val="3"/>
          <w:numId w:val="5"/>
        </w:numPr>
        <w:rPr>
          <w:noProof/>
        </w:rPr>
      </w:pPr>
      <w:r>
        <w:rPr>
          <w:noProof/>
        </w:rPr>
        <w:t xml:space="preserve">Servizz Personali; </w:t>
      </w:r>
    </w:p>
    <w:p>
      <w:pPr>
        <w:pStyle w:val="Point1letter"/>
        <w:numPr>
          <w:ilvl w:val="3"/>
          <w:numId w:val="5"/>
        </w:numPr>
        <w:rPr>
          <w:noProof/>
        </w:rPr>
      </w:pPr>
      <w:r>
        <w:rPr>
          <w:noProof/>
        </w:rPr>
        <w:t xml:space="preserve">il-bejgħ ta’ oġġetti; </w:t>
      </w:r>
    </w:p>
    <w:p>
      <w:pPr>
        <w:pStyle w:val="Point1letter"/>
        <w:numPr>
          <w:ilvl w:val="3"/>
          <w:numId w:val="5"/>
        </w:numPr>
        <w:rPr>
          <w:noProof/>
        </w:rPr>
      </w:pPr>
      <w:r>
        <w:rPr>
          <w:noProof/>
        </w:rPr>
        <w:t>il-kiri ta’ kwalunkwe modalità tat-trasport;</w:t>
      </w:r>
    </w:p>
    <w:p>
      <w:pPr>
        <w:pStyle w:val="Point1letter"/>
        <w:numPr>
          <w:ilvl w:val="3"/>
          <w:numId w:val="5"/>
        </w:numPr>
        <w:rPr>
          <w:noProof/>
        </w:rPr>
      </w:pPr>
      <w:r>
        <w:rPr>
          <w:noProof/>
        </w:rPr>
        <w:t>l-investiment u s-self mogħti fil-kuntest tal-finanzjament kollettiv, kif iddefinit fil-qafas ġuridiku tas-swieq finanzjarji tal-Unjoni.</w:t>
      </w:r>
    </w:p>
    <w:p>
      <w:pPr>
        <w:pStyle w:val="Text1"/>
        <w:rPr>
          <w:noProof/>
        </w:rPr>
      </w:pPr>
      <w:r>
        <w:rPr>
          <w:noProof/>
        </w:rPr>
        <w:t>It-terminu “Attività Rilevanti” ma għandhiex tinkludi attività li titwettaq minn Bejjiegħ li jaġixxi bħala impjegat tal-Operatur tal-Pjattaformi Rapportanti jew ta’ Entità relatata tal-Operatur tal-Pjattaformi.</w:t>
      </w:r>
    </w:p>
    <w:p>
      <w:pPr>
        <w:pStyle w:val="NumPar1"/>
        <w:rPr>
          <w:noProof/>
        </w:rPr>
      </w:pPr>
      <w:r>
        <w:rPr>
          <w:noProof/>
        </w:rPr>
        <w:t xml:space="preserve">“Korrispettiv” tfisser kull forma ta’ kumpens mingħajr it-tariffi, il-kummissjonijiet jew it-taxxi li jkunu tnaqqsu f’ras il-għajn jew ġew imposti mill-Operatur tal-Pjattaformi Rapportanti, li jitħallas jew jiġi kkreditat lil Bejjiegħ b’rabta ma’ Attività Rilevanti, u li l-ammont tiegħu jkun magħruf jew jista’ jkun raġonevolment magħruf mill-Operatur tal-Pjattaformi. </w:t>
      </w:r>
    </w:p>
    <w:p>
      <w:pPr>
        <w:pStyle w:val="NumPar1"/>
        <w:rPr>
          <w:noProof/>
        </w:rPr>
      </w:pPr>
      <w:r>
        <w:rPr>
          <w:noProof/>
        </w:rPr>
        <w:t xml:space="preserve">“Servizz Personali” tfisser servizz li jinvolvi xogħol ibbażat fuq il-ħin jew fuq il-kompiti li jitwettaq minn individwu wieħed jew iktar, li jaġixxi/u b’mod indipendenti jew f’isem Entità, u li jitwettaq fuq talba ta’ utent, online jew fiżikament offline wara li jkun ġie ffaċilitat permezz ta’ pjattaforma. </w:t>
      </w:r>
    </w:p>
    <w:p>
      <w:pPr>
        <w:rPr>
          <w:noProof/>
        </w:rPr>
      </w:pPr>
    </w:p>
    <w:p>
      <w:pPr>
        <w:spacing w:before="0" w:after="0"/>
        <w:rPr>
          <w:noProof/>
        </w:rPr>
      </w:pPr>
      <w:r>
        <w:rPr>
          <w:noProof/>
        </w:rPr>
        <w:t>B. Bejjiegħa Rapportabbli</w:t>
      </w:r>
    </w:p>
    <w:p>
      <w:pPr>
        <w:pStyle w:val="NumPar1"/>
        <w:numPr>
          <w:ilvl w:val="0"/>
          <w:numId w:val="6"/>
        </w:numPr>
        <w:rPr>
          <w:noProof/>
        </w:rPr>
      </w:pPr>
      <w:r>
        <w:rPr>
          <w:noProof/>
        </w:rPr>
        <w:t xml:space="preserve">“Bejjiegħ” tfisser utent ta’ Pjattaforma, li jkun individwu jew Entità, li jkun irreġistrat fuq il-Pjattaforma fi kwalunkwe mument matul il-Perjodu Rapportabbli u li jwettaq l-Attività Rilevanti. </w:t>
      </w:r>
    </w:p>
    <w:p>
      <w:pPr>
        <w:pStyle w:val="NumPar1"/>
        <w:numPr>
          <w:ilvl w:val="0"/>
          <w:numId w:val="6"/>
        </w:numPr>
        <w:rPr>
          <w:noProof/>
        </w:rPr>
      </w:pPr>
      <w:r>
        <w:rPr>
          <w:noProof/>
        </w:rPr>
        <w:t>“Bejjiegħ Attiv” tfisser kwalunkwe Bejjiegħ li jipprovdi Attività rilevanti matul il-Perjodu Rapportabbli jew li jitħallas jew jiġi kkreditat Korrispettiv b’rabta ma’ Attività Rilevanti matul il-Perjodu Rapportabbli.</w:t>
      </w:r>
    </w:p>
    <w:p>
      <w:pPr>
        <w:pStyle w:val="NumPar1"/>
        <w:numPr>
          <w:ilvl w:val="0"/>
          <w:numId w:val="6"/>
        </w:numPr>
        <w:rPr>
          <w:noProof/>
        </w:rPr>
      </w:pPr>
      <w:r>
        <w:rPr>
          <w:noProof/>
        </w:rPr>
        <w:t>“Bejjiegħ Rapportabbli” tfisser kwalunkwe Bejjiegħ Attiv, għajr Bejjiegħ Eskluż, li jkun residenti fi Stat Membru jew li jkun kera proprjetà immobbli li tinsab fi Stat Membru.</w:t>
      </w:r>
    </w:p>
    <w:p>
      <w:pPr>
        <w:pStyle w:val="Text1"/>
        <w:rPr>
          <w:noProof/>
        </w:rPr>
      </w:pPr>
      <w:r>
        <w:rPr>
          <w:noProof/>
        </w:rPr>
        <w:t>Bejjiegħ Rapportabbli għandu jiġi kkunsidrat bħala resident fi Stat Membru skont it-tifsira tal-ewwel subparagrafu jekk jissodisfa kwalunkwe waħda mill-kundizzjonijiet li ġejjin matul il-Perjodu Rapportabbli:</w:t>
      </w:r>
    </w:p>
    <w:p>
      <w:pPr>
        <w:pStyle w:val="Point1letter"/>
        <w:numPr>
          <w:ilvl w:val="3"/>
          <w:numId w:val="17"/>
        </w:numPr>
        <w:rPr>
          <w:noProof/>
        </w:rPr>
      </w:pPr>
      <w:r>
        <w:rPr>
          <w:noProof/>
        </w:rPr>
        <w:t xml:space="preserve">kellu l-Indirizz Primarju tiegħu fi Stat Membru; </w:t>
      </w:r>
    </w:p>
    <w:p>
      <w:pPr>
        <w:pStyle w:val="Point1letter"/>
        <w:rPr>
          <w:noProof/>
        </w:rPr>
      </w:pPr>
      <w:r>
        <w:rPr>
          <w:noProof/>
        </w:rPr>
        <w:t xml:space="preserve">kellu NIT jew numru ta’ identifikazzjoni tal-VAT li nħareġ fi Stat Membru; </w:t>
      </w:r>
    </w:p>
    <w:p>
      <w:pPr>
        <w:pStyle w:val="Point1letter"/>
        <w:rPr>
          <w:noProof/>
        </w:rPr>
      </w:pPr>
      <w:r>
        <w:rPr>
          <w:noProof/>
        </w:rPr>
        <w:t xml:space="preserve">għal Bejjiegħ li jkun Entità, kellu stabbiliment permanenti fi Stat Membru. </w:t>
      </w:r>
    </w:p>
    <w:p>
      <w:pPr>
        <w:pStyle w:val="NumPar1"/>
        <w:numPr>
          <w:ilvl w:val="0"/>
          <w:numId w:val="6"/>
        </w:numPr>
        <w:rPr>
          <w:noProof/>
        </w:rPr>
      </w:pPr>
      <w:r>
        <w:rPr>
          <w:noProof/>
        </w:rPr>
        <w:t xml:space="preserve"> “Bejjiegħ Eskluż” tfisser kwalunkwe Bejjiegħ li jkun Entità Governattiva.</w:t>
      </w:r>
    </w:p>
    <w:p>
      <w:pPr>
        <w:spacing w:before="0" w:after="0"/>
        <w:rPr>
          <w:noProof/>
        </w:rPr>
      </w:pPr>
    </w:p>
    <w:p>
      <w:pPr>
        <w:spacing w:before="0" w:after="0"/>
        <w:rPr>
          <w:noProof/>
        </w:rPr>
      </w:pPr>
      <w:r>
        <w:rPr>
          <w:noProof/>
        </w:rPr>
        <w:t>C. Definizzjonijiet oħra</w:t>
      </w:r>
    </w:p>
    <w:p>
      <w:pPr>
        <w:pStyle w:val="NumPar1"/>
        <w:numPr>
          <w:ilvl w:val="0"/>
          <w:numId w:val="7"/>
        </w:numPr>
        <w:rPr>
          <w:noProof/>
        </w:rPr>
      </w:pPr>
      <w:r>
        <w:rPr>
          <w:noProof/>
        </w:rPr>
        <w:t>“Entità” tfisser persuna ġuridika jew arranġament ġuridiku, bħal korporazzjoni, sħubija, trust jew fondazzjoni.</w:t>
      </w:r>
    </w:p>
    <w:p>
      <w:pPr>
        <w:pStyle w:val="NumPar1"/>
        <w:numPr>
          <w:ilvl w:val="0"/>
          <w:numId w:val="7"/>
        </w:numPr>
        <w:rPr>
          <w:noProof/>
        </w:rPr>
      </w:pPr>
      <w:r>
        <w:rPr>
          <w:noProof/>
        </w:rPr>
        <w:t>“Entità Governattiva” tfisser il-gvern ta’ Stat Membru jew ta’ ġurisdizzjoni oħra, kwalunkwe suddiviżjoni politika ta’ Stat Membru jew ta’ ġurisdizzjoni oħra (inkluż stat, provinċja, kontea jew muniċipalità), jew kwalunkwe aġenzija jew strument bi sjieda totali ta’ Stat Membru jew ta’ ġurisdizzjoni oħra jew kwalunkwe wieħed jew iktar minn dawn ta’ qabel (kull wieħed minnhom ikun “Entità Governattiva”).</w:t>
      </w:r>
    </w:p>
    <w:p>
      <w:pPr>
        <w:pStyle w:val="NumPar1"/>
        <w:numPr>
          <w:ilvl w:val="0"/>
          <w:numId w:val="6"/>
        </w:numPr>
        <w:rPr>
          <w:noProof/>
        </w:rPr>
      </w:pPr>
      <w:r>
        <w:rPr>
          <w:noProof/>
        </w:rPr>
        <w:t xml:space="preserve"> “NIT” tfisser in-Numru ta’ Identifikazzjoni tal-Kontribwent jew l-ekwivalenti funzjonali fin-nuqqas ta’ Numru ta’ Identifikazzjoni tal-Kontribwent.  </w:t>
      </w:r>
    </w:p>
    <w:p>
      <w:pPr>
        <w:pStyle w:val="NumPar1"/>
        <w:numPr>
          <w:ilvl w:val="0"/>
          <w:numId w:val="6"/>
        </w:numPr>
        <w:rPr>
          <w:noProof/>
        </w:rPr>
      </w:pPr>
      <w:r>
        <w:rPr>
          <w:noProof/>
        </w:rPr>
        <w:t>“numru ta’ identifikazzjoni tal-VAT” tfisser in-numru uniku li jidentifika persuna taxxabbli jew entità ġuridika mhux taxxabbli li tkun irreġistrata għal finijiet tat-taxxa fuq il-valur miżjud.</w:t>
      </w:r>
    </w:p>
    <w:p>
      <w:pPr>
        <w:pStyle w:val="NumPar1"/>
        <w:numPr>
          <w:ilvl w:val="0"/>
          <w:numId w:val="6"/>
        </w:numPr>
        <w:rPr>
          <w:noProof/>
        </w:rPr>
      </w:pPr>
      <w:r>
        <w:rPr>
          <w:noProof/>
        </w:rPr>
        <w:t xml:space="preserve">“Indirizz Primarju” tfisser l-indirizz li jkun ir-residenza primarja ta’ Bejjiegħ li jkun individwu, kif ukoll l-indirizz li jkun l-uffiċċju rreġistrat ta’ Bejjiegħ li jkun Entità.  </w:t>
      </w:r>
    </w:p>
    <w:p>
      <w:pPr>
        <w:pStyle w:val="NumPar1"/>
        <w:numPr>
          <w:ilvl w:val="0"/>
          <w:numId w:val="6"/>
        </w:numPr>
        <w:rPr>
          <w:noProof/>
        </w:rPr>
      </w:pPr>
      <w:r>
        <w:rPr>
          <w:noProof/>
        </w:rPr>
        <w:t xml:space="preserve">“Perjodu Rapportabbli” tfisser is-sena kalendarja li fir-rigward tagħha qed jitlesta r-rappurtar skont it-Taqsima III. </w:t>
      </w:r>
    </w:p>
    <w:p>
      <w:pPr>
        <w:pStyle w:val="NumPar1"/>
        <w:numPr>
          <w:ilvl w:val="0"/>
          <w:numId w:val="6"/>
        </w:numPr>
        <w:rPr>
          <w:noProof/>
        </w:rPr>
      </w:pPr>
      <w:r>
        <w:rPr>
          <w:noProof/>
        </w:rPr>
        <w:t>“Proprjetà Elenkata” tfisser l-unitajiet kollha ta’ proprjetà immobbli li jinsabu fl-istess indirizz fiżiku u li jiġu offruti għall-kiri fuq Pjattaforma mill-istess Bejjiegħ.</w:t>
      </w:r>
    </w:p>
    <w:p>
      <w:pPr>
        <w:pStyle w:val="NumPar1"/>
        <w:numPr>
          <w:ilvl w:val="0"/>
          <w:numId w:val="6"/>
        </w:numPr>
        <w:rPr>
          <w:noProof/>
        </w:rPr>
      </w:pPr>
      <w:r>
        <w:rPr>
          <w:noProof/>
        </w:rPr>
        <w:t>“Identifikatur tal-Kont Finanzjarju” tfisser in-numru jew ir-referenza ta’ identifikazzjoni uniċi disponibbli għall-Operatur tal-Pjattaformi tal-kont bankarju jew ta’ kont ieħor ta’ servizzi simili ta’ pagament li fih jitħallas jew jiġi kkreditat il-Korrispettiv.</w:t>
      </w:r>
    </w:p>
    <w:p>
      <w:pPr>
        <w:rPr>
          <w:noProof/>
        </w:rPr>
      </w:pPr>
    </w:p>
    <w:p>
      <w:pPr>
        <w:pStyle w:val="SectionTitle"/>
        <w:rPr>
          <w:b w:val="0"/>
          <w:noProof/>
        </w:rPr>
      </w:pPr>
      <w:r>
        <w:rPr>
          <w:b w:val="0"/>
          <w:noProof/>
        </w:rPr>
        <w:t>TAQSIMA II</w:t>
      </w:r>
      <w:r>
        <w:rPr>
          <w:b w:val="0"/>
          <w:noProof/>
        </w:rPr>
        <w:br/>
      </w:r>
      <w:r>
        <w:rPr>
          <w:noProof/>
        </w:rPr>
        <w:br/>
        <w:t>PROĊEDURI TAD-DILIĠENZA DOVUTA</w:t>
      </w:r>
    </w:p>
    <w:p>
      <w:pPr>
        <w:spacing w:before="0" w:after="0"/>
        <w:rPr>
          <w:noProof/>
        </w:rPr>
      </w:pPr>
      <w:r>
        <w:rPr>
          <w:noProof/>
        </w:rPr>
        <w:t xml:space="preserve">Il-proċeduri li ġejjin għandhom japplikaw għall-fini tal-identifikazzjoni tal-Bejjiegħa Rapportabbli. </w:t>
      </w:r>
    </w:p>
    <w:p>
      <w:pPr>
        <w:spacing w:before="0" w:after="0"/>
        <w:rPr>
          <w:noProof/>
        </w:rPr>
      </w:pPr>
    </w:p>
    <w:p>
      <w:pPr>
        <w:spacing w:before="0" w:after="0"/>
        <w:rPr>
          <w:noProof/>
        </w:rPr>
      </w:pPr>
      <w:r>
        <w:rPr>
          <w:noProof/>
        </w:rPr>
        <w:t>A. Bejjiegħa mhux Soġġetti għal rieżami</w:t>
      </w:r>
    </w:p>
    <w:p>
      <w:pPr>
        <w:rPr>
          <w:noProof/>
        </w:rPr>
      </w:pPr>
      <w:r>
        <w:rPr>
          <w:noProof/>
        </w:rPr>
        <w:t>Għall-fini li jiġi ddeterminat jekk Bejjiegħ li jkun Entità jikkwalifikax bħala Bejjiegħ Eskluż kif deskritt fis-subparagrafu B(4), Operatur tal-Pjattaformi Rapportanti jista’ jiddependi minn informazzjoni disponibbli pubblikament jew minn konferma mill-Bejjiegħ li jkun Entità.</w:t>
      </w:r>
    </w:p>
    <w:p>
      <w:pPr>
        <w:spacing w:before="0" w:after="0"/>
        <w:rPr>
          <w:noProof/>
        </w:rPr>
      </w:pPr>
    </w:p>
    <w:p>
      <w:pPr>
        <w:spacing w:before="0" w:after="0"/>
        <w:rPr>
          <w:noProof/>
        </w:rPr>
      </w:pPr>
      <w:r>
        <w:rPr>
          <w:noProof/>
        </w:rPr>
        <w:t>B. Ġbir ta’ informazzjoni dwar il-Bejjiegħ</w:t>
      </w:r>
    </w:p>
    <w:p>
      <w:pPr>
        <w:pStyle w:val="NumPar1"/>
        <w:numPr>
          <w:ilvl w:val="0"/>
          <w:numId w:val="8"/>
        </w:numPr>
        <w:rPr>
          <w:noProof/>
        </w:rPr>
      </w:pPr>
      <w:r>
        <w:rPr>
          <w:noProof/>
        </w:rPr>
        <w:t xml:space="preserve">L-Operatur tal-Pjattaformi Rapportanti għandu jiġbor l-informazzjoni li ġejja għal kull Bejjiegħ li jkun individwu: </w:t>
      </w:r>
    </w:p>
    <w:p>
      <w:pPr>
        <w:pStyle w:val="Point1letter"/>
        <w:numPr>
          <w:ilvl w:val="3"/>
          <w:numId w:val="20"/>
        </w:numPr>
        <w:rPr>
          <w:noProof/>
        </w:rPr>
      </w:pPr>
      <w:r>
        <w:rPr>
          <w:noProof/>
        </w:rPr>
        <w:t xml:space="preserve">l-isem u l-kunjom; </w:t>
      </w:r>
    </w:p>
    <w:p>
      <w:pPr>
        <w:pStyle w:val="Point1letter"/>
        <w:rPr>
          <w:noProof/>
        </w:rPr>
      </w:pPr>
      <w:r>
        <w:rPr>
          <w:noProof/>
        </w:rPr>
        <w:t xml:space="preserve">l-Indirizz Primarju; </w:t>
      </w:r>
    </w:p>
    <w:p>
      <w:pPr>
        <w:pStyle w:val="Point1letter"/>
        <w:rPr>
          <w:noProof/>
        </w:rPr>
      </w:pPr>
      <w:r>
        <w:rPr>
          <w:noProof/>
        </w:rPr>
        <w:t>kwalunkwe NIT li nħareġ lill-Bejjiegħ, inkluż kull Stat Membru tal-ħruġ;</w:t>
      </w:r>
    </w:p>
    <w:p>
      <w:pPr>
        <w:pStyle w:val="Point1letter"/>
        <w:rPr>
          <w:noProof/>
        </w:rPr>
      </w:pPr>
      <w:r>
        <w:rPr>
          <w:noProof/>
        </w:rPr>
        <w:t xml:space="preserve">in-numru ta’ identifikazzjoni tal-VAT tal-Bejjiegħ, meta jkun disponibbli; </w:t>
      </w:r>
    </w:p>
    <w:p>
      <w:pPr>
        <w:pStyle w:val="Point1letter"/>
        <w:rPr>
          <w:noProof/>
        </w:rPr>
      </w:pPr>
      <w:r>
        <w:rPr>
          <w:noProof/>
        </w:rPr>
        <w:t xml:space="preserve">id-data tat-twelid. </w:t>
      </w:r>
    </w:p>
    <w:p>
      <w:pPr>
        <w:pStyle w:val="NumPar1"/>
        <w:numPr>
          <w:ilvl w:val="0"/>
          <w:numId w:val="8"/>
        </w:numPr>
        <w:rPr>
          <w:noProof/>
        </w:rPr>
      </w:pPr>
      <w:r>
        <w:rPr>
          <w:noProof/>
        </w:rPr>
        <w:t xml:space="preserve">L-Operatur tal-Pjattaformi Rapportanti għandu jiġbor l-informazzjoni li ġejja għal kull Bejjiegħ li jkun Entità u mhux Bejjiegħ Eskluż: </w:t>
      </w:r>
    </w:p>
    <w:p>
      <w:pPr>
        <w:pStyle w:val="Point1letter"/>
        <w:numPr>
          <w:ilvl w:val="3"/>
          <w:numId w:val="9"/>
        </w:numPr>
        <w:rPr>
          <w:noProof/>
        </w:rPr>
      </w:pPr>
      <w:r>
        <w:rPr>
          <w:noProof/>
        </w:rPr>
        <w:t xml:space="preserve">l-isem ġuridiku;  </w:t>
      </w:r>
    </w:p>
    <w:p>
      <w:pPr>
        <w:pStyle w:val="Point1letter"/>
        <w:rPr>
          <w:noProof/>
        </w:rPr>
      </w:pPr>
      <w:r>
        <w:rPr>
          <w:noProof/>
        </w:rPr>
        <w:t xml:space="preserve">l-Indirizz Primarju; </w:t>
      </w:r>
    </w:p>
    <w:p>
      <w:pPr>
        <w:pStyle w:val="Point1letter"/>
        <w:rPr>
          <w:noProof/>
        </w:rPr>
      </w:pPr>
      <w:r>
        <w:rPr>
          <w:noProof/>
        </w:rPr>
        <w:t xml:space="preserve">kwalunkwe NIT li nħareġ lill-Bejjiegħ, inkluż kull Stat Membru tal-ħruġ; </w:t>
      </w:r>
    </w:p>
    <w:p>
      <w:pPr>
        <w:pStyle w:val="Point1letter"/>
        <w:rPr>
          <w:noProof/>
        </w:rPr>
      </w:pPr>
      <w:r>
        <w:rPr>
          <w:noProof/>
        </w:rPr>
        <w:t xml:space="preserve">in-numru ta’ identifikazzjoni tal-VAT tal-Bejjiegħ, meta jkun disponibbli; </w:t>
      </w:r>
    </w:p>
    <w:p>
      <w:pPr>
        <w:pStyle w:val="Point1letter"/>
        <w:rPr>
          <w:noProof/>
        </w:rPr>
      </w:pPr>
      <w:r>
        <w:rPr>
          <w:noProof/>
        </w:rPr>
        <w:t>in-numru ta’ reġistrazzjoni tan-negozju;</w:t>
      </w:r>
    </w:p>
    <w:p>
      <w:pPr>
        <w:pStyle w:val="Point1letter"/>
        <w:rPr>
          <w:noProof/>
        </w:rPr>
      </w:pPr>
      <w:r>
        <w:rPr>
          <w:noProof/>
        </w:rPr>
        <w:t xml:space="preserve">l-eżistenza ta’ stabbiliment permanenti fl-Unjoni, meta jkun disponibbli, filwaqt li jiġi indikat kull Stat Membru rispettiv, li fih ikun jinsab tali stabbiliment permanenti.  </w:t>
      </w:r>
    </w:p>
    <w:p>
      <w:pPr>
        <w:pStyle w:val="NumPar1"/>
        <w:numPr>
          <w:ilvl w:val="0"/>
          <w:numId w:val="8"/>
        </w:numPr>
        <w:rPr>
          <w:noProof/>
        </w:rPr>
      </w:pPr>
      <w:r>
        <w:rPr>
          <w:noProof/>
        </w:rPr>
        <w:t>Minkejja s-subparagrafi B(1) u (2), l-Operatur tal-Pjattaformi Rapportanti mhuwiex meħtieġ jiġbor l-informazzjoni msemmija fil-punti (b) sa (e) tas-subparagrafu B(1) u l-punti (b) sa (f) tas-subparagrafu B(2) f’każ li jiddependi minn konferma diretta tal-identità u tar-residenza tal-Bejjiegħ permezz ta’ servizz ta’ identifikazzjoni disponibbli permezz ta’ Stat Membru jew l-Unjoni biex jaċċerta l-identità u r-residenza għall-finijiet tat-taxxa tal-Bejjiegħ.</w:t>
      </w:r>
    </w:p>
    <w:p>
      <w:pPr>
        <w:pStyle w:val="NumPar1"/>
        <w:numPr>
          <w:ilvl w:val="0"/>
          <w:numId w:val="8"/>
        </w:numPr>
        <w:rPr>
          <w:noProof/>
        </w:rPr>
      </w:pPr>
      <w:r>
        <w:rPr>
          <w:noProof/>
        </w:rPr>
        <w:t xml:space="preserve">Minkejja l-punt (c) tas-subparagrafu B(1) u l-punti (c) u (e) tas-subparagrafu B(2), l-NIT jew in-numru ta’ reġistrazzjoni tan-negozju, skont il-każ, mhux meħtieġ li jinġabru f’ebda waħda mis-sitwazzjonijiet li ġejjin: </w:t>
      </w:r>
    </w:p>
    <w:p>
      <w:pPr>
        <w:pStyle w:val="Point1letter"/>
        <w:numPr>
          <w:ilvl w:val="3"/>
          <w:numId w:val="25"/>
        </w:numPr>
        <w:rPr>
          <w:noProof/>
        </w:rPr>
      </w:pPr>
      <w:r>
        <w:rPr>
          <w:noProof/>
        </w:rPr>
        <w:t xml:space="preserve">l-Istat Membru tar-residenza tal-Bejjiegħ ma joħroġx NIT jew numru ta’ reġistrazzjoni tan-negozju għall-Bejjiegħ; </w:t>
      </w:r>
    </w:p>
    <w:p>
      <w:pPr>
        <w:pStyle w:val="Point1letter"/>
        <w:numPr>
          <w:ilvl w:val="3"/>
          <w:numId w:val="9"/>
        </w:numPr>
        <w:rPr>
          <w:noProof/>
        </w:rPr>
      </w:pPr>
      <w:r>
        <w:rPr>
          <w:noProof/>
        </w:rPr>
        <w:t>l-Istat Membru tar-residenza tal-Bejjiegħ ma jirrikjedix il-ġbir tal-NIT li jkun inħareġ lil tali Bejjiegħ.</w:t>
      </w:r>
    </w:p>
    <w:p>
      <w:pPr>
        <w:spacing w:before="0"/>
        <w:rPr>
          <w:noProof/>
        </w:rPr>
      </w:pPr>
    </w:p>
    <w:p>
      <w:pPr>
        <w:spacing w:before="0"/>
        <w:rPr>
          <w:noProof/>
        </w:rPr>
      </w:pPr>
      <w:r>
        <w:rPr>
          <w:noProof/>
        </w:rPr>
        <w:t xml:space="preserve">C. Verifika tal-informazzjoni dwar il-Bejjiegħ </w:t>
      </w:r>
    </w:p>
    <w:p>
      <w:pPr>
        <w:pStyle w:val="NumPar1"/>
        <w:numPr>
          <w:ilvl w:val="0"/>
          <w:numId w:val="28"/>
        </w:numPr>
        <w:rPr>
          <w:noProof/>
        </w:rPr>
      </w:pPr>
      <w:r>
        <w:rPr>
          <w:noProof/>
        </w:rPr>
        <w:t>L-Operatur tal-Pjattaformi Rapportanti għandu jiddetermina jekk l-informazzjoni li tkun inġabret skont il-paragrafu A, is-subparagrafu B(1), il-punti (a) sa (e) tas-subparagrafu B(2) u l-paragrafu E hijiex affidabbli, billi juża l-informazzjoni u d-dokumenti kollha disponibbli għall-Operatur tal-Pjattaformi Rapportanti fir-reġistri tiegħu, kif ukoll kwalunkwe interfaċċa elettronika li tkun disponibbli mingħajr ħlas għall-pubbliku permezz ta’ Stat Membru jew l-Unjoni, biex jaċċerta l-validità tal-NIT u/jew in-numru ta’ identifikazzjoni tal-VAT.</w:t>
      </w:r>
    </w:p>
    <w:p>
      <w:pPr>
        <w:pStyle w:val="NumPar1"/>
        <w:rPr>
          <w:noProof/>
        </w:rPr>
      </w:pPr>
      <w:r>
        <w:rPr>
          <w:noProof/>
        </w:rPr>
        <w:t>Minkejja s-subparagrafu C(1), għat-tlestija tal-proċeduri tad-diliġenza dovuta skont is-subparagrafu F(2), l-Operatur tal-Pjattaformi Rapportanti jista’ jiddetermina hijiex affidabbli l-informazzjoni li tkun inġabret skont il-paragrafu A, is-subparagrafu B(1), il-punti (a) sa (e) tas-subparagrafu B(2) u l-paragrafu E billi juża informazzjoni u dokumenti li jkollu l-Operatur tal-Pjattaformi Rapportanti fir-reġistri li jistgħu jsiru tfittxijiet elettroniċi fihom.</w:t>
      </w:r>
    </w:p>
    <w:p>
      <w:pPr>
        <w:pStyle w:val="NumPar1"/>
        <w:rPr>
          <w:noProof/>
        </w:rPr>
      </w:pPr>
      <w:r>
        <w:rPr>
          <w:noProof/>
        </w:rPr>
        <w:t xml:space="preserve">Sabiex jiġu applikati s-subparagrafu F(3)(b) u minkejja s-subparagrafi C(1) u C(2), f’istanzi meta l-Operatur tal-Pjattaformi Rapportanti jkollu ħjiel li xi wieħed mill-punti ta’ informazzjoni deskritti fil-paragrafu B jew E jaf ma jkunx akkurat, permezz ta’ informazzjoni pprovduta mill-awtorità kompetenti ta’ Stat Membru f’talba li tikkonċerna Bejjiegħ speċifiku, huwa għandu jitlob lill-Bejjiegħ jikkoreġi l-punti ta’ informazzjoni li jkun instab li ma kinux korretti u jipprovdi dokumenti, </w:t>
      </w:r>
      <w:r>
        <w:rPr>
          <w:i/>
          <w:iCs/>
          <w:noProof/>
        </w:rPr>
        <w:t>data</w:t>
      </w:r>
      <w:r>
        <w:rPr>
          <w:noProof/>
        </w:rPr>
        <w:t xml:space="preserve"> jew informazzjoni ta’ sostenn, li jkunu affidabbli u minn sors indipendenti, pereżempju:</w:t>
      </w:r>
    </w:p>
    <w:p>
      <w:pPr>
        <w:pStyle w:val="Text1"/>
        <w:rPr>
          <w:noProof/>
        </w:rPr>
      </w:pPr>
      <w:r>
        <w:rPr>
          <w:noProof/>
        </w:rPr>
        <w:t xml:space="preserve">(a) </w:t>
      </w:r>
      <w:r>
        <w:rPr>
          <w:noProof/>
        </w:rPr>
        <w:tab/>
        <w:t xml:space="preserve">dokument validu ta’ identifikazzjoni maħruġ mill-gvern, </w:t>
      </w:r>
    </w:p>
    <w:p>
      <w:pPr>
        <w:pStyle w:val="Text1"/>
        <w:rPr>
          <w:noProof/>
        </w:rPr>
      </w:pPr>
      <w:r>
        <w:rPr>
          <w:noProof/>
        </w:rPr>
        <w:t>(b)</w:t>
      </w:r>
      <w:r>
        <w:rPr>
          <w:noProof/>
        </w:rPr>
        <w:tab/>
        <w:t>ċertifikat reċenti tar-residenza għal finijiet tat-taxxa.</w:t>
      </w:r>
      <w:r>
        <w:rPr>
          <w:noProof/>
        </w:rPr>
        <w:tab/>
      </w:r>
    </w:p>
    <w:p>
      <w:pPr>
        <w:spacing w:before="0" w:after="0"/>
        <w:rPr>
          <w:noProof/>
        </w:rPr>
      </w:pPr>
    </w:p>
    <w:p>
      <w:pPr>
        <w:spacing w:before="0" w:after="0"/>
        <w:rPr>
          <w:noProof/>
        </w:rPr>
      </w:pPr>
      <w:r>
        <w:rPr>
          <w:noProof/>
        </w:rPr>
        <w:t>D. Determinazzjoni tal-Istat(i) Membru/i tar-residenza tal-Bejjiegħ għall-finijiet ta’ din id-Direttiva</w:t>
      </w:r>
    </w:p>
    <w:p>
      <w:pPr>
        <w:pStyle w:val="NumPar1"/>
        <w:numPr>
          <w:ilvl w:val="0"/>
          <w:numId w:val="32"/>
        </w:numPr>
        <w:rPr>
          <w:noProof/>
        </w:rPr>
      </w:pPr>
      <w:r>
        <w:rPr>
          <w:noProof/>
        </w:rPr>
        <w:t xml:space="preserve">Operatur tal-Pjattaformi Rapportanti għandu jikkunsidra li l-Bejjiegħ ikun resident fl-Istat Membru tal-Indirizz Primarju tal-Bejjiegħ. Meta r-residenza tkun differenti mill-Istat Membru tal-Indirizz Primarju tal-Bejjiegħ, Operatur tal-Pjattaformi Rapportanti għandu jikkunsidra li l-Bejjiegħ ikun resident ukoll fl-Istat Membru tal-ħruġ tal-NIT jew tan-numru ta’ identifikazzjoni tal-VAT. Meta l-Bejjiegħ ikun ipprovda informazzjoni rigward l-eżistenza ta’ stabbiliment permanenti skont il-punt (f) tas-subparagrafu B(2), Operatur tal-Pjattaformi Rapportanti għandu jikkunsidra li l-Bejjiegħ ikun resident ukoll fl-Istat Membru rispettiv kif speċifikat mill-Bejjiegħ. </w:t>
      </w:r>
    </w:p>
    <w:p>
      <w:pPr>
        <w:pStyle w:val="NumPar1"/>
        <w:numPr>
          <w:ilvl w:val="0"/>
          <w:numId w:val="32"/>
        </w:numPr>
        <w:rPr>
          <w:noProof/>
        </w:rPr>
      </w:pPr>
      <w:r>
        <w:rPr>
          <w:noProof/>
        </w:rPr>
        <w:t>Minkejja s-subparagrafu D(1), Operatur tal-Pjattaformi Rapportanti għandu jikkunsidra Bejjiegħ bħala resident f’kull Stat Membru kkonfermat minn servizz ta’ identifikazzjoni elettronika disponibbli permezz ta’ Stat Membru jew tal-Unjoni skont is-subparagrafu B(3).</w:t>
      </w:r>
    </w:p>
    <w:p>
      <w:pPr>
        <w:spacing w:before="0" w:after="0"/>
        <w:rPr>
          <w:noProof/>
        </w:rPr>
      </w:pPr>
    </w:p>
    <w:p>
      <w:pPr>
        <w:spacing w:before="0"/>
        <w:rPr>
          <w:noProof/>
        </w:rPr>
      </w:pPr>
      <w:r>
        <w:rPr>
          <w:noProof/>
        </w:rPr>
        <w:t xml:space="preserve">E. Ġbir ta’ informazzjoni dwar proprjetà immobbli mikrija </w:t>
      </w:r>
    </w:p>
    <w:p>
      <w:pPr>
        <w:spacing w:before="0"/>
        <w:rPr>
          <w:noProof/>
        </w:rPr>
      </w:pPr>
      <w:r>
        <w:rPr>
          <w:noProof/>
        </w:rPr>
        <w:t xml:space="preserve">Meta Bejjiegħ ikun involut f’Attività Rilevanti li tinvolvi l-kiri ta’ proprjetà immobbli, l-Operatur tal-Pjattaformi Rapportanti għandu jiġbor l-indirizz ta’ kull Proprjetà Elenkata u, meta jkun inħareġ, in-numru ta’ reġistrazzjoni tal-art. </w:t>
      </w:r>
    </w:p>
    <w:p>
      <w:pPr>
        <w:spacing w:before="0" w:after="0"/>
        <w:rPr>
          <w:noProof/>
        </w:rPr>
      </w:pPr>
    </w:p>
    <w:p>
      <w:pPr>
        <w:spacing w:before="0" w:after="0"/>
        <w:rPr>
          <w:noProof/>
        </w:rPr>
      </w:pPr>
      <w:r>
        <w:rPr>
          <w:noProof/>
        </w:rPr>
        <w:t xml:space="preserve">F. Tempestività u validità tal-proċeduri tad-diliġenza dovuta </w:t>
      </w:r>
    </w:p>
    <w:p>
      <w:pPr>
        <w:pStyle w:val="NumPar1"/>
        <w:numPr>
          <w:ilvl w:val="0"/>
          <w:numId w:val="10"/>
        </w:numPr>
        <w:rPr>
          <w:noProof/>
        </w:rPr>
      </w:pPr>
      <w:r>
        <w:rPr>
          <w:noProof/>
        </w:rPr>
        <w:t>Operatur tal-Pjattaformi Rapportanti għandu jlesti l-proċeduri tad-diliġenza dovuta stabbiliti fil-paragrafi A sa E sal-31 ta’ Diċembru tal-Perjodu Rapportabbli.</w:t>
      </w:r>
    </w:p>
    <w:p>
      <w:pPr>
        <w:pStyle w:val="NumPar1"/>
        <w:numPr>
          <w:ilvl w:val="0"/>
          <w:numId w:val="10"/>
        </w:numPr>
        <w:rPr>
          <w:noProof/>
        </w:rPr>
      </w:pPr>
      <w:r>
        <w:rPr>
          <w:noProof/>
        </w:rPr>
        <w:t>Minkejja s-subparagrafu F(1), għall-Bejjiegħa li jkunu diġà rreġistrati fil-Pjattaforma mill-1 ta’ Jannar 2022 jew mid-data meta Entità ssir Operatur tal-Pjattaformi Rapportanti, huwa meħtieġ li l-proċeduri tad-diliġenza dovuta stabbiliti fil-paragrafi A sa E jitlestew sal-31 ta’ Diċembru tat-tieni Perjodu Rapportabbli għall-Operatur tal-Pjattaformi Rapportanti.</w:t>
      </w:r>
    </w:p>
    <w:p>
      <w:pPr>
        <w:pStyle w:val="NumPar1"/>
        <w:numPr>
          <w:ilvl w:val="0"/>
          <w:numId w:val="10"/>
        </w:numPr>
        <w:rPr>
          <w:noProof/>
        </w:rPr>
      </w:pPr>
      <w:r>
        <w:rPr>
          <w:noProof/>
        </w:rPr>
        <w:t>Minkejja s-subparagrafu F(1), Operatur tal-Pjattaformi Rapportanti jista’ jiddependi mill-proċeduri tad-diliġenza dovuta li jkunu twettqu fir-rigward ta’ Perjodi Rapportabbli preċedenti, diment li:</w:t>
      </w:r>
    </w:p>
    <w:p>
      <w:pPr>
        <w:pStyle w:val="Point1letter"/>
        <w:numPr>
          <w:ilvl w:val="3"/>
          <w:numId w:val="26"/>
        </w:numPr>
        <w:rPr>
          <w:noProof/>
        </w:rPr>
      </w:pPr>
      <w:r>
        <w:rPr>
          <w:noProof/>
        </w:rPr>
        <w:t>l-informazzjoni dwar il-Bejjiegħ meħtieġa fis-subparagrafi B(1) u B(2) tkun inġabret u ġiet ivverifikata jew ikkonfermata fl-aħħar 36 xahar; u</w:t>
      </w:r>
    </w:p>
    <w:p>
      <w:pPr>
        <w:pStyle w:val="Point1letter"/>
        <w:numPr>
          <w:ilvl w:val="3"/>
          <w:numId w:val="25"/>
        </w:numPr>
        <w:rPr>
          <w:noProof/>
        </w:rPr>
      </w:pPr>
      <w:r>
        <w:rPr>
          <w:noProof/>
        </w:rPr>
        <w:t>l-Operatur tal-Pjattaformi Rapportanti ma jkollux ħjiel li l-informazzjoni li tkun inġabret skont il-paragrafi A, B u E hija inaffidabbli jew mhux korretta jew ma baqgħetx affidabbli jew korretta.</w:t>
      </w:r>
    </w:p>
    <w:p>
      <w:pPr>
        <w:spacing w:before="0"/>
        <w:rPr>
          <w:noProof/>
        </w:rPr>
      </w:pPr>
      <w:r>
        <w:rPr>
          <w:noProof/>
        </w:rPr>
        <w:t>G. Applikazzjoni tal-proċeduri tad-diliġenza dovuta għal Bejjiegħa Attivi biss</w:t>
      </w:r>
    </w:p>
    <w:p>
      <w:pPr>
        <w:spacing w:before="0"/>
        <w:rPr>
          <w:noProof/>
        </w:rPr>
      </w:pPr>
      <w:r>
        <w:rPr>
          <w:noProof/>
        </w:rPr>
        <w:t xml:space="preserve">Operatur tal-Pjattaformi Rapportanti jista’ jagħżel li jlesti l-proċeduri tad-diliġenza dovuta skont il-paragrafi A sa F fir-rigward tal-Bejjiegħa Attivi biss. </w:t>
      </w:r>
    </w:p>
    <w:p>
      <w:pPr>
        <w:spacing w:before="0" w:after="0"/>
        <w:rPr>
          <w:noProof/>
        </w:rPr>
      </w:pPr>
    </w:p>
    <w:p>
      <w:pPr>
        <w:spacing w:before="0" w:after="0"/>
        <w:rPr>
          <w:noProof/>
        </w:rPr>
      </w:pPr>
      <w:r>
        <w:rPr>
          <w:noProof/>
        </w:rPr>
        <w:t>H. Tlestija tal-proċeduri tad-diliġenza dovuta minn partijiet terzi</w:t>
      </w:r>
    </w:p>
    <w:p>
      <w:pPr>
        <w:pStyle w:val="NumPar1"/>
        <w:numPr>
          <w:ilvl w:val="0"/>
          <w:numId w:val="31"/>
        </w:numPr>
        <w:rPr>
          <w:noProof/>
        </w:rPr>
      </w:pPr>
      <w:r>
        <w:rPr>
          <w:noProof/>
        </w:rPr>
        <w:t>Operatur tal-Pjattaformi Rapportanti jista’ jiddependi minn fornitur ta’ servizz li jkun parti terza biex jissodisfa l-obbligi tad-diliġenza dovuta stabbiliti f’din it-Taqsima, iżda dawn l-obbligi għandhom jibqgħu r-responsabbiltà tal-Operatur tal-Pjattaformi Rapportanti.</w:t>
      </w:r>
    </w:p>
    <w:p>
      <w:pPr>
        <w:pStyle w:val="NumPar1"/>
        <w:rPr>
          <w:noProof/>
        </w:rPr>
      </w:pPr>
      <w:r>
        <w:rPr>
          <w:noProof/>
        </w:rPr>
        <w:t xml:space="preserve">Meta Operatur tal-Pjattaformi jissodisfa l-obbligi tad-diliġenza dovuta għal Operatur tal-Pjattaformi Rapportanti fir-rigward tal-istess Pjattaforma skont is-subparagrafu H(1), tali Operatur tal-Pjattaformi għandu jwettaq il-proċeduri tad-diliġenza dovuta skont ir-regoli stabbiliti f’din it-Taqsima.  </w:t>
      </w:r>
    </w:p>
    <w:p>
      <w:pPr>
        <w:spacing w:before="0" w:after="0"/>
        <w:rPr>
          <w:noProof/>
        </w:rPr>
      </w:pPr>
    </w:p>
    <w:p>
      <w:pPr>
        <w:pStyle w:val="SectionTitle"/>
        <w:rPr>
          <w:b w:val="0"/>
          <w:noProof/>
        </w:rPr>
      </w:pPr>
      <w:r>
        <w:rPr>
          <w:b w:val="0"/>
          <w:noProof/>
        </w:rPr>
        <w:t>TAQSIMA III</w:t>
      </w:r>
      <w:r>
        <w:rPr>
          <w:b w:val="0"/>
          <w:noProof/>
        </w:rPr>
        <w:br/>
      </w:r>
      <w:r>
        <w:rPr>
          <w:b w:val="0"/>
          <w:noProof/>
        </w:rPr>
        <w:br/>
      </w:r>
      <w:r>
        <w:rPr>
          <w:noProof/>
        </w:rPr>
        <w:t>REKWIŻITI TAR-RAPPURTAR</w:t>
      </w:r>
    </w:p>
    <w:p>
      <w:pPr>
        <w:spacing w:before="0" w:after="0"/>
        <w:rPr>
          <w:noProof/>
        </w:rPr>
      </w:pPr>
      <w:r>
        <w:rPr>
          <w:noProof/>
        </w:rPr>
        <w:t>A. Żmien u modalità tar-rappurtar</w:t>
      </w:r>
    </w:p>
    <w:p>
      <w:pPr>
        <w:pStyle w:val="NumPar1"/>
        <w:numPr>
          <w:ilvl w:val="0"/>
          <w:numId w:val="11"/>
        </w:numPr>
        <w:rPr>
          <w:noProof/>
        </w:rPr>
      </w:pPr>
      <w:r>
        <w:rPr>
          <w:noProof/>
        </w:rPr>
        <w:t xml:space="preserve">Operatur tal-Pjattaformi Rapportanti skont it-tifsira tal-punt (a) tas-subparagrafu A(3) tat-Taqsima I għandu jirrapporta lill-awtorità kompetenti tal-Istat Membru ddeterminat f’konformità mal-punt (a) tas-subparagrafu A(3) tat-Taqsima I, l-informazzjoni stabbilita fil-paragrafu B ta’ din it-Taqsima fir-rigward tal-Perjodu Rapportabbli mhux iktar tard mill-31 ta’ Jannar tas-sena wara s-sena kalendarja li fiha l-Bejjiegħ jiġi identifikat bħala Bejjiegħ Rapportabbli. </w:t>
      </w:r>
    </w:p>
    <w:p>
      <w:pPr>
        <w:pStyle w:val="NumPar1"/>
        <w:numPr>
          <w:ilvl w:val="0"/>
          <w:numId w:val="11"/>
        </w:numPr>
        <w:rPr>
          <w:noProof/>
        </w:rPr>
      </w:pPr>
      <w:r>
        <w:rPr>
          <w:noProof/>
        </w:rPr>
        <w:t xml:space="preserve">Jekk Operatur tal-Pjattaformi Rapportanti, fis-sens tal-punt (a) tas-subparagrafu A(3) tat-Taqsima I jissodisfa xi waħda mill-kundizzjonijiet elenkati fih f’iktar minn Stat Membru wieħed, huwa għandu jagħżel formalment wieħed minn dawn l-Istati Membri biex iwettaq ir-rekwiżiti tar-rappurtar stabbiliti f’din it-Taqsima. Tali Operatur tal-Pjattaformi Rapportanti għandu jirrapporta l-informazzjoni elenkata fil-paragrafu B ta’ din it-Taqsima fir-rigward tal-Perjodu Rapportabbli lill-awtorità kompetenti tal-Istat Membru magħżul formalment, peress li dan jiġi ddeterminat f’konformità mas-subparagrafu E(1) tat-Taqsima IV, sa mhux iktar tard mill-31 ta’ Jannar tas-sena ta’ wara s-sena kalendarja li fiha jitħallas jew jiġi kkreditat Korrispettiv lil Bejjiegħ Rapportabbli għall-Attività Rilevanti. </w:t>
      </w:r>
    </w:p>
    <w:p>
      <w:pPr>
        <w:pStyle w:val="NumPar1"/>
        <w:numPr>
          <w:ilvl w:val="0"/>
          <w:numId w:val="11"/>
        </w:numPr>
        <w:rPr>
          <w:noProof/>
        </w:rPr>
      </w:pPr>
      <w:r>
        <w:rPr>
          <w:noProof/>
        </w:rPr>
        <w:t>Operatur tal-Pjattaformi Rapportanti skont it-tifsira tal-punt (b) tas-subparagrafu A(3) tat-Taqsima I għandu jirrapporta l-informazzjoni stabbilita fil-paragrafu B ta’ din it-Taqsima fir-rigward tal-Perjodu Rapportabbli lill-awtorità kompetenti tal-Istat Membru tar-reġistrazzjoni, peress li dan jiġi ddeterminat f’konformità mas-subparagrafu F(1) tat-Taqsima IV, sa mhux iktar tard mill-31 ta’ Jannar tas-sena ta’ wara s-sena kalendarja li fiha jitħallas jew jiġi kkreditat Korrispettiv lil Bejjiegħ Rapportabbli għall-Attività Rilevanti.</w:t>
      </w:r>
    </w:p>
    <w:p>
      <w:pPr>
        <w:pStyle w:val="NumPar1"/>
        <w:numPr>
          <w:ilvl w:val="0"/>
          <w:numId w:val="11"/>
        </w:numPr>
        <w:rPr>
          <w:noProof/>
        </w:rPr>
      </w:pPr>
      <w:r>
        <w:rPr>
          <w:noProof/>
        </w:rPr>
        <w:t xml:space="preserve">Operatur tal-Pjattaformi Rapportanti għandu jipprovdi wkoll l-informazzjoni relatata stabbilita fis-subparagrafi B(2) u B(3) lill-Bejjiegħ Rapportabbli, sa mhux iktar tard mill-31 ta’ Jannar tas-sena ta’ wara s-sena kalendarja li fiha jitħallas jew jiġi kkreditat Korrispettiv lil Bejjiegħ Rapportabbli għal Attività Rilevanti. </w:t>
      </w:r>
    </w:p>
    <w:p>
      <w:pPr>
        <w:pStyle w:val="NumPar1"/>
        <w:numPr>
          <w:ilvl w:val="0"/>
          <w:numId w:val="11"/>
        </w:numPr>
        <w:rPr>
          <w:noProof/>
        </w:rPr>
      </w:pPr>
      <w:r>
        <w:rPr>
          <w:noProof/>
        </w:rPr>
        <w:t xml:space="preserve">L-informazzjoni rigward il-Korrispettiv li jitħallas jew li jiġi kkreditat f’munita fiduċjarja għandha tiġi rrappurtata bil-munita li tħallas jew li ġie kkreditat biha. F’każ li l-Korrispettiv tħallas jew ġie kkreditat f’forma li mhix munita fiduċjarja, dan għandu jiġi rrappurtat bil-munita lokali, ikkonvertita jew ivvalwata b’mod li jiġi ddeterminat konsistentement mill-Operatur tal-Pjattaformi Rapportanti. </w:t>
      </w:r>
    </w:p>
    <w:p>
      <w:pPr>
        <w:pStyle w:val="NumPar1"/>
        <w:numPr>
          <w:ilvl w:val="0"/>
          <w:numId w:val="11"/>
        </w:numPr>
        <w:rPr>
          <w:noProof/>
        </w:rPr>
      </w:pPr>
      <w:r>
        <w:rPr>
          <w:noProof/>
        </w:rPr>
        <w:t xml:space="preserve">L-informazzjoni dwar il-Korrispettiv u ammonti oħra għandha tiġi rrappurtata fir-rigward tat-trimestru tal-Perjodu Rapportabbli li fih tħallas jew ġie kkreditat il-Korrispettiv. </w:t>
      </w:r>
    </w:p>
    <w:p>
      <w:pPr>
        <w:spacing w:before="0" w:after="0"/>
        <w:rPr>
          <w:noProof/>
        </w:rPr>
      </w:pPr>
    </w:p>
    <w:p>
      <w:pPr>
        <w:spacing w:before="0"/>
        <w:rPr>
          <w:noProof/>
        </w:rPr>
      </w:pPr>
      <w:r>
        <w:rPr>
          <w:noProof/>
        </w:rPr>
        <w:t>B. Informazzjoni li trid tiġi rrappurtata</w:t>
      </w:r>
    </w:p>
    <w:p>
      <w:pPr>
        <w:spacing w:before="0" w:after="0"/>
        <w:rPr>
          <w:noProof/>
        </w:rPr>
      </w:pPr>
      <w:r>
        <w:rPr>
          <w:noProof/>
        </w:rPr>
        <w:t xml:space="preserve">Kull Operatur tal-Pjattaformi Rapportanti għandu jirrapporta l-informazzjoni li ġejja: </w:t>
      </w:r>
    </w:p>
    <w:p>
      <w:pPr>
        <w:pStyle w:val="NumPar1"/>
        <w:numPr>
          <w:ilvl w:val="0"/>
          <w:numId w:val="12"/>
        </w:numPr>
        <w:rPr>
          <w:noProof/>
        </w:rPr>
      </w:pPr>
      <w:r>
        <w:rPr>
          <w:noProof/>
        </w:rPr>
        <w:t xml:space="preserve">L-isem, l-indirizz tal-uffiċċju rreġistrat u l-NIT tal-Operatur tal-Pjattaformi Rapportanti, kif ukoll l-isem/ismijiet kummerċjali tal-Pjattaforma/i, li qed jirrapporta dwarhom l-Operatur tal-Pjattaformi Rapportanti. </w:t>
      </w:r>
    </w:p>
    <w:p>
      <w:pPr>
        <w:pStyle w:val="NumPar1"/>
        <w:rPr>
          <w:noProof/>
        </w:rPr>
      </w:pPr>
      <w:r>
        <w:rPr>
          <w:noProof/>
        </w:rPr>
        <w:t>Fir-rigward ta’ kull Bejjiegħ Rapportabbli li wettaq Attività Rilevanti, għajr il-kiri ta’ proprjetà immobbli:</w:t>
      </w:r>
    </w:p>
    <w:p>
      <w:pPr>
        <w:pStyle w:val="Point1"/>
        <w:ind w:left="1418" w:hanging="568"/>
        <w:rPr>
          <w:noProof/>
        </w:rPr>
      </w:pPr>
      <w:r>
        <w:rPr>
          <w:noProof/>
        </w:rPr>
        <w:t>(a)</w:t>
      </w:r>
      <w:r>
        <w:rPr>
          <w:noProof/>
        </w:rPr>
        <w:tab/>
        <w:t>il-punti ta’ informazzjoni li jeħtieġ jinġabru skont il-paragrafu B tat-Taqsima II;</w:t>
      </w:r>
    </w:p>
    <w:p>
      <w:pPr>
        <w:pStyle w:val="Point1"/>
        <w:rPr>
          <w:noProof/>
        </w:rPr>
      </w:pPr>
      <w:r>
        <w:rPr>
          <w:noProof/>
        </w:rPr>
        <w:t xml:space="preserve">(b) </w:t>
      </w:r>
      <w:r>
        <w:rPr>
          <w:noProof/>
        </w:rPr>
        <w:tab/>
      </w:r>
      <w:r>
        <w:rPr>
          <w:noProof/>
        </w:rPr>
        <w:tab/>
        <w:t>l-Identifikatur tal-Kont Finanzjarju, meta dan ikun disponibbli għall-Operatur tal-Pjattaformi Rapportanti, u meta l-awtorità kompetenti tal-Istat Membru tar-residenza tal-Bejjiegħ Rapportabbli ma tkunx innotifikat lill-awtoritajiet kompetenti tal-Istati Membri l-oħra kollha li mhix beħsiebha tuża l-Identifikatur tal-Kont Finanzjarju għal dan l-iskop;</w:t>
      </w:r>
    </w:p>
    <w:p>
      <w:pPr>
        <w:pStyle w:val="Point1"/>
        <w:rPr>
          <w:noProof/>
        </w:rPr>
      </w:pPr>
      <w:r>
        <w:rPr>
          <w:noProof/>
        </w:rPr>
        <w:t>(c)</w:t>
      </w:r>
      <w:r>
        <w:rPr>
          <w:noProof/>
        </w:rPr>
        <w:tab/>
        <w:t>meta jkun differenti mill-isem tal-Bejjiegħ Rapportabbli, l-isem tad-detentur tal-kont finanzjarju li fih jitħallas jew jiġi kkreditat il-Korrispettiv, meta dan ikun disponibbli għand l-Operatur tal-Pjattaformi Rapportanti, kif ukoll kwalunkwe informazzjoni oħra ta’ identifikazzjoni li jkollu l-Operatur tal-Pjattaformi Rapportanti fir-rigward ta’ dak id-detentur tal-kont;</w:t>
      </w:r>
    </w:p>
    <w:p>
      <w:pPr>
        <w:pStyle w:val="Point1"/>
        <w:rPr>
          <w:noProof/>
        </w:rPr>
      </w:pPr>
      <w:r>
        <w:rPr>
          <w:noProof/>
        </w:rPr>
        <w:t>(d)</w:t>
      </w:r>
      <w:r>
        <w:rPr>
          <w:noProof/>
        </w:rPr>
        <w:tab/>
        <w:t xml:space="preserve">kull Stat Membru li fih il-Bejjiegħ Rapportabbli jkun residenti għall-finijiet ta’ din id-Direttiva skont il-paragrafu B(3) tat-Taqsima I; </w:t>
      </w:r>
    </w:p>
    <w:p>
      <w:pPr>
        <w:pStyle w:val="Point1"/>
        <w:rPr>
          <w:noProof/>
        </w:rPr>
      </w:pPr>
      <w:r>
        <w:rPr>
          <w:noProof/>
        </w:rPr>
        <w:t>(e)</w:t>
      </w:r>
      <w:r>
        <w:rPr>
          <w:noProof/>
        </w:rPr>
        <w:tab/>
        <w:t>il-Korrispettiv totali li tħallas jew li ġie kkreditat matul kull trimestru tal-Perjodu Rapportabbli;</w:t>
      </w:r>
    </w:p>
    <w:p>
      <w:pPr>
        <w:pStyle w:val="Point1"/>
        <w:rPr>
          <w:noProof/>
        </w:rPr>
      </w:pPr>
      <w:r>
        <w:rPr>
          <w:noProof/>
        </w:rPr>
        <w:t>(f)</w:t>
      </w:r>
      <w:r>
        <w:rPr>
          <w:noProof/>
        </w:rPr>
        <w:tab/>
        <w:t>kwalunkwe tariffa, kummissjoni jew taxxa li tinżamm f’ras il-għajn jew li tiġi imposta mill-Pjattaforma tar-Rappurtar matul kull trimestru tal-Perjodu Rapportabbli.</w:t>
      </w:r>
    </w:p>
    <w:p>
      <w:pPr>
        <w:pStyle w:val="NumPar1"/>
        <w:rPr>
          <w:noProof/>
        </w:rPr>
      </w:pPr>
      <w:r>
        <w:rPr>
          <w:noProof/>
        </w:rPr>
        <w:t>Fir-rigward ta’ kull Bejjiegħ Rapportabbli li pprovda servizzi tal-kiri ta’ proprjetà immobbli:</w:t>
      </w:r>
    </w:p>
    <w:p>
      <w:pPr>
        <w:pStyle w:val="Point1"/>
        <w:rPr>
          <w:noProof/>
        </w:rPr>
      </w:pPr>
      <w:r>
        <w:rPr>
          <w:noProof/>
        </w:rPr>
        <w:t>(a)</w:t>
      </w:r>
      <w:r>
        <w:rPr>
          <w:noProof/>
        </w:rPr>
        <w:tab/>
        <w:t>il-punti ta’ informazzjoni li jeħtieġ jinġabru skont il-paragrafu B tat-Taqsima II;</w:t>
      </w:r>
    </w:p>
    <w:p>
      <w:pPr>
        <w:pStyle w:val="Point1"/>
        <w:rPr>
          <w:noProof/>
        </w:rPr>
      </w:pPr>
      <w:r>
        <w:rPr>
          <w:noProof/>
        </w:rPr>
        <w:t>(b)</w:t>
      </w:r>
      <w:r>
        <w:rPr>
          <w:noProof/>
        </w:rPr>
        <w:tab/>
        <w:t>l-Identifikatur tal-Kont Finanzjarju, meta dan ikun disponibbli għall-Operatur tal-Pjattaformi Rapportanti, u meta l-awtorità kompetenti tal-Istat Membru tar-residenza tal-Bejjiegħ Rapportabbli ma tkunx innotifikat lill-awtoritajiet kompetenti tal-Istati Membri l-oħra kollha li mhix beħsiebha tuża l-Identifikatur tal-Kont Finanzjarju għal dan l-iskop;</w:t>
      </w:r>
    </w:p>
    <w:p>
      <w:pPr>
        <w:pStyle w:val="Point1"/>
        <w:rPr>
          <w:noProof/>
        </w:rPr>
      </w:pPr>
      <w:r>
        <w:rPr>
          <w:noProof/>
        </w:rPr>
        <w:t>(c)</w:t>
      </w:r>
      <w:r>
        <w:rPr>
          <w:noProof/>
        </w:rPr>
        <w:tab/>
        <w:t xml:space="preserve">meta jkun differenti mill-isem tal-Bejjiegħ Rapportabbli, l-isem tad-detentur tal-kont finanzjarju li fih jitħallas jew jiġi kkreditat il-Korrispettiv, meta dan ikun disponibbli għand l-Operatur tal-Pjattaformi Rapportanti, kif ukoll kwalunkwe informazzjoni oħra ta’ identifikazzjoni finanzjarja li tkun disponibbli għand l-Operatur tal-Pjattaformi Rapportanti fir-rigward tad-detentur tal-kont; </w:t>
      </w:r>
    </w:p>
    <w:p>
      <w:pPr>
        <w:pStyle w:val="Point1"/>
        <w:rPr>
          <w:noProof/>
        </w:rPr>
      </w:pPr>
      <w:r>
        <w:rPr>
          <w:noProof/>
        </w:rPr>
        <w:t>(d)</w:t>
      </w:r>
      <w:r>
        <w:rPr>
          <w:noProof/>
        </w:rPr>
        <w:tab/>
        <w:t xml:space="preserve">kull Stat Membru li fih il-Bejjiegħ Rapportabbli jkun residenti għall-finijiet ta’ din id-Direttiva skont is-subparagrafu B(3) tat-Taqsima I; </w:t>
      </w:r>
    </w:p>
    <w:p>
      <w:pPr>
        <w:pStyle w:val="Point1"/>
        <w:rPr>
          <w:noProof/>
        </w:rPr>
      </w:pPr>
      <w:r>
        <w:rPr>
          <w:noProof/>
        </w:rPr>
        <w:t>(e)</w:t>
      </w:r>
      <w:r>
        <w:rPr>
          <w:noProof/>
        </w:rPr>
        <w:tab/>
        <w:t xml:space="preserve">l-indirizz ta’ kull Proprjetà Elenkata, iddeterminata abbażi tal-proċeduri stabbiliti fil-paragrafu E tat-Taqsima II u n-numru rispettiv tar-reġistrazzjoni tal-art, meta jkun disponibbli; </w:t>
      </w:r>
    </w:p>
    <w:p>
      <w:pPr>
        <w:pStyle w:val="Point1"/>
        <w:rPr>
          <w:noProof/>
        </w:rPr>
      </w:pPr>
      <w:r>
        <w:rPr>
          <w:noProof/>
        </w:rPr>
        <w:t>(f)</w:t>
      </w:r>
      <w:r>
        <w:rPr>
          <w:noProof/>
        </w:rPr>
        <w:tab/>
        <w:t>il-Korrispettiv totali li tħallas jew li ġie kkreditat matul kull trimestru tal-Perjodu Rapportabbli;</w:t>
      </w:r>
    </w:p>
    <w:p>
      <w:pPr>
        <w:pStyle w:val="Point1"/>
        <w:rPr>
          <w:noProof/>
        </w:rPr>
      </w:pPr>
      <w:r>
        <w:rPr>
          <w:noProof/>
        </w:rPr>
        <w:t>(g)</w:t>
      </w:r>
      <w:r>
        <w:rPr>
          <w:noProof/>
        </w:rPr>
        <w:tab/>
        <w:t>kwalunkwe tariffa, kummissjoni jew taxxa li tinżamm f’ras il-għajn jew li tiġi imposta mill-Operatur tal-Pjattaformi Rapportanti matul kull trimestru tal-Perjodu Rapportabbli;</w:t>
      </w:r>
    </w:p>
    <w:p>
      <w:pPr>
        <w:pStyle w:val="Point1"/>
        <w:rPr>
          <w:noProof/>
        </w:rPr>
      </w:pPr>
      <w:r>
        <w:rPr>
          <w:noProof/>
        </w:rPr>
        <w:t>(h)</w:t>
      </w:r>
      <w:r>
        <w:rPr>
          <w:noProof/>
        </w:rPr>
        <w:tab/>
        <w:t>meta jkun disponibbli, in-numru ta’ jiem li fihom kull Proprjetà Elenkata tkun inkriet matul il-Perjodu Rapportabbli u t-tip ta’ kull Proprjetà Elenkata.</w:t>
      </w:r>
    </w:p>
    <w:p>
      <w:pPr>
        <w:spacing w:before="0" w:after="0"/>
        <w:rPr>
          <w:noProof/>
        </w:rPr>
      </w:pPr>
    </w:p>
    <w:p>
      <w:pPr>
        <w:pStyle w:val="SectionTitle"/>
        <w:rPr>
          <w:b w:val="0"/>
          <w:noProof/>
        </w:rPr>
      </w:pPr>
      <w:r>
        <w:rPr>
          <w:b w:val="0"/>
          <w:noProof/>
        </w:rPr>
        <w:t>TAQSIMA IV</w:t>
      </w:r>
      <w:r>
        <w:rPr>
          <w:b w:val="0"/>
          <w:noProof/>
        </w:rPr>
        <w:br/>
      </w:r>
      <w:r>
        <w:rPr>
          <w:b w:val="0"/>
          <w:noProof/>
        </w:rPr>
        <w:br/>
      </w:r>
      <w:r>
        <w:rPr>
          <w:noProof/>
        </w:rPr>
        <w:t xml:space="preserve">IMPLIMENTAZZJONI EFFETTIVA </w:t>
      </w:r>
    </w:p>
    <w:p>
      <w:pPr>
        <w:spacing w:before="0" w:after="0"/>
        <w:rPr>
          <w:noProof/>
        </w:rPr>
      </w:pPr>
      <w:r>
        <w:rPr>
          <w:noProof/>
        </w:rPr>
        <w:t>Skont l-Artikolu 8ac, l-Istati Membri għandu jkollhom fis-seħħ regoli u proċeduri amministrattivi biex jiżguraw l-implimentazzjoni effettiva tal-obbligi tad-diliġenza dovuta u tar-rappurtar stabbiliti fit-Taqsimiet II u III ta’ dan l-Anness, u l-konformità magħhom.</w:t>
      </w:r>
    </w:p>
    <w:p>
      <w:pPr>
        <w:spacing w:before="0" w:after="0"/>
        <w:rPr>
          <w:noProof/>
          <w:highlight w:val="yellow"/>
        </w:rPr>
      </w:pPr>
    </w:p>
    <w:p>
      <w:pPr>
        <w:spacing w:before="0" w:after="0"/>
        <w:rPr>
          <w:noProof/>
        </w:rPr>
      </w:pPr>
      <w:r>
        <w:rPr>
          <w:noProof/>
        </w:rPr>
        <w:t>A. Regoli għall-infurzar tar-rekwiżiti tal-ġbir u tal-verifika stabbiliti fit-Taqsima II</w:t>
      </w:r>
    </w:p>
    <w:p>
      <w:pPr>
        <w:pStyle w:val="NumPar1"/>
        <w:numPr>
          <w:ilvl w:val="0"/>
          <w:numId w:val="21"/>
        </w:numPr>
        <w:rPr>
          <w:noProof/>
        </w:rPr>
      </w:pPr>
      <w:r>
        <w:rPr>
          <w:noProof/>
        </w:rPr>
        <w:t xml:space="preserve">L-Istati Membri għandhom jieħdu l-miżuri meħtieġa biex jeżiġu li l-Operaturi tal-Pjattaformi Rapportanti jinfurzaw ir-rekwiżiti tal-ġbir u tal-verifika skont it-Taqsima II fir-rigward tal-Bejjiegħa Rapportabbli tagħhom. </w:t>
      </w:r>
    </w:p>
    <w:p>
      <w:pPr>
        <w:pStyle w:val="NumPar1"/>
        <w:rPr>
          <w:noProof/>
        </w:rPr>
      </w:pPr>
      <w:r>
        <w:rPr>
          <w:noProof/>
        </w:rPr>
        <w:t xml:space="preserve">Meta Bejjiegħ Rapportabbli ma jipprovdix l-informazzjoni meħtieġa skont it-Taqsima II wara żewġ tfakkiriet, wara t-talba inizjali mill-Operatur tal-Pjattaformi Rapportanti, dan tal-aħħar għandu jagħlaq il-kont tal-Bejjiegħ u ma jħallix lill-Bejjiegħ jerġa’ jirreġistra fuq il-Pjattaforma għal perjodu ta’ sitt xhur, inkella jżomm il-pagament tal-Korrispettiv dovut lill-Bejjiegħ. </w:t>
      </w:r>
    </w:p>
    <w:p>
      <w:pPr>
        <w:spacing w:before="0" w:after="0"/>
        <w:rPr>
          <w:noProof/>
        </w:rPr>
      </w:pPr>
    </w:p>
    <w:p>
      <w:pPr>
        <w:spacing w:before="0" w:after="0"/>
        <w:rPr>
          <w:noProof/>
        </w:rPr>
      </w:pPr>
      <w:r>
        <w:rPr>
          <w:noProof/>
        </w:rPr>
        <w:t>B. Regoli li jeżiġu li l-Operaturi tal-Pjattaformi Rapportanti jżommu reġistri tal-passi li ttieħdu u ta’ kwalunkwe informazzjoni li jkunu użaw għat-twettiq tal-proċeduri tad-diliġenza dovuta u tar-rekwiżiti tar-rappurtar, u jieħdu miżuri adegwati biex jiksbu dawk ir-reġistri</w:t>
      </w:r>
    </w:p>
    <w:p>
      <w:pPr>
        <w:spacing w:before="0" w:after="0"/>
        <w:rPr>
          <w:noProof/>
        </w:rPr>
      </w:pPr>
    </w:p>
    <w:p>
      <w:pPr>
        <w:pStyle w:val="NumPar1"/>
        <w:numPr>
          <w:ilvl w:val="0"/>
          <w:numId w:val="19"/>
        </w:numPr>
        <w:rPr>
          <w:noProof/>
        </w:rPr>
      </w:pPr>
      <w:r>
        <w:rPr>
          <w:noProof/>
        </w:rPr>
        <w:t xml:space="preserve">L-Istati Membri għandhom jieħdu l-miżuri meħtieġa biex jeżiġu li l-Operaturi tal-Pjattaformi Rapportanti jżommu reġistri tal-passi li jkunu ttieħdu u ta’ kwalunkwe informazzjoni li jkunu użaw għat-twettiq tal-proċeduri tad-diliġenza dovuta u tar-rekwiżiti tar-rappurtar stabbiliti fit-Taqsimiet II u III. Tali reġistri għandhom jibqgħu disponibbli għal perjodu twil biżżejjed u fi kwalunkwe każ għal perjodu ta’ mhux inqas minn ħames snin iżda mhux iktar minn seba’ snin wara tmiem il-Perjodu Rapportabbli li jkunu relatati miegħu. </w:t>
      </w:r>
    </w:p>
    <w:p>
      <w:pPr>
        <w:pStyle w:val="NumPar1"/>
        <w:rPr>
          <w:noProof/>
        </w:rPr>
      </w:pPr>
      <w:r>
        <w:rPr>
          <w:noProof/>
        </w:rPr>
        <w:t>L-Istati Membri għandhom jieħdu l-miżuri meħtieġa, inkluż il-possibbiltà li jindirizzaw ordni għar-rapportar lill-Operaturi tal-Pjattaformi Rapportanti, biex jiżguraw li l-informazzjoni kollha meħtieġa tiġi rrappurtata lill-awtorità kompetenti sabiex din tal-aħħar tkun tista’ tissodisfa l-obbligu li tikkomunika l-informazzjoni f’konformità mal-Artikolu 8ac(2).</w:t>
      </w:r>
    </w:p>
    <w:p>
      <w:pPr>
        <w:spacing w:before="0" w:after="0"/>
        <w:rPr>
          <w:noProof/>
        </w:rPr>
      </w:pPr>
    </w:p>
    <w:p>
      <w:pPr>
        <w:rPr>
          <w:noProof/>
        </w:rPr>
      </w:pPr>
      <w:r>
        <w:rPr>
          <w:noProof/>
        </w:rPr>
        <w:t>C. Proċeduri amministrattivi li jivverifikaw il-konformità tal-Operaturi tal-Pjattaformi Rapportanti mal-proċeduri tad-diliġenza dovuta u mar-rekwiżiti tar-rappurtar</w:t>
      </w:r>
    </w:p>
    <w:p>
      <w:pPr>
        <w:rPr>
          <w:noProof/>
        </w:rPr>
      </w:pPr>
      <w:r>
        <w:rPr>
          <w:noProof/>
        </w:rPr>
        <w:t xml:space="preserve">L-Istati Membri għandhom jistabbilixxu proċeduri amministrattivi biex jivverifikaw il-konformità tal-Operaturi tal-Pjattaformi Rapportanti mal-proċeduri tad-diliġenza dovuta u mar-rekwiżiti tar-rappurtar stabbiliti fit-Taqsimiet II u III. </w:t>
      </w:r>
    </w:p>
    <w:p>
      <w:pPr>
        <w:rPr>
          <w:noProof/>
        </w:rPr>
      </w:pPr>
    </w:p>
    <w:p>
      <w:pPr>
        <w:rPr>
          <w:noProof/>
        </w:rPr>
      </w:pPr>
      <w:r>
        <w:rPr>
          <w:noProof/>
        </w:rPr>
        <w:t>D. Proċeduri amministrattivi biex jerġa’ jkun hemm kuntatt mal-Operatur tal-Pjattaformi Rapportanti meta tiġi rrappurtata informazzjoni mhux kompluta jew mhux akkurata</w:t>
      </w:r>
    </w:p>
    <w:p>
      <w:pPr>
        <w:rPr>
          <w:noProof/>
        </w:rPr>
      </w:pPr>
      <w:r>
        <w:rPr>
          <w:noProof/>
        </w:rPr>
        <w:t xml:space="preserve">L-Istati Membri għandhom jistabbilixxu proċeduri biex jerġa’ jkun hemm kuntatt mal-Operaturi tal-Pjattaformi Rapportanti meta l-informazzjoni rrappurtata ma tkunx kompluta jew akkurata. </w:t>
      </w:r>
    </w:p>
    <w:p>
      <w:pPr>
        <w:rPr>
          <w:noProof/>
        </w:rPr>
      </w:pPr>
    </w:p>
    <w:p>
      <w:pPr>
        <w:rPr>
          <w:noProof/>
        </w:rPr>
      </w:pPr>
      <w:r>
        <w:rPr>
          <w:noProof/>
        </w:rPr>
        <w:t xml:space="preserve">E. Proċedura amministrattiva biex jintgħażel formalment Stat Membru wieħed li fih isir ir-rappurtar </w:t>
      </w:r>
    </w:p>
    <w:p>
      <w:pPr>
        <w:pStyle w:val="NormalLeft"/>
        <w:jc w:val="both"/>
        <w:rPr>
          <w:noProof/>
        </w:rPr>
      </w:pPr>
      <w:r>
        <w:rPr>
          <w:noProof/>
        </w:rPr>
        <w:t>Jekk Operatur tal-Pjattaformi Rapportanti, fis-sens tal-punt (a) tas-subparagrafu A(3) tat-Taqsima I jissodisfa xi waħda mill-kundizzjonijiet elenkati fih f’iktar minn Stat Membru wieħed, huwa għandu jagħżel formalment wieħed minn dawn l-Istati Membri biex iwettaq ir-rekwiżiti tar-rappurtar tiegħu skont it-Taqsima III. L-Operatur tal-Pjattaformi Rapportanti għandu jinnotifika lill-awtoritajiet kompetenti kollha ta’ dawn l-Istati Membri bl-għażla formali tiegħu.</w:t>
      </w:r>
    </w:p>
    <w:p>
      <w:pPr>
        <w:rPr>
          <w:noProof/>
        </w:rPr>
      </w:pPr>
    </w:p>
    <w:p>
      <w:pPr>
        <w:spacing w:before="0" w:after="0"/>
        <w:rPr>
          <w:noProof/>
        </w:rPr>
      </w:pPr>
      <w:r>
        <w:rPr>
          <w:noProof/>
        </w:rPr>
        <w:t>F. Proċedura amministrattiva għal reġistrazzjoni unika ta’ Operatur tal-Pjattaformi Rapportanti</w:t>
      </w:r>
    </w:p>
    <w:p>
      <w:pPr>
        <w:pStyle w:val="NumPar1"/>
        <w:numPr>
          <w:ilvl w:val="0"/>
          <w:numId w:val="22"/>
        </w:numPr>
        <w:rPr>
          <w:noProof/>
        </w:rPr>
      </w:pPr>
      <w:r>
        <w:rPr>
          <w:noProof/>
        </w:rPr>
        <w:t xml:space="preserve">Operatur tal-Pjattaformi Rapportanti skont it-tifsira tal-punt (b) tas-subparagrafu A(3) tat-Taqsima I għandu jirreġistra mal-awtorità kompetenti ta’ kwalunkwe Stat Membru skont l-Artikolu 8ac(4) meta jibda l-attività tiegħu bħala Operatur tal-Pjattaformi. Meta tali Operatur tal-Pjattaformi Rapportanti jkun diġà ġie identifikat fl-Unjoni għal finijiet tal-VAT skont l-iskema speċjali prevista fl-Artikolu 358a </w:t>
      </w:r>
      <w:r>
        <w:rPr>
          <w:i/>
          <w:iCs/>
          <w:noProof/>
        </w:rPr>
        <w:t>et seq.</w:t>
      </w:r>
      <w:r>
        <w:rPr>
          <w:noProof/>
        </w:rPr>
        <w:t xml:space="preserve"> tad-Direttiva tal-Kunsill 2006/112/KE</w:t>
      </w:r>
      <w:r>
        <w:rPr>
          <w:rStyle w:val="FootnoteReference"/>
          <w:noProof/>
        </w:rPr>
        <w:footnoteReference w:id="1"/>
      </w:r>
      <w:r>
        <w:rPr>
          <w:noProof/>
        </w:rPr>
        <w:t xml:space="preserve"> jew skont l-iskema speċjali prevista fl-Artikolu 369a </w:t>
      </w:r>
      <w:r>
        <w:rPr>
          <w:i/>
          <w:iCs/>
          <w:noProof/>
        </w:rPr>
        <w:t>et seq.</w:t>
      </w:r>
      <w:r>
        <w:rPr>
          <w:noProof/>
        </w:rPr>
        <w:t xml:space="preserve"> ta’ dik id-Direttiva, ma għandux jirreġistra f’xi Stat Membru ieħor.</w:t>
      </w:r>
    </w:p>
    <w:p>
      <w:pPr>
        <w:pStyle w:val="NumPar1"/>
        <w:numPr>
          <w:ilvl w:val="0"/>
          <w:numId w:val="22"/>
        </w:numPr>
        <w:rPr>
          <w:noProof/>
        </w:rPr>
      </w:pPr>
      <w:r>
        <w:rPr>
          <w:noProof/>
        </w:rPr>
        <w:t xml:space="preserve">L-Operatur tal-Pjattaformi Rapportanti għandu jikkomunika l-informazzjoni li ġejja dwaru lill-Istat Membru tar-reġistrazzjoni unika tiegħu: </w:t>
      </w:r>
    </w:p>
    <w:p>
      <w:pPr>
        <w:pStyle w:val="Point1letter"/>
        <w:numPr>
          <w:ilvl w:val="3"/>
          <w:numId w:val="23"/>
        </w:numPr>
        <w:rPr>
          <w:noProof/>
        </w:rPr>
      </w:pPr>
      <w:r>
        <w:rPr>
          <w:noProof/>
        </w:rPr>
        <w:t>l-isem;</w:t>
      </w:r>
    </w:p>
    <w:p>
      <w:pPr>
        <w:pStyle w:val="Point1letter"/>
        <w:rPr>
          <w:noProof/>
        </w:rPr>
      </w:pPr>
      <w:r>
        <w:rPr>
          <w:noProof/>
        </w:rPr>
        <w:t>l-indirizz postali;</w:t>
      </w:r>
    </w:p>
    <w:p>
      <w:pPr>
        <w:pStyle w:val="Point1letter"/>
        <w:rPr>
          <w:noProof/>
        </w:rPr>
      </w:pPr>
      <w:r>
        <w:rPr>
          <w:noProof/>
        </w:rPr>
        <w:t xml:space="preserve">l-indirizzi elettroniċi, inkluż is-siti web; </w:t>
      </w:r>
    </w:p>
    <w:p>
      <w:pPr>
        <w:pStyle w:val="Point1letter"/>
        <w:rPr>
          <w:noProof/>
        </w:rPr>
      </w:pPr>
      <w:r>
        <w:rPr>
          <w:noProof/>
        </w:rPr>
        <w:t xml:space="preserve">kwalunkwe NIT li jkun inħareġ lill-Operatur tal-Pjattaformi Rapportanti; </w:t>
      </w:r>
    </w:p>
    <w:p>
      <w:pPr>
        <w:pStyle w:val="Point1letter"/>
        <w:rPr>
          <w:noProof/>
        </w:rPr>
      </w:pPr>
      <w:r>
        <w:rPr>
          <w:noProof/>
        </w:rPr>
        <w:t>dikjarazzjoni li l-Pjattaforma ma ġietx identifikata diġà fl-Unjoni għal finijiet tal-VAT.</w:t>
      </w:r>
    </w:p>
    <w:p>
      <w:pPr>
        <w:pStyle w:val="NumPar1"/>
        <w:rPr>
          <w:noProof/>
        </w:rPr>
      </w:pPr>
      <w:r>
        <w:rPr>
          <w:noProof/>
        </w:rPr>
        <w:t xml:space="preserve">L-Operatur tal-Pjattaformi Rapportanti għandu jinnotifika lill-Istat Membru tar-reġistrazzjoni unika bi kwalunkwe bidla fl-informazzjoni pprovduta skont is-subparagrafu F(2). </w:t>
      </w:r>
    </w:p>
    <w:p>
      <w:pPr>
        <w:pStyle w:val="NumPar1"/>
        <w:rPr>
          <w:noProof/>
        </w:rPr>
      </w:pPr>
      <w:r>
        <w:rPr>
          <w:noProof/>
        </w:rPr>
        <w:t>L-Istat Membru tar-reġistrazzjoni unika għandu jalloka numru ta’ identifikazzjoni individwali lill-Operatur tal-Pjattaformi Rapportanti u għandu jinnotifikah b’mezzi elettroniċi.</w:t>
      </w:r>
    </w:p>
    <w:p>
      <w:pPr>
        <w:pStyle w:val="NumPar1"/>
        <w:rPr>
          <w:noProof/>
        </w:rPr>
      </w:pPr>
      <w:r>
        <w:rPr>
          <w:noProof/>
        </w:rPr>
        <w:t xml:space="preserve">L-Istat Membru tar-reġistrazzjoni unika għandu jħassar Operatur tal-Pjattaformi Rapportanti mir-reġistru fil-każijiet li ġejjin: </w:t>
      </w:r>
    </w:p>
    <w:p>
      <w:pPr>
        <w:pStyle w:val="Point1letter"/>
        <w:numPr>
          <w:ilvl w:val="3"/>
          <w:numId w:val="24"/>
        </w:numPr>
        <w:rPr>
          <w:noProof/>
        </w:rPr>
      </w:pPr>
      <w:r>
        <w:rPr>
          <w:noProof/>
        </w:rPr>
        <w:t>l-Operatur tal-Pjattaformi jinnotifika lil dak l-Istat Membru li ma għadux iwettaq xi attività bħala Operatur tal-Pjattaformi;</w:t>
      </w:r>
    </w:p>
    <w:p>
      <w:pPr>
        <w:pStyle w:val="Point1letter"/>
        <w:rPr>
          <w:noProof/>
        </w:rPr>
      </w:pPr>
      <w:r>
        <w:rPr>
          <w:noProof/>
        </w:rPr>
        <w:t>fin-nuqqas ta’ notifika skont il-punt a), ikun hemm raġunijiet biex wieħed jassumi li l-attività ta’ Operatur tal-Pjattaformi tkun waqfet;</w:t>
      </w:r>
    </w:p>
    <w:p>
      <w:pPr>
        <w:pStyle w:val="Point1letter"/>
        <w:rPr>
          <w:noProof/>
        </w:rPr>
      </w:pPr>
      <w:r>
        <w:rPr>
          <w:noProof/>
        </w:rPr>
        <w:t>l-Operatur tal-Pjattaformi ma għadux jissodisfa l-kundizzjonijiet stabbiliti fil-punt (b) tas-subparagrafu A(3) tat-Taqsima I.”.</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MT</w:t>
    </w:r>
    <w:r>
      <w:rPr>
        <w:rFonts w:ascii="Arial" w:hAnsi="Arial" w:cs="Arial"/>
        <w:b/>
        <w:sz w:val="48"/>
      </w:rPr>
      <w:tab/>
    </w:r>
    <w:r>
      <w:rPr>
        <w:rFonts w:ascii="Arial" w:hAnsi="Arial" w:cs="Arial"/>
        <w:b/>
        <w:sz w:val="48"/>
      </w:rPr>
      <w:tab/>
    </w:r>
    <w:r>
      <w:tab/>
    </w:r>
    <w:r>
      <w:rPr>
        <w:rFonts w:ascii="Arial" w:hAnsi="Arial" w:cs="Arial"/>
        <w:b/>
        <w:sz w:val="48"/>
      </w:rPr>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MT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MT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Id-Direttiva tal-Kunsill 2006/112/KE tat-28 ta’ Novembru 2006 dwar is-sistema komuni ta’ taxxa fuq il-valur miżjud (ĠU L 347, 11.12.2006,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69EC12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90A6D56"/>
    <w:lvl w:ilvl="0">
      <w:start w:val="1"/>
      <w:numFmt w:val="decimal"/>
      <w:pStyle w:val="ListNumber3"/>
      <w:lvlText w:val="%1."/>
      <w:lvlJc w:val="left"/>
      <w:pPr>
        <w:tabs>
          <w:tab w:val="num" w:pos="926"/>
        </w:tabs>
        <w:ind w:left="926" w:hanging="360"/>
      </w:pPr>
    </w:lvl>
  </w:abstractNum>
  <w:abstractNum w:abstractNumId="2">
    <w:nsid w:val="FFFFFF7F"/>
    <w:multiLevelType w:val="singleLevel"/>
    <w:tmpl w:val="66FEB6F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AC891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7F4854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2245FD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A464A56"/>
    <w:lvl w:ilvl="0">
      <w:start w:val="1"/>
      <w:numFmt w:val="decimal"/>
      <w:pStyle w:val="ListNumber"/>
      <w:lvlText w:val="%1."/>
      <w:lvlJc w:val="left"/>
      <w:pPr>
        <w:tabs>
          <w:tab w:val="num" w:pos="360"/>
        </w:tabs>
        <w:ind w:left="360" w:hanging="360"/>
      </w:pPr>
    </w:lvl>
  </w:abstractNum>
  <w:abstractNum w:abstractNumId="7">
    <w:nsid w:val="FFFFFF89"/>
    <w:multiLevelType w:val="singleLevel"/>
    <w:tmpl w:val="F69EA7B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5A1521B"/>
    <w:multiLevelType w:val="hybridMultilevel"/>
    <w:tmpl w:val="AE686084"/>
    <w:lvl w:ilvl="0" w:tplc="FBB88AFA">
      <w:start w:val="1"/>
      <w:numFmt w:val="decimal"/>
      <w:pStyle w:val="Para"/>
      <w:lvlText w:val="%1."/>
      <w:lvlJc w:val="left"/>
      <w:pPr>
        <w:tabs>
          <w:tab w:val="num" w:pos="720"/>
        </w:tabs>
        <w:ind w:left="0" w:firstLine="0"/>
      </w:pPr>
      <w:rPr>
        <w:rFonts w:hint="default"/>
        <w:b w:val="0"/>
        <w:i w:val="0"/>
      </w:rPr>
    </w:lvl>
    <w:lvl w:ilvl="1" w:tplc="08090019">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 w:numId="15">
    <w:abstractNumId w:val="1"/>
  </w:num>
  <w:num w:numId="16">
    <w:abstractNumId w:val="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3"/>
  </w:num>
  <w:num w:numId="35">
    <w:abstractNumId w:val="21"/>
  </w:num>
  <w:num w:numId="36">
    <w:abstractNumId w:val="12"/>
  </w:num>
  <w:num w:numId="37">
    <w:abstractNumId w:val="14"/>
  </w:num>
  <w:num w:numId="38">
    <w:abstractNumId w:val="9"/>
  </w:num>
  <w:num w:numId="39">
    <w:abstractNumId w:val="20"/>
  </w:num>
  <w:num w:numId="40">
    <w:abstractNumId w:val="8"/>
  </w:num>
  <w:num w:numId="41">
    <w:abstractNumId w:val="15"/>
  </w:num>
  <w:num w:numId="42">
    <w:abstractNumId w:val="17"/>
  </w:num>
  <w:num w:numId="43">
    <w:abstractNumId w:val="18"/>
  </w:num>
  <w:num w:numId="44">
    <w:abstractNumId w:val="11"/>
  </w:num>
  <w:num w:numId="45">
    <w:abstractNumId w:val="16"/>
  </w:num>
  <w:num w:numId="46">
    <w:abstractNumId w:val="2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7-22 16:24:2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6"/>
    <w:docVar w:name="DQCResult_UnknownFonts" w:val="0;0"/>
    <w:docVar w:name="DQCResult_UnknownStyles" w:val="0;0"/>
    <w:docVar w:name="DQCStatus" w:val="Green"/>
    <w:docVar w:name="DQCVersion" w:val="3"/>
    <w:docVar w:name="DQCWithWarnings" w:val="0"/>
    <w:docVar w:name="LW_ACCOMPAGNANT" w:val="tal-"/>
    <w:docVar w:name="LW_ACCOMPAGNANT.CP" w:val="tal-"/>
    <w:docVar w:name="LW_ANNEX_NBR_FIRST" w:val="1"/>
    <w:docVar w:name="LW_ANNEX_NBR_LAST" w:val="1"/>
    <w:docVar w:name="LW_ANNEX_UNIQUE" w:val="1"/>
    <w:docVar w:name="LW_CORRIGENDUM" w:val="&lt;UNUSED&gt;"/>
    <w:docVar w:name="LW_COVERPAGE_EXISTS" w:val="True"/>
    <w:docVar w:name="LW_COVERPAGE_GUID" w:val="025F128E-DD4D-4ACA-B732-77E10AAA9A8D"/>
    <w:docVar w:name="LW_COVERPAGE_TYPE" w:val="1"/>
    <w:docVar w:name="LW_CROSSREFERENCE" w:val="{SEC(2020) 271 final} - {SWD(2020) 129 final} - {SWD(2020) 130 final} - {SWD(2020) 131 final}"/>
    <w:docVar w:name="LW_DocType" w:val="ANNEX"/>
    <w:docVar w:name="LW_EMISSION" w:val="15.7.2020"/>
    <w:docVar w:name="LW_EMISSION_ISODATE" w:val="2020-07-15"/>
    <w:docVar w:name="LW_EMISSION_LOCATION" w:val="BRX"/>
    <w:docVar w:name="LW_EMISSION_PREFIX" w:val="Brussell, "/>
    <w:docVar w:name="LW_EMISSION_SUFFIX" w:val=" "/>
    <w:docVar w:name="LW_ID_DOCSTRUCTURE" w:val="COM/ANNEX"/>
    <w:docVar w:name="LW_ID_DOCTYPE" w:val="SG-017"/>
    <w:docVar w:name="LW_LANGUE" w:val="MT"/>
    <w:docVar w:name="LW_LEVEL_OF_SENSITIVITY" w:val="Standard treatment"/>
    <w:docVar w:name="LW_NOM.INST" w:val="IL-KUMMISSJONI EWROPEA"/>
    <w:docVar w:name="LW_NOM.INST_JOINTDOC" w:val="&lt;EMPTY&gt;"/>
    <w:docVar w:name="LW_OBJETACTEPRINCIPAL" w:val="li temenda d-Direttiva 2011/16/UE dwar il-kooperazzjoni amministrattiva fil-qasam tat-tassazzjoni_x000d__x000d__x000d__x000b_"/>
    <w:docVar w:name="LW_OBJETACTEPRINCIPAL.CP" w:val="li temenda d-Direttiva 2011/16/UE dwar il-kooperazzjoni amministrattiva fil-qasam tat-tassazzjoni_x000d__x000d__x000d__x000b_"/>
    <w:docVar w:name="LW_PART_NBR" w:val="1"/>
    <w:docVar w:name="LW_PART_NBR_TOTAL" w:val="1"/>
    <w:docVar w:name="LW_REF.INST.NEW" w:val="COM"/>
    <w:docVar w:name="LW_REF.INST.NEW_ADOPTED" w:val="final"/>
    <w:docVar w:name="LW_REF.INST.NEW_TEXT" w:val="(2020) 3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SS"/>
    <w:docVar w:name="LW_TYPE.DOC.CP" w:val="ANNESS"/>
    <w:docVar w:name="LW_TYPEACTEPRINCIPAL" w:val="Proposta g\u295?al Direttiva tal-Kunsill"/>
    <w:docVar w:name="LW_TYPEACTEPRINCIPAL.CP" w:val="Proposta g\u295?al Direttiva tal-Kunsil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mt-MT"/>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mt-MT" w:eastAsia="en-G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mt-M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3"/>
      </w:numPr>
      <w:contextualSpacing/>
    </w:pPr>
  </w:style>
  <w:style w:type="paragraph" w:styleId="ListNumber2">
    <w:name w:val="List Number 2"/>
    <w:basedOn w:val="Normal"/>
    <w:uiPriority w:val="99"/>
    <w:semiHidden/>
    <w:unhideWhenUsed/>
    <w:pPr>
      <w:numPr>
        <w:numId w:val="14"/>
      </w:numPr>
      <w:contextualSpacing/>
    </w:pPr>
  </w:style>
  <w:style w:type="paragraph" w:styleId="ListNumber3">
    <w:name w:val="List Number 3"/>
    <w:basedOn w:val="Normal"/>
    <w:uiPriority w:val="99"/>
    <w:semiHidden/>
    <w:unhideWhenUsed/>
    <w:pPr>
      <w:numPr>
        <w:numId w:val="15"/>
      </w:numPr>
      <w:contextualSpacing/>
    </w:pPr>
  </w:style>
  <w:style w:type="paragraph" w:styleId="ListNumber4">
    <w:name w:val="List Number 4"/>
    <w:basedOn w:val="Normal"/>
    <w:uiPriority w:val="99"/>
    <w:semiHidden/>
    <w:unhideWhenUsed/>
    <w:pPr>
      <w:numPr>
        <w:numId w:val="16"/>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mt-MT" w:eastAsia="en-GB"/>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Para">
    <w:name w:val="Para #"/>
    <w:basedOn w:val="Normal"/>
    <w:link w:val="ParaChar"/>
    <w:uiPriority w:val="4"/>
    <w:qFormat/>
    <w:pPr>
      <w:numPr>
        <w:numId w:val="18"/>
      </w:numPr>
      <w:spacing w:line="260" w:lineRule="atLeast"/>
    </w:pPr>
    <w:rPr>
      <w:rFonts w:asciiTheme="minorHAnsi" w:hAnsiTheme="minorHAnsi" w:cstheme="minorBidi"/>
      <w:sz w:val="20"/>
    </w:rPr>
  </w:style>
  <w:style w:type="character" w:customStyle="1" w:styleId="ParaChar">
    <w:name w:val="Para # Char"/>
    <w:basedOn w:val="DefaultParagraphFont"/>
    <w:link w:val="Para"/>
    <w:uiPriority w:val="4"/>
    <w:rPr>
      <w:sz w:val="20"/>
      <w:lang w:val="en-GB"/>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mt-M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mt-M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mt-MT"/>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mt-MT" w:eastAsia="en-G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mt-M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3"/>
      </w:numPr>
      <w:contextualSpacing/>
    </w:pPr>
  </w:style>
  <w:style w:type="paragraph" w:styleId="ListNumber2">
    <w:name w:val="List Number 2"/>
    <w:basedOn w:val="Normal"/>
    <w:uiPriority w:val="99"/>
    <w:semiHidden/>
    <w:unhideWhenUsed/>
    <w:pPr>
      <w:numPr>
        <w:numId w:val="14"/>
      </w:numPr>
      <w:contextualSpacing/>
    </w:pPr>
  </w:style>
  <w:style w:type="paragraph" w:styleId="ListNumber3">
    <w:name w:val="List Number 3"/>
    <w:basedOn w:val="Normal"/>
    <w:uiPriority w:val="99"/>
    <w:semiHidden/>
    <w:unhideWhenUsed/>
    <w:pPr>
      <w:numPr>
        <w:numId w:val="15"/>
      </w:numPr>
      <w:contextualSpacing/>
    </w:pPr>
  </w:style>
  <w:style w:type="paragraph" w:styleId="ListNumber4">
    <w:name w:val="List Number 4"/>
    <w:basedOn w:val="Normal"/>
    <w:uiPriority w:val="99"/>
    <w:semiHidden/>
    <w:unhideWhenUsed/>
    <w:pPr>
      <w:numPr>
        <w:numId w:val="16"/>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mt-MT" w:eastAsia="en-GB"/>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Para">
    <w:name w:val="Para #"/>
    <w:basedOn w:val="Normal"/>
    <w:link w:val="ParaChar"/>
    <w:uiPriority w:val="4"/>
    <w:qFormat/>
    <w:pPr>
      <w:numPr>
        <w:numId w:val="18"/>
      </w:numPr>
      <w:spacing w:line="260" w:lineRule="atLeast"/>
    </w:pPr>
    <w:rPr>
      <w:rFonts w:asciiTheme="minorHAnsi" w:hAnsiTheme="minorHAnsi" w:cstheme="minorBidi"/>
      <w:sz w:val="20"/>
    </w:rPr>
  </w:style>
  <w:style w:type="character" w:customStyle="1" w:styleId="ParaChar">
    <w:name w:val="Para # Char"/>
    <w:basedOn w:val="DefaultParagraphFont"/>
    <w:link w:val="Para"/>
    <w:uiPriority w:val="4"/>
    <w:rPr>
      <w:sz w:val="20"/>
      <w:lang w:val="en-GB"/>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mt-M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mt-M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3</TotalTime>
  <Pages>11</Pages>
  <Words>3109</Words>
  <Characters>22544</Characters>
  <Application>Microsoft Office Word</Application>
  <DocSecurity>0</DocSecurity>
  <Lines>409</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QUADRI Eva (TAXUD)</dc:creator>
  <cp:keywords/>
  <dc:description/>
  <cp:lastModifiedBy>WES PDFC Administrator</cp:lastModifiedBy>
  <cp:revision>12</cp:revision>
  <cp:lastPrinted>2020-07-10T14:28:00Z</cp:lastPrinted>
  <dcterms:created xsi:type="dcterms:W3CDTF">2020-07-17T13:49:00Z</dcterms:created>
  <dcterms:modified xsi:type="dcterms:W3CDTF">2020-07-22T14:24:00Z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