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90FB460B-D292-42B5-9B71-CCB4F01EDB30" style="width:450.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b w:val="0"/>
          <w:i/>
          <w:noProof/>
        </w:rPr>
      </w:pPr>
      <w:bookmarkStart w:id="0" w:name="_GoBack"/>
      <w:bookmarkEnd w:id="0"/>
      <w:r>
        <w:rPr>
          <w:noProof/>
        </w:rPr>
        <w:lastRenderedPageBreak/>
        <w:t xml:space="preserve">PRIEDAS </w:t>
      </w:r>
      <w:r>
        <w:rPr>
          <w:noProof/>
        </w:rPr>
        <w:br/>
        <w:t xml:space="preserve"> </w:t>
      </w:r>
      <w:r>
        <w:rPr>
          <w:noProof/>
        </w:rPr>
        <w:br/>
        <w:t xml:space="preserve">„V PRIEDAS </w:t>
      </w:r>
      <w:r>
        <w:rPr>
          <w:noProof/>
        </w:rPr>
        <w:br/>
        <w:t>PLATFORMŲ OPERATORIAMS TAIKOMOS DUOMENŲ TEIKIMO TAISYKLĖS</w:t>
      </w:r>
    </w:p>
    <w:p>
      <w:pPr>
        <w:rPr>
          <w:noProof/>
        </w:rPr>
      </w:pPr>
    </w:p>
    <w:p>
      <w:pPr>
        <w:rPr>
          <w:i/>
          <w:noProof/>
        </w:rPr>
      </w:pPr>
      <w:r>
        <w:rPr>
          <w:noProof/>
        </w:rPr>
        <w:t>Šiame priede nustatomos duomenų teikimo ir išsamaus patikrinimo taisyklės, kurias taiko duomenis teikiantys platformų operatoriai, kad valstybės narės, vykdydamos automatinius mainus, galėtų teikti šios direktyvos 8ac straipsnyje nurodytą informaciją.</w:t>
      </w:r>
    </w:p>
    <w:p>
      <w:pPr>
        <w:rPr>
          <w:i/>
          <w:noProof/>
        </w:rPr>
      </w:pPr>
      <w:r>
        <w:rPr>
          <w:noProof/>
        </w:rPr>
        <w:t>Šiame priede taip pat aprašomos taisyklės ir administracinės procedūros, kurias valstybės narės turi taikyti siekdamos užtikrinti veiksmingą nustatytų duomenų teikimo ir išsamaus patikrinimo procedūrų įgyvendinimą ir laikymąsi.</w:t>
      </w:r>
    </w:p>
    <w:p>
      <w:pPr>
        <w:rPr>
          <w:noProof/>
        </w:rPr>
      </w:pPr>
    </w:p>
    <w:p>
      <w:pPr>
        <w:pStyle w:val="SectionTitle"/>
        <w:rPr>
          <w:i/>
          <w:noProof/>
        </w:rPr>
      </w:pPr>
      <w:r>
        <w:rPr>
          <w:b w:val="0"/>
          <w:noProof/>
        </w:rPr>
        <w:t>I SKIRSNIS</w:t>
      </w:r>
      <w:r>
        <w:rPr>
          <w:noProof/>
        </w:rPr>
        <w:t xml:space="preserve"> </w:t>
      </w:r>
      <w:r>
        <w:rPr>
          <w:noProof/>
        </w:rPr>
        <w:br/>
        <w:t xml:space="preserve"> </w:t>
      </w:r>
      <w:r>
        <w:rPr>
          <w:noProof/>
        </w:rPr>
        <w:br/>
        <w:t>TERMINŲ APIBRĖŽTYS</w:t>
      </w:r>
    </w:p>
    <w:p>
      <w:pPr>
        <w:spacing w:before="0" w:after="0"/>
        <w:rPr>
          <w:noProof/>
        </w:rPr>
      </w:pPr>
      <w:r>
        <w:rPr>
          <w:noProof/>
        </w:rPr>
        <w:t xml:space="preserve">Toliau vartojami terminai suprantami taip: </w:t>
      </w:r>
    </w:p>
    <w:p>
      <w:pPr>
        <w:spacing w:before="0" w:after="0"/>
        <w:rPr>
          <w:noProof/>
        </w:rPr>
      </w:pPr>
    </w:p>
    <w:p>
      <w:pPr>
        <w:spacing w:before="0" w:after="0"/>
        <w:rPr>
          <w:noProof/>
        </w:rPr>
      </w:pPr>
      <w:r>
        <w:rPr>
          <w:noProof/>
        </w:rPr>
        <w:t>A. Duomenis teikiantys platformų operatoriai</w:t>
      </w:r>
    </w:p>
    <w:p>
      <w:pPr>
        <w:pStyle w:val="NumPar1"/>
        <w:numPr>
          <w:ilvl w:val="0"/>
          <w:numId w:val="29"/>
        </w:numPr>
        <w:rPr>
          <w:noProof/>
        </w:rPr>
      </w:pPr>
      <w:r>
        <w:rPr>
          <w:noProof/>
        </w:rPr>
        <w:t>Platforma – programinė įranga, įskaitant svetainę arba jos dalį, ir taikomosios programos, įskaitant programėles, kuriomis gali naudotis naudotojai ir kuriomis pardavėjai gali susisiekti su kitais naudotojais, siekdami tiesiogiai arba netiesiogiai vykdyti atitinkamą su šiais naudotojais susijusią veiklą. Ji taip pat apima bet kokią su atitinkama veikla susijusią atlygio rinkimo ir mokėjimo priemonę.</w:t>
      </w:r>
    </w:p>
    <w:p>
      <w:pPr>
        <w:pStyle w:val="Text1"/>
        <w:rPr>
          <w:noProof/>
        </w:rPr>
      </w:pPr>
      <w:r>
        <w:rPr>
          <w:noProof/>
        </w:rPr>
        <w:t xml:space="preserve">Terminas „platforma“ neapima programinės įrangos, kuria, nesiimant tolesnių veiksmų vykdant atitinkamą veiklą, galima tik: </w:t>
      </w:r>
    </w:p>
    <w:p>
      <w:pPr>
        <w:pStyle w:val="Point1letter"/>
        <w:numPr>
          <w:ilvl w:val="3"/>
          <w:numId w:val="46"/>
        </w:numPr>
        <w:rPr>
          <w:noProof/>
        </w:rPr>
      </w:pPr>
      <w:bookmarkStart w:id="1" w:name="DQCNUMB_1"/>
      <w:bookmarkEnd w:id="1"/>
      <w:r>
        <w:rPr>
          <w:noProof/>
        </w:rPr>
        <w:t>tvarkyti su atitinkama veikla susijusius mokėjimus;</w:t>
      </w:r>
    </w:p>
    <w:p>
      <w:pPr>
        <w:pStyle w:val="Point1letter"/>
        <w:rPr>
          <w:noProof/>
        </w:rPr>
      </w:pPr>
      <w:bookmarkStart w:id="2" w:name="DQCNUMB_2"/>
      <w:bookmarkEnd w:id="2"/>
      <w:r>
        <w:rPr>
          <w:noProof/>
        </w:rPr>
        <w:t xml:space="preserve">naudotojai gali sudaryti atitinkamos veiklos sąrašus arba ją reklamuoti; </w:t>
      </w:r>
    </w:p>
    <w:p>
      <w:pPr>
        <w:pStyle w:val="Point1letter"/>
        <w:rPr>
          <w:noProof/>
        </w:rPr>
      </w:pPr>
      <w:bookmarkStart w:id="3" w:name="DQCNUMB_3"/>
      <w:bookmarkEnd w:id="3"/>
      <w:r>
        <w:rPr>
          <w:noProof/>
        </w:rPr>
        <w:t xml:space="preserve">nukreipti arba persiųsti naudotojus į platformą. </w:t>
      </w:r>
    </w:p>
    <w:p>
      <w:pPr>
        <w:pStyle w:val="NumPar1"/>
        <w:rPr>
          <w:noProof/>
        </w:rPr>
      </w:pPr>
      <w:r>
        <w:rPr>
          <w:noProof/>
        </w:rPr>
        <w:t xml:space="preserve">Platformos operatorius – subjektas, kuris su pardavėjais sudaro naudojimosi visa platforma arba jos dalimi sutartis. </w:t>
      </w:r>
    </w:p>
    <w:p>
      <w:pPr>
        <w:pStyle w:val="NumPar1"/>
        <w:rPr>
          <w:noProof/>
        </w:rPr>
      </w:pPr>
      <w:r>
        <w:rPr>
          <w:noProof/>
        </w:rPr>
        <w:t xml:space="preserve"> Duomenis teikiantis platformos operatorius – platformos operatorius, kuris tenkina vieną iš šių sąlygų:</w:t>
      </w:r>
    </w:p>
    <w:p>
      <w:pPr>
        <w:pStyle w:val="Point1letter"/>
        <w:numPr>
          <w:ilvl w:val="3"/>
          <w:numId w:val="27"/>
        </w:numPr>
        <w:rPr>
          <w:noProof/>
        </w:rPr>
      </w:pPr>
      <w:bookmarkStart w:id="4" w:name="DQCNUMB_4"/>
      <w:bookmarkEnd w:id="4"/>
      <w:r>
        <w:rPr>
          <w:noProof/>
        </w:rPr>
        <w:t xml:space="preserve">jis yra rezidentas mokesčių tikslais valstybėje narėje arba, jei nėra rezidentas mokesčių tikslais valstybėje narėje, atitinka bet kurias iš šių sąlygų: </w:t>
      </w:r>
    </w:p>
    <w:p>
      <w:pPr>
        <w:pStyle w:val="Point2"/>
        <w:rPr>
          <w:noProof/>
        </w:rPr>
      </w:pPr>
      <w:r>
        <w:rPr>
          <w:noProof/>
        </w:rPr>
        <w:t>i)</w:t>
      </w:r>
      <w:r>
        <w:rPr>
          <w:noProof/>
        </w:rPr>
        <w:tab/>
        <w:t xml:space="preserve"> jis yra įsisteigęs pagal valstybės narės įstatymus; </w:t>
      </w:r>
    </w:p>
    <w:p>
      <w:pPr>
        <w:pStyle w:val="Point2"/>
        <w:rPr>
          <w:noProof/>
        </w:rPr>
      </w:pPr>
      <w:r>
        <w:rPr>
          <w:noProof/>
        </w:rPr>
        <w:t>ii)</w:t>
      </w:r>
      <w:r>
        <w:rPr>
          <w:noProof/>
        </w:rPr>
        <w:tab/>
        <w:t xml:space="preserve"> jo administracijos centras (įskaitant pagrindinį administracijos centrą) yra valstybėje narėje;</w:t>
      </w:r>
    </w:p>
    <w:p>
      <w:pPr>
        <w:pStyle w:val="Point2"/>
        <w:rPr>
          <w:noProof/>
        </w:rPr>
      </w:pPr>
      <w:r>
        <w:rPr>
          <w:noProof/>
        </w:rPr>
        <w:t>iii)</w:t>
      </w:r>
      <w:r>
        <w:rPr>
          <w:noProof/>
        </w:rPr>
        <w:tab/>
        <w:t>jo nuolatinė buveinė yra valstybėje narėje;</w:t>
      </w:r>
    </w:p>
    <w:p>
      <w:pPr>
        <w:pStyle w:val="Point1letter"/>
        <w:rPr>
          <w:noProof/>
        </w:rPr>
      </w:pPr>
      <w:bookmarkStart w:id="5" w:name="DQCNUMB_5"/>
      <w:bookmarkEnd w:id="5"/>
      <w:r>
        <w:rPr>
          <w:noProof/>
        </w:rPr>
        <w:t>jis nėra nei rezidentas mokesčių tikslais, nei įsisteigęs valstybėje narėje, jo administracijos centras nėra valstybėje narėje ir jis neturi valstybėje narėje nuolatinės buveinės, bet sudaro sąlygas praneštiniems pardavėjams vykdyti atitinkamą arba su valstybėje narėje esančio nekilnojamojo turto nuoma susijusią veiklą.</w:t>
      </w:r>
    </w:p>
    <w:p>
      <w:pPr>
        <w:pStyle w:val="NumPar1"/>
        <w:tabs>
          <w:tab w:val="left" w:pos="0"/>
        </w:tabs>
        <w:rPr>
          <w:noProof/>
        </w:rPr>
      </w:pPr>
      <w:r>
        <w:rPr>
          <w:noProof/>
        </w:rPr>
        <w:t xml:space="preserve">Atitinkama veikla – už atlygį vykdoma kuri nors iš šių veiklų:  </w:t>
      </w:r>
    </w:p>
    <w:p>
      <w:pPr>
        <w:pStyle w:val="Point1letter"/>
        <w:numPr>
          <w:ilvl w:val="3"/>
          <w:numId w:val="5"/>
        </w:numPr>
        <w:rPr>
          <w:noProof/>
        </w:rPr>
      </w:pPr>
      <w:bookmarkStart w:id="6" w:name="DQCNUMB_6"/>
      <w:bookmarkEnd w:id="6"/>
      <w:r>
        <w:rPr>
          <w:noProof/>
        </w:rPr>
        <w:t xml:space="preserve">nekilnojamojo turto nuoma; </w:t>
      </w:r>
    </w:p>
    <w:p>
      <w:pPr>
        <w:pStyle w:val="Point1letter"/>
        <w:numPr>
          <w:ilvl w:val="3"/>
          <w:numId w:val="5"/>
        </w:numPr>
        <w:rPr>
          <w:noProof/>
        </w:rPr>
      </w:pPr>
      <w:bookmarkStart w:id="7" w:name="DQCNUMB_7"/>
      <w:bookmarkEnd w:id="7"/>
      <w:r>
        <w:rPr>
          <w:noProof/>
        </w:rPr>
        <w:t xml:space="preserve">asmeninės paslaugos; </w:t>
      </w:r>
    </w:p>
    <w:p>
      <w:pPr>
        <w:pStyle w:val="Point1letter"/>
        <w:numPr>
          <w:ilvl w:val="3"/>
          <w:numId w:val="5"/>
        </w:numPr>
        <w:rPr>
          <w:noProof/>
        </w:rPr>
      </w:pPr>
      <w:bookmarkStart w:id="8" w:name="DQCNUMB_8"/>
      <w:bookmarkEnd w:id="8"/>
      <w:r>
        <w:rPr>
          <w:noProof/>
        </w:rPr>
        <w:t xml:space="preserve">prekių pardavimas; </w:t>
      </w:r>
    </w:p>
    <w:p>
      <w:pPr>
        <w:pStyle w:val="Point1letter"/>
        <w:numPr>
          <w:ilvl w:val="3"/>
          <w:numId w:val="5"/>
        </w:numPr>
        <w:rPr>
          <w:noProof/>
        </w:rPr>
      </w:pPr>
      <w:bookmarkStart w:id="9" w:name="DQCNUMB_9"/>
      <w:bookmarkEnd w:id="9"/>
      <w:r>
        <w:rPr>
          <w:noProof/>
        </w:rPr>
        <w:t>bet kokios rūšies transporto priemonių nuoma;</w:t>
      </w:r>
    </w:p>
    <w:p>
      <w:pPr>
        <w:pStyle w:val="Point1letter"/>
        <w:numPr>
          <w:ilvl w:val="3"/>
          <w:numId w:val="5"/>
        </w:numPr>
        <w:rPr>
          <w:noProof/>
        </w:rPr>
      </w:pPr>
      <w:bookmarkStart w:id="10" w:name="DQCNUMB_10"/>
      <w:bookmarkEnd w:id="10"/>
      <w:r>
        <w:rPr>
          <w:noProof/>
        </w:rPr>
        <w:t>investavimas ir skolinimas sutelktinio finansavimo būdu, kaip apibrėžta Sąjungos finansų rinkų teisinėje sistemoje.</w:t>
      </w:r>
    </w:p>
    <w:p>
      <w:pPr>
        <w:pStyle w:val="Text1"/>
        <w:rPr>
          <w:noProof/>
        </w:rPr>
      </w:pPr>
      <w:r>
        <w:rPr>
          <w:noProof/>
        </w:rPr>
        <w:t>Atitinkama veikla neapima veiklos, kurią pardavėjas vykdo kaip duomenis teikiančio platformos operatoriaus darbuotojas arba susijęs platformos operatoriaus subjektas.</w:t>
      </w:r>
    </w:p>
    <w:p>
      <w:pPr>
        <w:pStyle w:val="NumPar1"/>
        <w:rPr>
          <w:noProof/>
        </w:rPr>
      </w:pPr>
      <w:r>
        <w:rPr>
          <w:noProof/>
        </w:rPr>
        <w:t xml:space="preserve">Atlygis – už atitinkamą veiklą pardavėjui mokamas arba įskaitomas bet kokios rūšies užmokestis, atėmus visus duomenis teikiančio platformos operatoriaus išskaičiuotus arba priskaičiuotus mokesčius arba komisinius, kurio suma yra žinoma arba pagrįstai gali būti žinoma platformos operatoriui. </w:t>
      </w:r>
    </w:p>
    <w:p>
      <w:pPr>
        <w:pStyle w:val="NumPar1"/>
        <w:rPr>
          <w:noProof/>
        </w:rPr>
      </w:pPr>
      <w:r>
        <w:rPr>
          <w:noProof/>
        </w:rPr>
        <w:t xml:space="preserve">Asmeninė paslauga – paslauga, kurią teikdami vienas arba keli nepriklausomai arba subjekto vardu veikiantys asmenys atlieka darbą tam tikrą laiką arba kol įvykdo užduotį ir kuri naudotojo užsakymu teikiama arba internetu, arba fiziškai ne internetu po to, kai dėl jos buvo susitarta naudojantis platforma. </w:t>
      </w:r>
    </w:p>
    <w:p>
      <w:pPr>
        <w:rPr>
          <w:noProof/>
        </w:rPr>
      </w:pPr>
    </w:p>
    <w:p>
      <w:pPr>
        <w:spacing w:before="0" w:after="0"/>
        <w:rPr>
          <w:noProof/>
        </w:rPr>
      </w:pPr>
      <w:r>
        <w:rPr>
          <w:noProof/>
        </w:rPr>
        <w:t>B. Praneštini pardavėjai</w:t>
      </w:r>
    </w:p>
    <w:p>
      <w:pPr>
        <w:pStyle w:val="NumPar1"/>
        <w:numPr>
          <w:ilvl w:val="0"/>
          <w:numId w:val="6"/>
        </w:numPr>
        <w:rPr>
          <w:noProof/>
        </w:rPr>
      </w:pPr>
      <w:r>
        <w:rPr>
          <w:noProof/>
        </w:rPr>
        <w:t xml:space="preserve">Pardavėjas – platformos naudotojas (asmuo arba subjektas), kuris bet kuriuo ataskaitinio laikotarpio momentu yra registruotas platformoje ir vykdo atitinkamą veiklą. </w:t>
      </w:r>
    </w:p>
    <w:p>
      <w:pPr>
        <w:pStyle w:val="NumPar1"/>
        <w:numPr>
          <w:ilvl w:val="0"/>
          <w:numId w:val="6"/>
        </w:numPr>
        <w:rPr>
          <w:noProof/>
        </w:rPr>
      </w:pPr>
      <w:r>
        <w:rPr>
          <w:noProof/>
        </w:rPr>
        <w:t>Aktyvus pardavėjas – pardavėjas, kuris ataskaitiniu laikotarpiu vykdo atitinkamą veiklą arba kuriam ataskaitiniu laikotarpiu sumokamas arba įskaitomas su atitinkama veikla susijęs atlygis.</w:t>
      </w:r>
    </w:p>
    <w:p>
      <w:pPr>
        <w:pStyle w:val="NumPar1"/>
        <w:numPr>
          <w:ilvl w:val="0"/>
          <w:numId w:val="6"/>
        </w:numPr>
        <w:rPr>
          <w:noProof/>
        </w:rPr>
      </w:pPr>
      <w:r>
        <w:rPr>
          <w:noProof/>
        </w:rPr>
        <w:t>Praneštinas pardavėjas – aktyvus pardavėjas, išskyrus nepraneštiną pardavėją, kuris yra rezidentas valstybėje narėje arba nuomojo valstybėje narėje esantį nekilnojamąjį turtą.</w:t>
      </w:r>
    </w:p>
    <w:p>
      <w:pPr>
        <w:pStyle w:val="Text1"/>
        <w:rPr>
          <w:noProof/>
        </w:rPr>
      </w:pPr>
      <w:r>
        <w:rPr>
          <w:noProof/>
        </w:rPr>
        <w:t>Praneštinas pardavėjas laikomas rezidentu valstybėje narėje pagal pirmą pastraipą, jei ataskaitiniu laikotarpiu atitinka kurią nors iš šių sąlygų:</w:t>
      </w:r>
    </w:p>
    <w:p>
      <w:pPr>
        <w:pStyle w:val="Point1letter"/>
        <w:numPr>
          <w:ilvl w:val="3"/>
          <w:numId w:val="17"/>
        </w:numPr>
        <w:rPr>
          <w:noProof/>
        </w:rPr>
      </w:pPr>
      <w:bookmarkStart w:id="11" w:name="DQCNUMB_11"/>
      <w:bookmarkEnd w:id="11"/>
      <w:r>
        <w:rPr>
          <w:noProof/>
        </w:rPr>
        <w:t xml:space="preserve">jo pagrindinis adresas buvo valstybėje narėje; </w:t>
      </w:r>
    </w:p>
    <w:p>
      <w:pPr>
        <w:pStyle w:val="Point1letter"/>
        <w:rPr>
          <w:noProof/>
        </w:rPr>
      </w:pPr>
      <w:bookmarkStart w:id="12" w:name="DQCNUMB_12"/>
      <w:bookmarkEnd w:id="12"/>
      <w:r>
        <w:rPr>
          <w:noProof/>
        </w:rPr>
        <w:t xml:space="preserve">jis turėjo valstybėje narėje suteiktą MMIN arba PVM mokėtojo kodą; </w:t>
      </w:r>
    </w:p>
    <w:p>
      <w:pPr>
        <w:pStyle w:val="Point1letter"/>
        <w:rPr>
          <w:noProof/>
        </w:rPr>
      </w:pPr>
      <w:bookmarkStart w:id="13" w:name="DQCNUMB_13"/>
      <w:bookmarkEnd w:id="13"/>
      <w:r>
        <w:rPr>
          <w:noProof/>
        </w:rPr>
        <w:t xml:space="preserve">jei pardavėjas yra subjektas, jo nuolatinė buveinė buvo valstybėje narėje. </w:t>
      </w:r>
    </w:p>
    <w:p>
      <w:pPr>
        <w:pStyle w:val="NumPar1"/>
        <w:numPr>
          <w:ilvl w:val="0"/>
          <w:numId w:val="6"/>
        </w:numPr>
        <w:rPr>
          <w:noProof/>
        </w:rPr>
      </w:pPr>
      <w:r>
        <w:rPr>
          <w:noProof/>
        </w:rPr>
        <w:t xml:space="preserve"> Nepraneštinas pardavėjas – pardavėjas, kuris yra vyriausybės subjektas.</w:t>
      </w:r>
    </w:p>
    <w:p>
      <w:pPr>
        <w:spacing w:before="0" w:after="0"/>
        <w:rPr>
          <w:noProof/>
        </w:rPr>
      </w:pPr>
    </w:p>
    <w:p>
      <w:pPr>
        <w:spacing w:before="0" w:after="0"/>
        <w:rPr>
          <w:noProof/>
        </w:rPr>
      </w:pPr>
      <w:r>
        <w:rPr>
          <w:noProof/>
        </w:rPr>
        <w:t>C. Kitos apibrėžtys</w:t>
      </w:r>
    </w:p>
    <w:p>
      <w:pPr>
        <w:pStyle w:val="NumPar1"/>
        <w:numPr>
          <w:ilvl w:val="0"/>
          <w:numId w:val="7"/>
        </w:numPr>
        <w:rPr>
          <w:noProof/>
        </w:rPr>
      </w:pPr>
      <w:r>
        <w:rPr>
          <w:noProof/>
        </w:rPr>
        <w:t>Subjektas – juridinis asmuo arba juridinis vienetas, kaip antai kapitalo bendrovė, ūkinė bendrija, patikos fondas arba fondas.</w:t>
      </w:r>
    </w:p>
    <w:p>
      <w:pPr>
        <w:pStyle w:val="NumPar1"/>
        <w:numPr>
          <w:ilvl w:val="0"/>
          <w:numId w:val="7"/>
        </w:numPr>
        <w:rPr>
          <w:noProof/>
        </w:rPr>
      </w:pPr>
      <w:r>
        <w:rPr>
          <w:noProof/>
        </w:rPr>
        <w:t>Vyriausybės subjektas – valstybės narės ar kitos jurisdikcijos vyriausybė, valstybės narės arba kitos jurisdikcijos politinis vienetas (kuris atitinkamai apima valstybę, provinciją, apygardą ar savivaldybę) arba visiškai valdoma valstybės narės ar kitos jurisdikcijos agentūra ar įstaiga, arba bet kuris vienas ar keli iš jų (kiekvienas jų – vyriausybės subjektas).</w:t>
      </w:r>
    </w:p>
    <w:p>
      <w:pPr>
        <w:pStyle w:val="NumPar1"/>
        <w:numPr>
          <w:ilvl w:val="0"/>
          <w:numId w:val="6"/>
        </w:numPr>
        <w:rPr>
          <w:noProof/>
        </w:rPr>
      </w:pPr>
      <w:r>
        <w:rPr>
          <w:noProof/>
        </w:rPr>
        <w:t xml:space="preserve"> MMIN – mokesčių mokėtojo identifikavimo numeris arba, jei jis nesuteiktas, funkcinis ekvivalentas.  </w:t>
      </w:r>
    </w:p>
    <w:p>
      <w:pPr>
        <w:pStyle w:val="NumPar1"/>
        <w:numPr>
          <w:ilvl w:val="0"/>
          <w:numId w:val="6"/>
        </w:numPr>
        <w:rPr>
          <w:noProof/>
        </w:rPr>
      </w:pPr>
      <w:r>
        <w:rPr>
          <w:noProof/>
        </w:rPr>
        <w:t>PVM mokėtojo kodas – unikalus kodas, pagal kurį identifikuojamas pridėtinės vertės mokesčio tikslais užregistruotas apmokestinamasis asmuo arba neapmokestinamasis teisės subjektas.</w:t>
      </w:r>
    </w:p>
    <w:p>
      <w:pPr>
        <w:pStyle w:val="NumPar1"/>
        <w:numPr>
          <w:ilvl w:val="0"/>
          <w:numId w:val="6"/>
        </w:numPr>
        <w:rPr>
          <w:noProof/>
        </w:rPr>
      </w:pPr>
      <w:r>
        <w:rPr>
          <w:noProof/>
        </w:rPr>
        <w:t xml:space="preserve">Pagrindinis adresas – jei pardavėjas yra asmuo, pagrindinės rezidavimo vietos adresas, jei pardavėjas yra subjektas, registruotosios buveinės adresas.  </w:t>
      </w:r>
    </w:p>
    <w:p>
      <w:pPr>
        <w:pStyle w:val="NumPar1"/>
        <w:numPr>
          <w:ilvl w:val="0"/>
          <w:numId w:val="6"/>
        </w:numPr>
        <w:rPr>
          <w:noProof/>
        </w:rPr>
      </w:pPr>
      <w:r>
        <w:rPr>
          <w:noProof/>
        </w:rPr>
        <w:t xml:space="preserve">Ataskaitinis laikotarpis – kalendoriniai metai, už kuriuos pagal III skirsnį teikiami duomenys. </w:t>
      </w:r>
    </w:p>
    <w:p>
      <w:pPr>
        <w:pStyle w:val="NumPar1"/>
        <w:numPr>
          <w:ilvl w:val="0"/>
          <w:numId w:val="6"/>
        </w:numPr>
        <w:rPr>
          <w:noProof/>
        </w:rPr>
      </w:pPr>
      <w:r>
        <w:rPr>
          <w:noProof/>
        </w:rPr>
        <w:t>Į sąrašą įtrauktas turtas – visi tuo pačiu adresu esantys nekilnojamojo turto vienetai, kuriuos platformoje nuomai siūlo tas pats pardavėjas.</w:t>
      </w:r>
    </w:p>
    <w:p>
      <w:pPr>
        <w:pStyle w:val="NumPar1"/>
        <w:numPr>
          <w:ilvl w:val="0"/>
          <w:numId w:val="6"/>
        </w:numPr>
        <w:rPr>
          <w:noProof/>
        </w:rPr>
      </w:pPr>
      <w:r>
        <w:rPr>
          <w:noProof/>
        </w:rPr>
        <w:t>Finansinės sąskaitos identifikatorius – platformos operatoriaus turimos banko ar kito mokėjimo paslaugų teikėjo sąskaitos, į kurią mokamas arba įskaitomas atlygis, unikalus identifikavimo numeris arba nuoroda.</w:t>
      </w:r>
    </w:p>
    <w:p>
      <w:pPr>
        <w:rPr>
          <w:noProof/>
        </w:rPr>
      </w:pPr>
    </w:p>
    <w:p>
      <w:pPr>
        <w:pStyle w:val="SectionTitle"/>
        <w:rPr>
          <w:b w:val="0"/>
          <w:noProof/>
        </w:rPr>
      </w:pPr>
      <w:r>
        <w:rPr>
          <w:b w:val="0"/>
          <w:noProof/>
        </w:rPr>
        <w:t>II SKIRSNIS</w:t>
      </w:r>
      <w:r>
        <w:rPr>
          <w:noProof/>
        </w:rPr>
        <w:t xml:space="preserve"> </w:t>
      </w:r>
      <w:r>
        <w:rPr>
          <w:noProof/>
        </w:rPr>
        <w:br/>
        <w:t xml:space="preserve"> </w:t>
      </w:r>
      <w:r>
        <w:rPr>
          <w:noProof/>
        </w:rPr>
        <w:br/>
        <w:t>IŠSAMAUS PATIKRINIMO PROCEDŪROS</w:t>
      </w:r>
    </w:p>
    <w:p>
      <w:pPr>
        <w:spacing w:before="0" w:after="0"/>
        <w:rPr>
          <w:noProof/>
        </w:rPr>
      </w:pPr>
      <w:r>
        <w:rPr>
          <w:noProof/>
        </w:rPr>
        <w:t xml:space="preserve">Siekiant nustatyti praneštinus pardavėjus, taikomos toliau nurodytos procedūros. </w:t>
      </w:r>
    </w:p>
    <w:p>
      <w:pPr>
        <w:spacing w:before="0" w:after="0"/>
        <w:rPr>
          <w:noProof/>
        </w:rPr>
      </w:pPr>
    </w:p>
    <w:p>
      <w:pPr>
        <w:spacing w:before="0" w:after="0"/>
        <w:rPr>
          <w:noProof/>
        </w:rPr>
      </w:pPr>
      <w:r>
        <w:rPr>
          <w:noProof/>
        </w:rPr>
        <w:t>A. Pardavėjai, kuriems netaikoma peržiūra</w:t>
      </w:r>
    </w:p>
    <w:p>
      <w:pPr>
        <w:rPr>
          <w:noProof/>
        </w:rPr>
      </w:pPr>
      <w:r>
        <w:rPr>
          <w:noProof/>
        </w:rPr>
        <w:t>Siekdamas nustatyti, ar pardavėjas, kuris yra subjektas, laikomas B poskirsnio 4 dalyje apibūdintu pardavėju, kuriam netaikoma praneštino pardavėjo apibrėžtis, duomenis teikiantis platformos operatorius gali remtis viešai prieinama informacija arba pardavėjo, kuris yra subjektas, patvirtinimu.</w:t>
      </w:r>
    </w:p>
    <w:p>
      <w:pPr>
        <w:spacing w:before="0" w:after="0"/>
        <w:rPr>
          <w:noProof/>
        </w:rPr>
      </w:pPr>
    </w:p>
    <w:p>
      <w:pPr>
        <w:spacing w:before="0" w:after="0"/>
        <w:rPr>
          <w:noProof/>
        </w:rPr>
      </w:pPr>
      <w:r>
        <w:rPr>
          <w:noProof/>
        </w:rPr>
        <w:t>B. Pardavėjo informacijos rinkimas</w:t>
      </w:r>
    </w:p>
    <w:p>
      <w:pPr>
        <w:pStyle w:val="NumPar1"/>
        <w:numPr>
          <w:ilvl w:val="0"/>
          <w:numId w:val="8"/>
        </w:numPr>
        <w:rPr>
          <w:noProof/>
        </w:rPr>
      </w:pPr>
      <w:r>
        <w:rPr>
          <w:noProof/>
        </w:rPr>
        <w:t xml:space="preserve">Duomenis teikiantis platformos operatorius renka šią su kiekvienu pardavėju, kuris yra asmuo, susijusią informaciją: </w:t>
      </w:r>
    </w:p>
    <w:p>
      <w:pPr>
        <w:pStyle w:val="Point1letter"/>
        <w:numPr>
          <w:ilvl w:val="3"/>
          <w:numId w:val="20"/>
        </w:numPr>
        <w:rPr>
          <w:noProof/>
        </w:rPr>
      </w:pPr>
      <w:bookmarkStart w:id="14" w:name="DQCNUMB_14"/>
      <w:bookmarkEnd w:id="14"/>
      <w:r>
        <w:rPr>
          <w:noProof/>
        </w:rPr>
        <w:t xml:space="preserve">vardą ir pavardę; </w:t>
      </w:r>
    </w:p>
    <w:p>
      <w:pPr>
        <w:pStyle w:val="Point1letter"/>
        <w:rPr>
          <w:noProof/>
        </w:rPr>
      </w:pPr>
      <w:bookmarkStart w:id="15" w:name="DQCNUMB_15"/>
      <w:bookmarkEnd w:id="15"/>
      <w:r>
        <w:rPr>
          <w:noProof/>
        </w:rPr>
        <w:t xml:space="preserve">pagrindinį adresą; </w:t>
      </w:r>
    </w:p>
    <w:p>
      <w:pPr>
        <w:pStyle w:val="Point1letter"/>
        <w:rPr>
          <w:noProof/>
        </w:rPr>
      </w:pPr>
      <w:bookmarkStart w:id="16" w:name="DQCNUMB_16"/>
      <w:bookmarkEnd w:id="16"/>
      <w:r>
        <w:rPr>
          <w:noProof/>
        </w:rPr>
        <w:t>visus pardavėjui suteiktus MMIN, įskaitant kiekvieną juos suteikusią valstybę narę;</w:t>
      </w:r>
    </w:p>
    <w:p>
      <w:pPr>
        <w:pStyle w:val="Point1letter"/>
        <w:rPr>
          <w:noProof/>
        </w:rPr>
      </w:pPr>
      <w:bookmarkStart w:id="17" w:name="DQCNUMB_17"/>
      <w:bookmarkEnd w:id="17"/>
      <w:r>
        <w:rPr>
          <w:noProof/>
        </w:rPr>
        <w:t xml:space="preserve">jei taikoma, pardavėjo PVM mokesčio mokėtojo kodą; </w:t>
      </w:r>
    </w:p>
    <w:p>
      <w:pPr>
        <w:pStyle w:val="Point1letter"/>
        <w:rPr>
          <w:noProof/>
        </w:rPr>
      </w:pPr>
      <w:bookmarkStart w:id="18" w:name="DQCNUMB_18"/>
      <w:bookmarkEnd w:id="18"/>
      <w:r>
        <w:rPr>
          <w:noProof/>
        </w:rPr>
        <w:t xml:space="preserve">gimimo datą. </w:t>
      </w:r>
    </w:p>
    <w:p>
      <w:pPr>
        <w:pStyle w:val="NumPar1"/>
        <w:numPr>
          <w:ilvl w:val="0"/>
          <w:numId w:val="8"/>
        </w:numPr>
        <w:rPr>
          <w:noProof/>
        </w:rPr>
      </w:pPr>
      <w:r>
        <w:rPr>
          <w:noProof/>
        </w:rPr>
        <w:t xml:space="preserve">Duomenis teikiantis platformos operatorius renka šią su kiekvienu pardavėju, kuris yra subjektas, bet nėra pardavėjas, kuriam netaikoma praneštino pardavėjo apibrėžtis, susijusią informaciją: </w:t>
      </w:r>
    </w:p>
    <w:p>
      <w:pPr>
        <w:pStyle w:val="Point1letter"/>
        <w:numPr>
          <w:ilvl w:val="3"/>
          <w:numId w:val="9"/>
        </w:numPr>
        <w:rPr>
          <w:noProof/>
        </w:rPr>
      </w:pPr>
      <w:bookmarkStart w:id="19" w:name="DQCNUMB_19"/>
      <w:bookmarkEnd w:id="19"/>
      <w:r>
        <w:rPr>
          <w:noProof/>
        </w:rPr>
        <w:t xml:space="preserve">juridinį pavadinimą;  </w:t>
      </w:r>
    </w:p>
    <w:p>
      <w:pPr>
        <w:pStyle w:val="Point1letter"/>
        <w:rPr>
          <w:noProof/>
        </w:rPr>
      </w:pPr>
      <w:bookmarkStart w:id="20" w:name="DQCNUMB_20"/>
      <w:bookmarkEnd w:id="20"/>
      <w:r>
        <w:rPr>
          <w:noProof/>
        </w:rPr>
        <w:t xml:space="preserve">pagrindinį adresą; </w:t>
      </w:r>
    </w:p>
    <w:p>
      <w:pPr>
        <w:pStyle w:val="Point1letter"/>
        <w:rPr>
          <w:noProof/>
        </w:rPr>
      </w:pPr>
      <w:bookmarkStart w:id="21" w:name="DQCNUMB_21"/>
      <w:bookmarkEnd w:id="21"/>
      <w:r>
        <w:rPr>
          <w:noProof/>
        </w:rPr>
        <w:t xml:space="preserve">visus pardavėjui suteiktus MMIN, įskaitant kiekvieną juos suteikusią valstybę narę; </w:t>
      </w:r>
    </w:p>
    <w:p>
      <w:pPr>
        <w:pStyle w:val="Point1letter"/>
        <w:rPr>
          <w:noProof/>
        </w:rPr>
      </w:pPr>
      <w:bookmarkStart w:id="22" w:name="DQCNUMB_22"/>
      <w:bookmarkEnd w:id="22"/>
      <w:r>
        <w:rPr>
          <w:noProof/>
        </w:rPr>
        <w:t xml:space="preserve">jei taikoma, pardavėjo PVM mokesčio mokėtojo kodą; </w:t>
      </w:r>
    </w:p>
    <w:p>
      <w:pPr>
        <w:pStyle w:val="Point1letter"/>
        <w:rPr>
          <w:noProof/>
        </w:rPr>
      </w:pPr>
      <w:bookmarkStart w:id="23" w:name="DQCNUMB_23"/>
      <w:bookmarkEnd w:id="23"/>
      <w:r>
        <w:rPr>
          <w:noProof/>
        </w:rPr>
        <w:t>įmonės kodą;</w:t>
      </w:r>
    </w:p>
    <w:p>
      <w:pPr>
        <w:pStyle w:val="Point1letter"/>
        <w:rPr>
          <w:noProof/>
        </w:rPr>
      </w:pPr>
      <w:bookmarkStart w:id="24" w:name="DQCNUMB_24"/>
      <w:bookmarkEnd w:id="24"/>
      <w:r>
        <w:rPr>
          <w:noProof/>
        </w:rPr>
        <w:t xml:space="preserve">jei yra, nuolatinės buveinės egzistavimą Sąjungoje, nurodant kiekvieną atitinkamą valstybę narę, kurioje tokia nuolatinė buveinė yra įsikūrusi.  </w:t>
      </w:r>
    </w:p>
    <w:p>
      <w:pPr>
        <w:pStyle w:val="NumPar1"/>
        <w:numPr>
          <w:ilvl w:val="0"/>
          <w:numId w:val="8"/>
        </w:numPr>
        <w:rPr>
          <w:noProof/>
        </w:rPr>
      </w:pPr>
      <w:r>
        <w:rPr>
          <w:noProof/>
        </w:rPr>
        <w:t>Neatsižvelgiant į B poskirsnio 1 ir 2 dalis, duomenis teikiantis platformos operatorius neprivalo rinkti B poskirsnio 1 dalies b–e punktuose ir B poskirsnio 2 dalies poskirsnio b–f punktuose nurodytos informacijos, jei, siekdamas gauti pardavėjo tapatybės ir rezidavimo vietos mokesčių tikslais patvirtinimą, remiasi tiesioginiu pardavėjo tapatybės ir rezidavimo vietos patvirtinimu, gautu pasinaudojus valstybės narės arba Sąjungos teikiama elektroninės atpažinties paslauga.</w:t>
      </w:r>
    </w:p>
    <w:p>
      <w:pPr>
        <w:pStyle w:val="NumPar1"/>
        <w:numPr>
          <w:ilvl w:val="0"/>
          <w:numId w:val="8"/>
        </w:numPr>
        <w:rPr>
          <w:noProof/>
        </w:rPr>
      </w:pPr>
      <w:r>
        <w:rPr>
          <w:noProof/>
        </w:rPr>
        <w:t xml:space="preserve">Neatsižvelgiant į B poskirsnio 1 dalies c punktą ir B poskirsnio 2 dalies c ir e punktus, MMIN arba įmonės kodo, jei taikoma, nereikalaujama rinkti bet kuriomis iš šių aplinkybių: </w:t>
      </w:r>
    </w:p>
    <w:p>
      <w:pPr>
        <w:pStyle w:val="Point1letter"/>
        <w:numPr>
          <w:ilvl w:val="3"/>
          <w:numId w:val="25"/>
        </w:numPr>
        <w:rPr>
          <w:noProof/>
        </w:rPr>
      </w:pPr>
      <w:bookmarkStart w:id="25" w:name="DQCNUMB_25"/>
      <w:bookmarkEnd w:id="25"/>
      <w:r>
        <w:rPr>
          <w:noProof/>
        </w:rPr>
        <w:t xml:space="preserve">pardavėjo rezidavimo vietos valstybė narė nesuteikia pardavėjui MMIN arba įmonės kodo; </w:t>
      </w:r>
    </w:p>
    <w:p>
      <w:pPr>
        <w:pStyle w:val="Point1letter"/>
        <w:numPr>
          <w:ilvl w:val="3"/>
          <w:numId w:val="9"/>
        </w:numPr>
        <w:rPr>
          <w:noProof/>
        </w:rPr>
      </w:pPr>
      <w:bookmarkStart w:id="26" w:name="DQCNUMB_26"/>
      <w:bookmarkEnd w:id="26"/>
      <w:r>
        <w:rPr>
          <w:noProof/>
        </w:rPr>
        <w:t>pardavėjo rezidavimo vietos valstybė narė nereikalauja rinkti šiam pardavėjui suteikto MMIN;</w:t>
      </w:r>
    </w:p>
    <w:p>
      <w:pPr>
        <w:spacing w:before="0"/>
        <w:rPr>
          <w:noProof/>
        </w:rPr>
      </w:pPr>
    </w:p>
    <w:p>
      <w:pPr>
        <w:spacing w:before="0"/>
        <w:rPr>
          <w:noProof/>
        </w:rPr>
      </w:pPr>
      <w:r>
        <w:rPr>
          <w:noProof/>
        </w:rPr>
        <w:t xml:space="preserve">B. Pardavėjo informacijos tikrinimas </w:t>
      </w:r>
    </w:p>
    <w:p>
      <w:pPr>
        <w:pStyle w:val="NumPar1"/>
        <w:numPr>
          <w:ilvl w:val="0"/>
          <w:numId w:val="28"/>
        </w:numPr>
        <w:rPr>
          <w:noProof/>
        </w:rPr>
      </w:pPr>
      <w:r>
        <w:rPr>
          <w:noProof/>
        </w:rPr>
        <w:t>Duomenis teikiantis platformos operatorius nustato, ar pagal A poskirsnį, B poskirsnio 1 dalį, B poskirsnio 2 dalies a–e punktus ir E poskirsnį surinkta informacija yra patikima, naudodamasis visa duomenis teikiančio platformos operatoriaus registruose turima informacija ir dokumentais, taip pat valstybės narės arba Sąjungos nemokamai teikiama elektronine sąsaja, siekdamas įsitikinti, kad MMIN arba PVM mokėtojo kodas tikrai galioja.</w:t>
      </w:r>
    </w:p>
    <w:p>
      <w:pPr>
        <w:pStyle w:val="NumPar1"/>
        <w:rPr>
          <w:noProof/>
        </w:rPr>
      </w:pPr>
      <w:r>
        <w:rPr>
          <w:noProof/>
        </w:rPr>
        <w:t>Neatsižvelgiant į C poskirsnio 1 dalį, siekdamas atlikti išsamaus patikrinimo procedūras pagal F poskirsnio 2 dalį, duomenis teikiantis platformos operatorius, siekdamas nustatyti, ar pagal A poskirsnį, B poskirsnio 1 dalį, B poskirsnio 2 dalies a–e punktus ir E poskirsnį surinkta informacija yra patikima, gali naudotis visa duomenis teikiančio platformos operatoriaus registruose, kuriuose galima atlikti elektroninę paiešką, turima informacija ir dokumentais.</w:t>
      </w:r>
    </w:p>
    <w:p>
      <w:pPr>
        <w:pStyle w:val="NumPar1"/>
        <w:rPr>
          <w:noProof/>
        </w:rPr>
      </w:pPr>
      <w:r>
        <w:rPr>
          <w:noProof/>
        </w:rPr>
        <w:t>Taikant F poskirsnio 3 dalies b punktą ir neatsižvelgiant į C poskirsnio 1 ir 2 dalis, tais atvejais, kai duomenis teikiantis platformos operatorius gali pagrįstai manyti, kad kuri nors B arba E poskirsnyje aprašytos informacijos dalis gali būti netiksli, nes valstybės narės kompetentinga institucija pagal prašymą pateikė su konkrečiu pardavėju susijusios tam tikros informacijos, jis gali parašyti pardavėjo ištaisyti tas informacijos dalis, kurios, kaip buvo nustatyta, yra neteisingos ir pateikti patvirtinamuosius dokumentus, duomenis arba informaciją, kurie yra patikimi ir gauti iš nepriklausomo šaltinio, kaip antai:</w:t>
      </w:r>
    </w:p>
    <w:p>
      <w:pPr>
        <w:pStyle w:val="Text1"/>
        <w:rPr>
          <w:noProof/>
        </w:rPr>
      </w:pPr>
      <w:r>
        <w:rPr>
          <w:noProof/>
        </w:rPr>
        <w:t xml:space="preserve">a) </w:t>
      </w:r>
      <w:r>
        <w:rPr>
          <w:noProof/>
        </w:rPr>
        <w:tab/>
        <w:t xml:space="preserve">galiojantį valdžios institucijos išduotą tapatybės dokumentą; </w:t>
      </w:r>
    </w:p>
    <w:p>
      <w:pPr>
        <w:pStyle w:val="Text1"/>
        <w:rPr>
          <w:noProof/>
        </w:rPr>
      </w:pPr>
      <w:r>
        <w:rPr>
          <w:noProof/>
        </w:rPr>
        <w:t>b)</w:t>
      </w:r>
      <w:r>
        <w:rPr>
          <w:noProof/>
        </w:rPr>
        <w:tab/>
        <w:t>naujausią rezidavimo vietos mokesčių tikslais pažymėjimą.</w:t>
      </w:r>
      <w:r>
        <w:rPr>
          <w:noProof/>
        </w:rPr>
        <w:tab/>
      </w:r>
    </w:p>
    <w:p>
      <w:pPr>
        <w:spacing w:before="0" w:after="0"/>
        <w:rPr>
          <w:noProof/>
        </w:rPr>
      </w:pPr>
    </w:p>
    <w:p>
      <w:pPr>
        <w:spacing w:before="0" w:after="0"/>
        <w:rPr>
          <w:noProof/>
        </w:rPr>
      </w:pPr>
      <w:r>
        <w:rPr>
          <w:noProof/>
        </w:rPr>
        <w:t>D. Pardavėjo rezidavimo vietos valstybės (valstybių narių) šios direktyvos tikslais nustatymas</w:t>
      </w:r>
    </w:p>
    <w:p>
      <w:pPr>
        <w:pStyle w:val="NumPar1"/>
        <w:numPr>
          <w:ilvl w:val="0"/>
          <w:numId w:val="31"/>
        </w:numPr>
        <w:rPr>
          <w:noProof/>
        </w:rPr>
      </w:pPr>
      <w:r>
        <w:rPr>
          <w:noProof/>
        </w:rPr>
        <w:t xml:space="preserve">Duomenis teikiantis platformos operatorius laiko, kad pardavėjas reziduoja toje valstybėje narėje, kurioje yra pardavėjo pagrindinis adresas. Jeigu jis skiriasi nuo pardavėjo pagrindinis adreso valstybės narės, duomenis teikiantis platformos operatorius laiko, kad pardavėjas taip pat yra rezidentas MMIN arba PVM mokėtojo kodą išdavusioje valstybėje narėje. Jeigu pardavėjas pateikė informacijos apie nuolatinės buveinės egzistavimą pagal B poskirsnio 2 dalies f punktą, duomenis teikiantis platformos operatorius laiko, kad pardavėjas taip pat yra pardavėjo nurodytos atitinkamos valstybės narės rezidentas. </w:t>
      </w:r>
    </w:p>
    <w:p>
      <w:pPr>
        <w:pStyle w:val="NumPar1"/>
        <w:numPr>
          <w:ilvl w:val="0"/>
          <w:numId w:val="31"/>
        </w:numPr>
        <w:rPr>
          <w:noProof/>
        </w:rPr>
      </w:pPr>
      <w:r>
        <w:rPr>
          <w:noProof/>
        </w:rPr>
        <w:t>Neatsižvelgiant į D poskirsnio 1 dalį, duomenis teikiantis platformos operatorius laiko pardavėją rezidentu kiekvienoje valstybėje narėje, remdamasis patvirtinimu, gautu naudojantis valstybės narės arba Sąjungos teikiama elektroninės atpažinties paslauga pagal B poskirsnio 3 dalį.</w:t>
      </w:r>
    </w:p>
    <w:p>
      <w:pPr>
        <w:spacing w:before="0" w:after="0"/>
        <w:rPr>
          <w:noProof/>
        </w:rPr>
      </w:pPr>
    </w:p>
    <w:p>
      <w:pPr>
        <w:spacing w:before="0"/>
        <w:rPr>
          <w:noProof/>
        </w:rPr>
      </w:pPr>
      <w:r>
        <w:rPr>
          <w:noProof/>
        </w:rPr>
        <w:t xml:space="preserve">E. Informacijos apie nuomojamą nekilnojamąjį turtą rinkimas </w:t>
      </w:r>
    </w:p>
    <w:p>
      <w:pPr>
        <w:spacing w:before="0"/>
        <w:rPr>
          <w:noProof/>
        </w:rPr>
      </w:pPr>
      <w:r>
        <w:rPr>
          <w:noProof/>
        </w:rPr>
        <w:t xml:space="preserve">Jei pardavėjas vykdo atitinkamą su nekilnojamojo turto nuoma susijusią veiklą, duomenis teikiantis platformos operatorius renka kiekvieno į sąrašą įtraukto nekilnojamojo turto adresą ir, jei suteiktas, atitinkamą žemės registracijos numerį. </w:t>
      </w:r>
    </w:p>
    <w:p>
      <w:pPr>
        <w:spacing w:before="0" w:after="0"/>
        <w:rPr>
          <w:noProof/>
        </w:rPr>
      </w:pPr>
    </w:p>
    <w:p>
      <w:pPr>
        <w:spacing w:before="0" w:after="0"/>
        <w:rPr>
          <w:noProof/>
        </w:rPr>
      </w:pPr>
      <w:r>
        <w:rPr>
          <w:noProof/>
        </w:rPr>
        <w:t xml:space="preserve">F. Išsamaus patikrinimo procedūrų terminai ir galiojimas </w:t>
      </w:r>
    </w:p>
    <w:p>
      <w:pPr>
        <w:pStyle w:val="NumPar1"/>
        <w:numPr>
          <w:ilvl w:val="0"/>
          <w:numId w:val="10"/>
        </w:numPr>
        <w:rPr>
          <w:noProof/>
        </w:rPr>
      </w:pPr>
      <w:r>
        <w:rPr>
          <w:noProof/>
        </w:rPr>
        <w:t>A–E poskirsniuose nustatytas išsamaus patikrinimo procedūras duomenis teikiantis platformos operatorius atlieka iki ataskaitinio laikotarpio gruodžio 31 d.</w:t>
      </w:r>
    </w:p>
    <w:p>
      <w:pPr>
        <w:pStyle w:val="NumPar1"/>
        <w:numPr>
          <w:ilvl w:val="0"/>
          <w:numId w:val="10"/>
        </w:numPr>
        <w:rPr>
          <w:noProof/>
        </w:rPr>
      </w:pPr>
      <w:r>
        <w:rPr>
          <w:noProof/>
        </w:rPr>
        <w:t>Neatsižvelgiant į F poskirsnio 1 dalį, pardavėjų, kurie platformoje jau buvo užsiregistravę 2022 m. sausio 1 d. arba tą dieną, kurią subjektas tampa duomenis teikiančiu platformos operatoriumi, A–E skirsniuose nustatytos išsamaus patikrinimo procedūros turi būti atliekamos iki duomenis teikiančio platformos operatoriaus antrojo ataskaitinio laikotarpio gruodžio 31 d.</w:t>
      </w:r>
    </w:p>
    <w:p>
      <w:pPr>
        <w:pStyle w:val="NumPar1"/>
        <w:numPr>
          <w:ilvl w:val="0"/>
          <w:numId w:val="10"/>
        </w:numPr>
        <w:rPr>
          <w:noProof/>
        </w:rPr>
      </w:pPr>
      <w:r>
        <w:rPr>
          <w:noProof/>
        </w:rPr>
        <w:t>Neatsižvelgiant į F poskirsnio 1 dalį, duomenis teikiantis platformos operatorius gali remtis atliktomis su ankstesniais ataskaitiniais laikotarpiais susijusiomis išsamaus patikrinimo procedūromis, jei:</w:t>
      </w:r>
    </w:p>
    <w:p>
      <w:pPr>
        <w:pStyle w:val="Point1letter"/>
        <w:numPr>
          <w:ilvl w:val="3"/>
          <w:numId w:val="26"/>
        </w:numPr>
        <w:rPr>
          <w:noProof/>
        </w:rPr>
      </w:pPr>
      <w:bookmarkStart w:id="27" w:name="DQCNUMB_27"/>
      <w:bookmarkEnd w:id="27"/>
      <w:r>
        <w:rPr>
          <w:noProof/>
        </w:rPr>
        <w:t>B poskirsnio 1 ir 2 dalyse reikalaujama pardavėjo informacija buvo surinkta ir patikrinta arba patvirtinta per pastaruosius 36 mėnesius ir</w:t>
      </w:r>
    </w:p>
    <w:p>
      <w:pPr>
        <w:pStyle w:val="Point1letter"/>
        <w:numPr>
          <w:ilvl w:val="3"/>
          <w:numId w:val="25"/>
        </w:numPr>
        <w:rPr>
          <w:noProof/>
        </w:rPr>
      </w:pPr>
      <w:bookmarkStart w:id="28" w:name="DQCNUMB_28"/>
      <w:bookmarkEnd w:id="28"/>
      <w:r>
        <w:rPr>
          <w:noProof/>
        </w:rPr>
        <w:t>duomenis teikiantis operatorius neturi pagrindo manyti, kad pagal A, B ir E poskirsnius surinkta informacija yra arba tapo nepatikima arba netiksli.</w:t>
      </w:r>
    </w:p>
    <w:p>
      <w:pPr>
        <w:spacing w:before="0"/>
        <w:rPr>
          <w:noProof/>
        </w:rPr>
      </w:pPr>
      <w:r>
        <w:rPr>
          <w:noProof/>
        </w:rPr>
        <w:t>G. Išsamaus patikrinimo procedūrų taikymas tik aktyviems pardavėjams</w:t>
      </w:r>
    </w:p>
    <w:p>
      <w:pPr>
        <w:spacing w:before="0"/>
        <w:rPr>
          <w:noProof/>
        </w:rPr>
      </w:pPr>
      <w:r>
        <w:rPr>
          <w:noProof/>
        </w:rPr>
        <w:t xml:space="preserve">Duomenis teikiantis platformos operatorius gali pasirinkti taikyti išsamaus patikrinimo procedūras pagal A–F poskirsnius tik aktyviems pardavėjams. </w:t>
      </w:r>
    </w:p>
    <w:p>
      <w:pPr>
        <w:spacing w:before="0" w:after="0"/>
        <w:rPr>
          <w:noProof/>
        </w:rPr>
      </w:pPr>
    </w:p>
    <w:p>
      <w:pPr>
        <w:spacing w:before="0" w:after="0"/>
        <w:rPr>
          <w:noProof/>
        </w:rPr>
      </w:pPr>
      <w:r>
        <w:rPr>
          <w:noProof/>
        </w:rPr>
        <w:t>H. Trečiųjų šalių atliekamos išsamaus patikrinimo procedūros</w:t>
      </w:r>
    </w:p>
    <w:p>
      <w:pPr>
        <w:pStyle w:val="NumPar1"/>
        <w:numPr>
          <w:ilvl w:val="0"/>
          <w:numId w:val="30"/>
        </w:numPr>
        <w:rPr>
          <w:noProof/>
        </w:rPr>
      </w:pPr>
      <w:r>
        <w:rPr>
          <w:noProof/>
        </w:rPr>
        <w:t>Vykdydamas šiame skirsnyje nustatytas išsamaus patikrinimo prievoles duomenis teikiantis platformos operatorius gali naudotis trečiosios šalies teikiamomis paslaugomis, bet šios prievolės išlieka duomenis teikiančio platformos operatoriaus atsakomybė.</w:t>
      </w:r>
    </w:p>
    <w:p>
      <w:pPr>
        <w:pStyle w:val="NumPar1"/>
        <w:rPr>
          <w:noProof/>
        </w:rPr>
      </w:pPr>
      <w:r>
        <w:rPr>
          <w:noProof/>
        </w:rPr>
        <w:t xml:space="preserve">Jei platformos operatorius vykdo išsamaus patikrinimo prievoles už duomenis teikiantį platformos operatorių dėl tos pačios platformos pagal H poskirsnio 1 dalį, šis platformos operatorius atlieka išsamaus patikrinimo procedūras pagal šiame skirsnyje nustatytas taisykles.  </w:t>
      </w:r>
    </w:p>
    <w:p>
      <w:pPr>
        <w:spacing w:before="0" w:after="0"/>
        <w:rPr>
          <w:noProof/>
        </w:rPr>
      </w:pPr>
    </w:p>
    <w:p>
      <w:pPr>
        <w:pStyle w:val="SectionTitle"/>
        <w:rPr>
          <w:b w:val="0"/>
          <w:noProof/>
        </w:rPr>
      </w:pPr>
      <w:r>
        <w:rPr>
          <w:b w:val="0"/>
          <w:noProof/>
        </w:rPr>
        <w:t>III SKIRSNIS</w:t>
      </w:r>
      <w:r>
        <w:rPr>
          <w:noProof/>
        </w:rPr>
        <w:t xml:space="preserve"> </w:t>
      </w:r>
      <w:r>
        <w:rPr>
          <w:noProof/>
        </w:rPr>
        <w:br/>
        <w:t xml:space="preserve"> </w:t>
      </w:r>
      <w:r>
        <w:rPr>
          <w:noProof/>
        </w:rPr>
        <w:br/>
        <w:t>DUOMENŲ TEIKIMO REIKALAVIMAI</w:t>
      </w:r>
    </w:p>
    <w:p>
      <w:pPr>
        <w:spacing w:before="0" w:after="0"/>
        <w:rPr>
          <w:noProof/>
        </w:rPr>
      </w:pPr>
      <w:r>
        <w:rPr>
          <w:noProof/>
        </w:rPr>
        <w:t>A. Duomenų teikimo laikas ir būdas</w:t>
      </w:r>
    </w:p>
    <w:p>
      <w:pPr>
        <w:pStyle w:val="NumPar1"/>
        <w:numPr>
          <w:ilvl w:val="0"/>
          <w:numId w:val="11"/>
        </w:numPr>
        <w:rPr>
          <w:noProof/>
        </w:rPr>
      </w:pPr>
      <w:r>
        <w:rPr>
          <w:noProof/>
        </w:rPr>
        <w:t xml:space="preserve">I skirsnio A poskirsnio 3 dalies a punkte apibrėžtas duomenis teikiantis platformos operatorius pateikia pagal I skirsnio A poskirsnio 3 dalies a punkte nustatytai valstybės narės kompetentingai institucijai šio skirsnio B poskirsnyje nurodytą su ataskaitiniu laikotarpiu susijusią informaciją ne vėliau kaip metų, einančių po kalendorinių metų, kuriais pardavėjas nustatytas kaip praneštinas pardavėjas, sausio 31 d. </w:t>
      </w:r>
    </w:p>
    <w:p>
      <w:pPr>
        <w:pStyle w:val="NumPar1"/>
        <w:numPr>
          <w:ilvl w:val="0"/>
          <w:numId w:val="11"/>
        </w:numPr>
        <w:rPr>
          <w:noProof/>
        </w:rPr>
      </w:pPr>
      <w:r>
        <w:rPr>
          <w:noProof/>
        </w:rPr>
        <w:t xml:space="preserve">Jei I skirsnio A poskirsnio 3 dalies a punkte apibrėžtas duomenis teikiantis platformos operatorius kurią nors iš šiame papunktyje išvardytų sąlygų atitinka daugiau nei vienoje valstybėje narėje, šiame skirsnyje nurodytiems duomenų teikimo reikalavimams vykdyti jis pasirenka vieną iš šių valstybių narių. Šis duomenis teikiantis operatorius šio skirsnio B poskirsnyje išvardytą su ataskaitiniu laikotarpiu susijusią informaciją pateikia pagal IV skirsnio E poskirsnio pirmą pastraipą nustatytos pasirinktos valstybės narės kompetentingai institucijai ne vėliau kaip metų, einančių po kalendorinių metų, kuriais atlygis už atitinkamą veiklą buvo sumokėtas arba įskaitytas praneštinam pardavėjui, sausio 31 d. </w:t>
      </w:r>
    </w:p>
    <w:p>
      <w:pPr>
        <w:pStyle w:val="NumPar1"/>
        <w:numPr>
          <w:ilvl w:val="0"/>
          <w:numId w:val="11"/>
        </w:numPr>
        <w:rPr>
          <w:noProof/>
        </w:rPr>
      </w:pPr>
      <w:r>
        <w:rPr>
          <w:noProof/>
        </w:rPr>
        <w:t>Duomenis teikiantis platformos operatorius pagal I skirsnio A poskirsnio 3 dalies b punktą šio skirsnio B poskirsnyje nustatytą su ataskaitiniu laikotarpiu susijusią informaciją pateikia pagal IV skirsnio F poskirsnio 1 dalį nustatytos registracijos valstybės narės kompetentingai institucijai ne vėliau kaip metų, einančių po kalendorinių metų, kuriais atlygis už atitinkamą veiklą buvo sumokėtas arba įskaitytas praneštinam pardavėjui, sausio 31 d.</w:t>
      </w:r>
    </w:p>
    <w:p>
      <w:pPr>
        <w:pStyle w:val="NumPar1"/>
        <w:numPr>
          <w:ilvl w:val="0"/>
          <w:numId w:val="11"/>
        </w:numPr>
        <w:rPr>
          <w:noProof/>
        </w:rPr>
      </w:pPr>
      <w:r>
        <w:rPr>
          <w:noProof/>
        </w:rPr>
        <w:t xml:space="preserve">Duomenis teikiantis platformos operatorius B poskirsnio 2 ir 3 dalyse nurodytą informaciją taip pat pateikia praneštinam pardavėjui, su kuriuo ši informacija susijusi, ne vėliau kaip metų, einančių po kalendorinių metų, kuriais praneštinam pardavėjui už atitinkamą paslaugą buvo sumokėtas arba įskaitytas atlygis, sausio 31 d. </w:t>
      </w:r>
    </w:p>
    <w:p>
      <w:pPr>
        <w:pStyle w:val="NumPar1"/>
        <w:numPr>
          <w:ilvl w:val="0"/>
          <w:numId w:val="11"/>
        </w:numPr>
        <w:rPr>
          <w:noProof/>
        </w:rPr>
      </w:pPr>
      <w:r>
        <w:rPr>
          <w:noProof/>
        </w:rPr>
        <w:t xml:space="preserve">Informacija, susijusi su dekretine valiuta sumokėtu arba įskaitytu atlygiu, nurodoma ta valiuta, kuria atlygis buvo sumokėtas arba įskaitytas. Kitaip nei dekretine valiuta sumokėtas arba įskaitytas atlygis pranešamas vietos valiuta, konvertuota arba apskaičiuota duomenis teikiančio platformos operatoriaus nuosekliai nustatytu būdu. </w:t>
      </w:r>
    </w:p>
    <w:p>
      <w:pPr>
        <w:pStyle w:val="NumPar1"/>
        <w:numPr>
          <w:ilvl w:val="0"/>
          <w:numId w:val="11"/>
        </w:numPr>
        <w:rPr>
          <w:noProof/>
        </w:rPr>
      </w:pPr>
      <w:r>
        <w:rPr>
          <w:noProof/>
        </w:rPr>
        <w:t xml:space="preserve">Informacija apie atlygį ir kitas sumas pranešama už tą ataskaitinio laikotarpio ketvirtį, kuriuo atlygis buvo sumokėtas arba įskaitytas. </w:t>
      </w:r>
    </w:p>
    <w:p>
      <w:pPr>
        <w:spacing w:before="0" w:after="0"/>
        <w:rPr>
          <w:noProof/>
        </w:rPr>
      </w:pPr>
    </w:p>
    <w:p>
      <w:pPr>
        <w:spacing w:before="0"/>
        <w:rPr>
          <w:noProof/>
        </w:rPr>
      </w:pPr>
      <w:r>
        <w:rPr>
          <w:noProof/>
        </w:rPr>
        <w:t>B. Teiktina informacija</w:t>
      </w:r>
    </w:p>
    <w:p>
      <w:pPr>
        <w:spacing w:before="0" w:after="0"/>
        <w:rPr>
          <w:noProof/>
        </w:rPr>
      </w:pPr>
      <w:r>
        <w:rPr>
          <w:noProof/>
        </w:rPr>
        <w:t xml:space="preserve">Kiekvienas duomenis teikiantis platformos operatorius teikia šią informaciją: </w:t>
      </w:r>
    </w:p>
    <w:p>
      <w:pPr>
        <w:pStyle w:val="NumPar1"/>
        <w:numPr>
          <w:ilvl w:val="0"/>
          <w:numId w:val="12"/>
        </w:numPr>
        <w:rPr>
          <w:noProof/>
        </w:rPr>
      </w:pPr>
      <w:r>
        <w:rPr>
          <w:noProof/>
        </w:rPr>
        <w:t xml:space="preserve">duomenis teikiančio platformos operatoriaus pavadinimą, registruotosios buveinės adresą ir MMIN, taip pat platformos (-ų), su kuria (-iomis) susijusius duomenis teikia duomenis teikiantis operatorius, verslo pavadinimą (-us); </w:t>
      </w:r>
    </w:p>
    <w:p>
      <w:pPr>
        <w:pStyle w:val="NumPar1"/>
        <w:rPr>
          <w:noProof/>
        </w:rPr>
      </w:pPr>
      <w:r>
        <w:rPr>
          <w:noProof/>
        </w:rPr>
        <w:t>dėl kiekvieno praneštino pardavėjo, vykdžiusio atitinkamą veiklą, išskyrus nekilnojamojo turto nuomos veiklą:</w:t>
      </w:r>
    </w:p>
    <w:p>
      <w:pPr>
        <w:pStyle w:val="Point1"/>
        <w:ind w:left="1418" w:hanging="568"/>
        <w:rPr>
          <w:noProof/>
        </w:rPr>
      </w:pPr>
      <w:r>
        <w:rPr>
          <w:noProof/>
        </w:rPr>
        <w:t>a)</w:t>
      </w:r>
      <w:r>
        <w:rPr>
          <w:noProof/>
        </w:rPr>
        <w:tab/>
        <w:t>pagal II skirsnio B poskirsnį rinktiną informaciją;</w:t>
      </w:r>
    </w:p>
    <w:p>
      <w:pPr>
        <w:pStyle w:val="Point1"/>
        <w:rPr>
          <w:noProof/>
        </w:rPr>
      </w:pPr>
      <w:r>
        <w:rPr>
          <w:noProof/>
        </w:rPr>
        <w:t xml:space="preserve">b) </w:t>
      </w:r>
      <w:r>
        <w:rPr>
          <w:noProof/>
        </w:rPr>
        <w:tab/>
      </w:r>
      <w:r>
        <w:rPr>
          <w:noProof/>
        </w:rPr>
        <w:tab/>
        <w:t>finansinės sąskaitos identifikatorių, jei šią informaciją turi duomenis teikiantis platformos operatorius ir valstybės narės, kurioje praneštinas pardavėjas yra rezidentas, kompetentinga institucija nėra pranešusi visų kitų valstybių narių kompetentingoms institucijoms, kad neketina naudoti finansinės sąskaitos identifikatoriaus šiuo tikslu;</w:t>
      </w:r>
    </w:p>
    <w:p>
      <w:pPr>
        <w:pStyle w:val="Point1"/>
        <w:rPr>
          <w:noProof/>
        </w:rPr>
      </w:pPr>
      <w:r>
        <w:rPr>
          <w:noProof/>
        </w:rPr>
        <w:t>c)</w:t>
      </w:r>
      <w:r>
        <w:rPr>
          <w:noProof/>
        </w:rPr>
        <w:tab/>
        <w:t>finansinės sąskaitos, į kurią įmokamas arba įskaitomas atlygis, turėtojo vardą ir pavardę arba pavadinimą, jei jis skiriasi nuo praneštino pardavėjo vardo ir pavardės arba pavadinimo, ir šią informaciją turi duomenis teikiantis platformos operatorius, taip pat visą kitą duomenis teikiančio platformos operatoriaus turimą su šiuo sąskaitos turėtoju susijusią identifikavimo informaciją;</w:t>
      </w:r>
    </w:p>
    <w:p>
      <w:pPr>
        <w:pStyle w:val="Point1"/>
        <w:rPr>
          <w:noProof/>
        </w:rPr>
      </w:pPr>
      <w:r>
        <w:rPr>
          <w:noProof/>
        </w:rPr>
        <w:t>d)</w:t>
      </w:r>
      <w:r>
        <w:rPr>
          <w:noProof/>
        </w:rPr>
        <w:tab/>
        <w:t xml:space="preserve">kiekvieną valstybę narę, kurioje praneštinas pardavėjas yra rezidentas šios direktyvos tikslais pagal I skirsnio B poskirsnio 3 dalį; </w:t>
      </w:r>
    </w:p>
    <w:p>
      <w:pPr>
        <w:pStyle w:val="Point1"/>
        <w:rPr>
          <w:noProof/>
        </w:rPr>
      </w:pPr>
      <w:r>
        <w:rPr>
          <w:noProof/>
        </w:rPr>
        <w:t>e)</w:t>
      </w:r>
      <w:r>
        <w:rPr>
          <w:noProof/>
        </w:rPr>
        <w:tab/>
        <w:t>visą per kiekvieną ataskaitinio laikotarpio ketvirtį sumokėtą arba įskaitytą atlygį;</w:t>
      </w:r>
    </w:p>
    <w:p>
      <w:pPr>
        <w:pStyle w:val="Point1"/>
        <w:rPr>
          <w:noProof/>
        </w:rPr>
      </w:pPr>
      <w:r>
        <w:rPr>
          <w:noProof/>
        </w:rPr>
        <w:t>f)</w:t>
      </w:r>
      <w:r>
        <w:rPr>
          <w:noProof/>
        </w:rPr>
        <w:tab/>
        <w:t>visus duomenis teikiančioje platformoje per kiekvieną ataskaitinio laikotarpio ketvirtį sulaikytus arba paimtus mokesčius arba komisinius;</w:t>
      </w:r>
    </w:p>
    <w:p>
      <w:pPr>
        <w:pStyle w:val="NumPar1"/>
        <w:rPr>
          <w:noProof/>
        </w:rPr>
      </w:pPr>
      <w:r>
        <w:rPr>
          <w:noProof/>
        </w:rPr>
        <w:t>dėl kiekvieno praneštino pardavėjo, teikusio nekilnojamojo turto nuomos paslaugas:</w:t>
      </w:r>
    </w:p>
    <w:p>
      <w:pPr>
        <w:pStyle w:val="Point1"/>
        <w:rPr>
          <w:noProof/>
        </w:rPr>
      </w:pPr>
      <w:r>
        <w:rPr>
          <w:noProof/>
        </w:rPr>
        <w:t>a)</w:t>
      </w:r>
      <w:r>
        <w:rPr>
          <w:noProof/>
        </w:rPr>
        <w:tab/>
        <w:t>pagal II skirsnio B poskirsnį rinktiną informaciją;</w:t>
      </w:r>
    </w:p>
    <w:p>
      <w:pPr>
        <w:pStyle w:val="Point1"/>
        <w:rPr>
          <w:noProof/>
        </w:rPr>
      </w:pPr>
      <w:r>
        <w:rPr>
          <w:noProof/>
        </w:rPr>
        <w:t>b)</w:t>
      </w:r>
      <w:r>
        <w:rPr>
          <w:noProof/>
        </w:rPr>
        <w:tab/>
        <w:t>finansinės sąskaitos identifikatorių, jei šią informaciją turi duomenis teikiantis platformos operatorius ir valstybės narės, kurioje praneštinas pardavėjas yra rezidentas, kompetentinga institucija nėra pranešusi visų kitų valstybių narių kompetentingoms institucijoms, kad neketina naudoti finansinės sąskaitos identifikatoriaus šiuo tikslu;</w:t>
      </w:r>
    </w:p>
    <w:p>
      <w:pPr>
        <w:pStyle w:val="Point1"/>
        <w:rPr>
          <w:noProof/>
        </w:rPr>
      </w:pPr>
      <w:r>
        <w:rPr>
          <w:noProof/>
        </w:rPr>
        <w:t>c)</w:t>
      </w:r>
      <w:r>
        <w:rPr>
          <w:noProof/>
        </w:rPr>
        <w:tab/>
        <w:t xml:space="preserve">finansinės sąskaitos, į kurią mokamas arba įskaitomas atlygis, turėtojo vardą ir pavardę arba pavadinimą, jei jis skiriasi nuo praneštino pardavėjo vardo ir pavardės arba pavadinimo, ir šią informaciją turi duomenis teikiantis platformos operatorius, taip pat visą kitą duomenis teikiančio platformos operatoriaus turimą su šiuo sąskaitos turėtoju susijusią finansinę identifikavimo informaciją; </w:t>
      </w:r>
    </w:p>
    <w:p>
      <w:pPr>
        <w:pStyle w:val="Point1"/>
        <w:rPr>
          <w:noProof/>
        </w:rPr>
      </w:pPr>
      <w:r>
        <w:rPr>
          <w:noProof/>
        </w:rPr>
        <w:t>d)</w:t>
      </w:r>
      <w:r>
        <w:rPr>
          <w:noProof/>
        </w:rPr>
        <w:tab/>
        <w:t xml:space="preserve">kiekvieną valstybę narę, kurioje praneštinas pardavėjas yra rezidentas šios direktyvos tikslais pagal I skirsnio B poskirsnio 3 dalį; </w:t>
      </w:r>
    </w:p>
    <w:p>
      <w:pPr>
        <w:pStyle w:val="Point1"/>
        <w:rPr>
          <w:noProof/>
        </w:rPr>
      </w:pPr>
      <w:r>
        <w:rPr>
          <w:noProof/>
        </w:rPr>
        <w:t>e)</w:t>
      </w:r>
      <w:r>
        <w:rPr>
          <w:noProof/>
        </w:rPr>
        <w:tab/>
        <w:t xml:space="preserve">kiekvieno į sąrašą įtraukto turto, nustatyto laikantis II skirsnio E poskirsnyje nustatytų procedūrų, adresą ir atitinkamą žemės registracijos numerį, jeigu yra; </w:t>
      </w:r>
    </w:p>
    <w:p>
      <w:pPr>
        <w:pStyle w:val="Point1"/>
        <w:rPr>
          <w:noProof/>
        </w:rPr>
      </w:pPr>
      <w:r>
        <w:rPr>
          <w:noProof/>
        </w:rPr>
        <w:t>f)</w:t>
      </w:r>
      <w:r>
        <w:rPr>
          <w:noProof/>
        </w:rPr>
        <w:tab/>
        <w:t>visą per kiekvieną ataskaitinio laikotarpio ketvirtį sumokėtą arba įskaitytą atlygį;</w:t>
      </w:r>
    </w:p>
    <w:p>
      <w:pPr>
        <w:pStyle w:val="Point1"/>
        <w:rPr>
          <w:noProof/>
        </w:rPr>
      </w:pPr>
      <w:r>
        <w:rPr>
          <w:noProof/>
        </w:rPr>
        <w:t>g)</w:t>
      </w:r>
      <w:r>
        <w:rPr>
          <w:noProof/>
        </w:rPr>
        <w:tab/>
        <w:t>visus per kiekvieną ataskaitinio laikotarpio ketvirtį duomenis teikiančio platformos operatoriaus sulaikytus arba paimtus mokesčius arba komisinius;</w:t>
      </w:r>
    </w:p>
    <w:p>
      <w:pPr>
        <w:pStyle w:val="Point1"/>
        <w:rPr>
          <w:noProof/>
        </w:rPr>
      </w:pPr>
      <w:r>
        <w:rPr>
          <w:noProof/>
        </w:rPr>
        <w:t>h)</w:t>
      </w:r>
      <w:r>
        <w:rPr>
          <w:noProof/>
        </w:rPr>
        <w:tab/>
        <w:t>dienų, kuriomis į sąrašą įtrauktas turtas buvo nuomotas ataskaitiniu laikotarpiu, skaičių, jei ši informacija turima, ir kiekvieno į sąrašą įtraukto turto rūšis.</w:t>
      </w:r>
    </w:p>
    <w:p>
      <w:pPr>
        <w:spacing w:before="0" w:after="0"/>
        <w:rPr>
          <w:noProof/>
        </w:rPr>
      </w:pPr>
    </w:p>
    <w:p>
      <w:pPr>
        <w:pStyle w:val="SectionTitle"/>
        <w:rPr>
          <w:b w:val="0"/>
          <w:noProof/>
        </w:rPr>
      </w:pPr>
      <w:r>
        <w:rPr>
          <w:b w:val="0"/>
          <w:noProof/>
        </w:rPr>
        <w:t>IV SKIRSNIS</w:t>
      </w:r>
      <w:r>
        <w:rPr>
          <w:noProof/>
        </w:rPr>
        <w:t xml:space="preserve"> </w:t>
      </w:r>
      <w:r>
        <w:rPr>
          <w:noProof/>
        </w:rPr>
        <w:br/>
        <w:t xml:space="preserve"> </w:t>
      </w:r>
      <w:r>
        <w:rPr>
          <w:noProof/>
        </w:rPr>
        <w:br/>
        <w:t xml:space="preserve">VEIKSMINGAS ĮGYVENDINIMAS </w:t>
      </w:r>
    </w:p>
    <w:p>
      <w:pPr>
        <w:spacing w:before="0" w:after="0"/>
        <w:rPr>
          <w:noProof/>
        </w:rPr>
      </w:pPr>
      <w:r>
        <w:rPr>
          <w:noProof/>
        </w:rPr>
        <w:t>Pagal 8ac straipsnį valstybės taiko taisykles ir administracines procedūras, siekdamos užtikrinti veiksmingą šio priedo II ir III skirsniuose nustatytų išsamaus patikrinimo ir duomenų teikimo prievolių įgyvendinimą ir vykdymą.</w:t>
      </w:r>
    </w:p>
    <w:p>
      <w:pPr>
        <w:spacing w:before="0" w:after="0"/>
        <w:rPr>
          <w:noProof/>
          <w:highlight w:val="yellow"/>
        </w:rPr>
      </w:pPr>
    </w:p>
    <w:p>
      <w:pPr>
        <w:spacing w:before="0" w:after="0"/>
        <w:rPr>
          <w:noProof/>
        </w:rPr>
      </w:pPr>
      <w:r>
        <w:rPr>
          <w:noProof/>
        </w:rPr>
        <w:t>A. II skirsnyje nustatytų duomenų rinkimo ir tikrinimo reikalavimų vykdymo taisyklės</w:t>
      </w:r>
    </w:p>
    <w:p>
      <w:pPr>
        <w:pStyle w:val="NumPar1"/>
        <w:numPr>
          <w:ilvl w:val="0"/>
          <w:numId w:val="21"/>
        </w:numPr>
        <w:rPr>
          <w:noProof/>
        </w:rPr>
      </w:pPr>
      <w:r>
        <w:rPr>
          <w:noProof/>
        </w:rPr>
        <w:t xml:space="preserve">Valstybės narės imasi būtinų priemonių, kuriomis reikalaujama, kad duomenis teikiantys platformų operatoriai užtikrintų su jų praneštinais pardavėjais susijusių II skirsnyje nustatytų duomenų rinkimo ir tikrinimo reikalavimų vykdymą. </w:t>
      </w:r>
    </w:p>
    <w:p>
      <w:pPr>
        <w:pStyle w:val="NumPar1"/>
        <w:rPr>
          <w:noProof/>
        </w:rPr>
      </w:pPr>
      <w:r>
        <w:rPr>
          <w:noProof/>
        </w:rPr>
        <w:t xml:space="preserve">Jei praneštinas pardavėjas nepateikia pagal II skirsnį reikalaujamos informacijos gavęs du priminimus po pirminio duomenis teikiančio platformos operatoriaus prašymo, duomenis teikiantis platformos operatorius uždaro pardavėjo paskyrą ir neleidžia pardavėjui iš naujo užsiregistruoti platformoje šešis mėnesius arba sulaiko pardavėjui skirtą atlygio mokėjimą. </w:t>
      </w:r>
    </w:p>
    <w:p>
      <w:pPr>
        <w:spacing w:before="0" w:after="0"/>
        <w:rPr>
          <w:noProof/>
        </w:rPr>
      </w:pPr>
    </w:p>
    <w:p>
      <w:pPr>
        <w:spacing w:before="0" w:after="0"/>
        <w:rPr>
          <w:noProof/>
        </w:rPr>
      </w:pPr>
      <w:r>
        <w:rPr>
          <w:noProof/>
        </w:rPr>
        <w:t>B. Taisyklės, kuriomis reikalaujama, kad duomenis teikiantys platformų operatoriai registruotų veiksmus, kurių imtasi, ir visą informaciją, kuria remiamasi vykdant išsamaus patikrinimo procedūras ir duomenų teikimo reikalavimus, taip pat tinkamas priemones tokiems duomenims gauti</w:t>
      </w:r>
    </w:p>
    <w:p>
      <w:pPr>
        <w:spacing w:before="0" w:after="0"/>
        <w:rPr>
          <w:noProof/>
        </w:rPr>
      </w:pPr>
    </w:p>
    <w:p>
      <w:pPr>
        <w:pStyle w:val="NumPar1"/>
        <w:numPr>
          <w:ilvl w:val="0"/>
          <w:numId w:val="19"/>
        </w:numPr>
        <w:rPr>
          <w:noProof/>
        </w:rPr>
      </w:pPr>
      <w:r>
        <w:rPr>
          <w:noProof/>
        </w:rPr>
        <w:t xml:space="preserve">Valstybės narės imasi būtinų priemonių, kuriomis reikalaujama, kad duomenis teikiantys platformų operatoriai registruotų veiksmus, kurių imtasi, ir visą informaciją, kuria remiamasi vykdant II ir III skirsniuose išdėstytas išsamaus patikrinimo procedūras ir duomenų teikimo reikalavimus. Su šiais įrašais turi būti galima susipažinti pakankamai ilgą laikotarpį, kuris bet kuriuo atveju turi būti ne trumpesnis nei 5 ir ne ilgesnis kaip 7 metai nuo ataskaitinio laikotarpio, su kuriuo jie susiję, pabaigos. </w:t>
      </w:r>
    </w:p>
    <w:p>
      <w:pPr>
        <w:pStyle w:val="NumPar1"/>
        <w:rPr>
          <w:noProof/>
        </w:rPr>
      </w:pPr>
      <w:r>
        <w:rPr>
          <w:noProof/>
        </w:rPr>
        <w:t>Valstybės narės imasi būtinų priemonių, įskaitant galimybę pateikti duomenis teikiantiems platformos operatoriams duomenų pateikimo nurodymą, siekdamos užtikrinti, kad kompetentingai institucijai būtų pateikiama visa reikiama informacija ir ši institucija galėtų įvykdyti prievolę pateikti informaciją pagal 8ac straipsnio 2 dalį.</w:t>
      </w:r>
    </w:p>
    <w:p>
      <w:pPr>
        <w:spacing w:before="0" w:after="0"/>
        <w:rPr>
          <w:noProof/>
        </w:rPr>
      </w:pPr>
    </w:p>
    <w:p>
      <w:pPr>
        <w:rPr>
          <w:noProof/>
        </w:rPr>
      </w:pPr>
      <w:r>
        <w:rPr>
          <w:noProof/>
        </w:rPr>
        <w:t>C. Administracinės procedūros siekiant patikrinti, ar duomenis teikiantys platformos operatoriai laikosi išsamaus patikrinimo procedūrų ir duomenų teikimo reikalavimų</w:t>
      </w:r>
    </w:p>
    <w:p>
      <w:pPr>
        <w:rPr>
          <w:noProof/>
        </w:rPr>
      </w:pPr>
      <w:r>
        <w:rPr>
          <w:noProof/>
        </w:rPr>
        <w:t xml:space="preserve">Valstybės narės nustato administracines procedūras, kurias taikant būtų galima tikrinti, ar duomenis teikiantys platformų operatoriai laikosi II ir III skirsniuose nustatytų išsamaus patikrinimo procedūrų ir duomenų teikimo reikalavimų. </w:t>
      </w:r>
    </w:p>
    <w:p>
      <w:pPr>
        <w:rPr>
          <w:noProof/>
        </w:rPr>
      </w:pPr>
    </w:p>
    <w:p>
      <w:pPr>
        <w:rPr>
          <w:noProof/>
        </w:rPr>
      </w:pPr>
      <w:r>
        <w:rPr>
          <w:noProof/>
        </w:rPr>
        <w:t>D. Administracinės procedūros dėl tolesnių veiksmų, taikytinų tuo atveju, kai duomenis teikiantis platformos operatorius pateikia neišsamią arba netikslią informaciją</w:t>
      </w:r>
    </w:p>
    <w:p>
      <w:pPr>
        <w:rPr>
          <w:noProof/>
        </w:rPr>
      </w:pPr>
      <w:r>
        <w:rPr>
          <w:noProof/>
        </w:rPr>
        <w:t xml:space="preserve">Valstybės narės nustato procedūras dėl tolesnių veiksmų, taikytinų tuo atveju, kai duomenis teikiančių platformų operatorių pateikta informacija yra neišsami arba netiksli. </w:t>
      </w:r>
    </w:p>
    <w:p>
      <w:pPr>
        <w:rPr>
          <w:noProof/>
        </w:rPr>
      </w:pPr>
    </w:p>
    <w:p>
      <w:pPr>
        <w:rPr>
          <w:noProof/>
        </w:rPr>
      </w:pPr>
      <w:r>
        <w:rPr>
          <w:noProof/>
        </w:rPr>
        <w:t xml:space="preserve">E. Administracinė procedūra dėl vienos valstybės narės pasirinkimo duomenims teikti </w:t>
      </w:r>
    </w:p>
    <w:p>
      <w:pPr>
        <w:pStyle w:val="NormalLeft"/>
        <w:jc w:val="both"/>
        <w:rPr>
          <w:noProof/>
        </w:rPr>
      </w:pPr>
      <w:r>
        <w:rPr>
          <w:noProof/>
        </w:rPr>
        <w:t>Jei duomenis teikiantis platformos operatorius pagal I skirsnio A poskirsnio 3 dalies a punktą atitinka kurią nors iš šiame punkte išvardytų sąlygų daugiau nei vienoje valstybėje narėje, jis III skirsnyje nurodytiems duomenų teikimo reikalavimams vykdyti pasirenka vieną iš šių valstybių narių. Duomenis teikiantis platformos operatorius apie savo pasirinkimą informuoja visas šių valstybių narių kompetentingas institucijas.</w:t>
      </w:r>
    </w:p>
    <w:p>
      <w:pPr>
        <w:rPr>
          <w:noProof/>
        </w:rPr>
      </w:pPr>
    </w:p>
    <w:p>
      <w:pPr>
        <w:spacing w:before="0" w:after="0"/>
        <w:rPr>
          <w:noProof/>
        </w:rPr>
      </w:pPr>
      <w:r>
        <w:rPr>
          <w:noProof/>
        </w:rPr>
        <w:t>F. Administracinė procedūra dėl vienos duomenis teikiančio platformos operatoriaus registracijos</w:t>
      </w:r>
    </w:p>
    <w:p>
      <w:pPr>
        <w:pStyle w:val="NumPar1"/>
        <w:numPr>
          <w:ilvl w:val="0"/>
          <w:numId w:val="22"/>
        </w:numPr>
        <w:rPr>
          <w:noProof/>
        </w:rPr>
      </w:pPr>
      <w:r>
        <w:rPr>
          <w:noProof/>
        </w:rPr>
        <w:t>Pradėdamas platformos operatoriaus veiklą I skirsnio A poskirsnio 3 dalies b punkte apibrėžtas duomenis teikiantis operatorius pagal 8ac straipsnio 4 dalį užsiregistruoja kurios nors valstybės narės kompetentingoje institucijoje. Jei šis duomenis teikiantis platformos operatorius pagal Tarybos direktyvos 2006/112/EB</w:t>
      </w:r>
      <w:r>
        <w:rPr>
          <w:rStyle w:val="FootnoteReference"/>
          <w:noProof/>
        </w:rPr>
        <w:footnoteReference w:id="1"/>
      </w:r>
      <w:r>
        <w:rPr>
          <w:noProof/>
        </w:rPr>
        <w:t xml:space="preserve"> 358a ir tolesniuose straipsniuose arba šios direktyvos 369a ir tolesniuose straipsniuose nurodytą specialią sistemą jau yra įregistruotas PVM mokėtoju Sąjungoje, jis nesiregistruoja jokioje kitoje valstybėje narėje.</w:t>
      </w:r>
    </w:p>
    <w:p>
      <w:pPr>
        <w:pStyle w:val="NumPar1"/>
        <w:numPr>
          <w:ilvl w:val="0"/>
          <w:numId w:val="22"/>
        </w:numPr>
        <w:rPr>
          <w:noProof/>
        </w:rPr>
      </w:pPr>
      <w:r>
        <w:rPr>
          <w:noProof/>
        </w:rPr>
        <w:t xml:space="preserve">Duomenis teikiantis platformos operatorius savo vienos registracijos valstybei narei pateikia apie save šią informaciją: </w:t>
      </w:r>
    </w:p>
    <w:p>
      <w:pPr>
        <w:pStyle w:val="Point1letter"/>
        <w:numPr>
          <w:ilvl w:val="3"/>
          <w:numId w:val="23"/>
        </w:numPr>
        <w:rPr>
          <w:noProof/>
        </w:rPr>
      </w:pPr>
      <w:bookmarkStart w:id="29" w:name="DQCNUMB_29"/>
      <w:bookmarkEnd w:id="29"/>
      <w:r>
        <w:rPr>
          <w:noProof/>
        </w:rPr>
        <w:t>pavadinimą;</w:t>
      </w:r>
    </w:p>
    <w:p>
      <w:pPr>
        <w:pStyle w:val="Point1letter"/>
        <w:rPr>
          <w:noProof/>
        </w:rPr>
      </w:pPr>
      <w:bookmarkStart w:id="30" w:name="DQCNUMB_30"/>
      <w:bookmarkEnd w:id="30"/>
      <w:r>
        <w:rPr>
          <w:noProof/>
        </w:rPr>
        <w:t>pašto adresą;</w:t>
      </w:r>
    </w:p>
    <w:p>
      <w:pPr>
        <w:pStyle w:val="Point1letter"/>
        <w:rPr>
          <w:noProof/>
        </w:rPr>
      </w:pPr>
      <w:bookmarkStart w:id="31" w:name="DQCNUMB_31"/>
      <w:bookmarkEnd w:id="31"/>
      <w:r>
        <w:rPr>
          <w:noProof/>
        </w:rPr>
        <w:t xml:space="preserve">elektroninius adresus, įskaitant svetaines; </w:t>
      </w:r>
    </w:p>
    <w:p>
      <w:pPr>
        <w:pStyle w:val="Point1letter"/>
        <w:rPr>
          <w:noProof/>
        </w:rPr>
      </w:pPr>
      <w:bookmarkStart w:id="32" w:name="DQCNUMB_32"/>
      <w:bookmarkEnd w:id="32"/>
      <w:r>
        <w:rPr>
          <w:noProof/>
        </w:rPr>
        <w:t xml:space="preserve">visus duomenis teikiančiam platformos operatoriui suteiktus MMIN; </w:t>
      </w:r>
    </w:p>
    <w:p>
      <w:pPr>
        <w:pStyle w:val="Point1letter"/>
        <w:rPr>
          <w:noProof/>
        </w:rPr>
      </w:pPr>
      <w:bookmarkStart w:id="33" w:name="DQCNUMB_33"/>
      <w:bookmarkEnd w:id="33"/>
      <w:r>
        <w:rPr>
          <w:noProof/>
        </w:rPr>
        <w:t>pareiškimą, kad platforma Sąjungoje dar nėra įregistruota kaip PVM mokėtoja.</w:t>
      </w:r>
    </w:p>
    <w:p>
      <w:pPr>
        <w:pStyle w:val="NumPar1"/>
        <w:rPr>
          <w:noProof/>
        </w:rPr>
      </w:pPr>
      <w:r>
        <w:rPr>
          <w:noProof/>
        </w:rPr>
        <w:t xml:space="preserve">Duomenis teikiantis operatorius informuoja vienos registracijos valstybę narę apie visus pagal F poskirsnio 2 dalį pateiktos informacijos pasikeitimus. </w:t>
      </w:r>
    </w:p>
    <w:p>
      <w:pPr>
        <w:pStyle w:val="NumPar1"/>
        <w:rPr>
          <w:noProof/>
        </w:rPr>
      </w:pPr>
      <w:r>
        <w:rPr>
          <w:noProof/>
        </w:rPr>
        <w:t>Vienos registracijos valstybė narė suteikia duomenis teikiančiam platformos operatoriui individualų identifikavimo numerį ir praneša jį elektroninėmis priemonėmis.</w:t>
      </w:r>
    </w:p>
    <w:p>
      <w:pPr>
        <w:pStyle w:val="NumPar1"/>
        <w:rPr>
          <w:noProof/>
        </w:rPr>
      </w:pPr>
      <w:r>
        <w:rPr>
          <w:noProof/>
        </w:rPr>
        <w:t xml:space="preserve">Vienos registracijos valstybė narė pašalina duomenis teikiantį platformos operatorių iš registro šiais atvejais: </w:t>
      </w:r>
    </w:p>
    <w:p>
      <w:pPr>
        <w:pStyle w:val="Point1letter"/>
        <w:numPr>
          <w:ilvl w:val="3"/>
          <w:numId w:val="24"/>
        </w:numPr>
        <w:rPr>
          <w:noProof/>
        </w:rPr>
      </w:pPr>
      <w:bookmarkStart w:id="34" w:name="DQCNUMB_34"/>
      <w:bookmarkEnd w:id="34"/>
      <w:r>
        <w:rPr>
          <w:noProof/>
        </w:rPr>
        <w:t>platformos operatorius šiai valstybei narei praneša apie tai, kad nebevykdo veiklos kaip platformos operatorius;</w:t>
      </w:r>
    </w:p>
    <w:p>
      <w:pPr>
        <w:pStyle w:val="Point1letter"/>
        <w:rPr>
          <w:noProof/>
        </w:rPr>
      </w:pPr>
      <w:bookmarkStart w:id="35" w:name="DQCNUMB_35"/>
      <w:bookmarkEnd w:id="35"/>
      <w:r>
        <w:rPr>
          <w:noProof/>
        </w:rPr>
        <w:t>jei nepateiktas pranešimas pagal a punktą, yra priežasčių manyti, kad platformos operatoriaus veikla nebevykdoma;</w:t>
      </w:r>
    </w:p>
    <w:p>
      <w:pPr>
        <w:pStyle w:val="Point1letter"/>
        <w:rPr>
          <w:noProof/>
        </w:rPr>
      </w:pPr>
      <w:bookmarkStart w:id="36" w:name="DQCNUMB_36"/>
      <w:bookmarkEnd w:id="36"/>
      <w:r>
        <w:rPr>
          <w:noProof/>
        </w:rPr>
        <w:t>platformos operatorius nebeatitinka I skirsnio A poskirsnio 3 dalies b punkte nustatytų sąlygų.“</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2006 m. lapkričio 28 d. Tarybos direktyva 2006/112/EB dėl pridėtinės vertės mokesčio bendros sistemos (OL L 347, 2006 12 11,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69EC1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0A6D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66FEB6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AC891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F4854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245F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464A56"/>
    <w:lvl w:ilvl="0">
      <w:start w:val="1"/>
      <w:numFmt w:val="decimal"/>
      <w:pStyle w:val="ListNumber"/>
      <w:lvlText w:val="%1."/>
      <w:lvlJc w:val="left"/>
      <w:pPr>
        <w:tabs>
          <w:tab w:val="num" w:pos="360"/>
        </w:tabs>
        <w:ind w:left="360" w:hanging="360"/>
      </w:pPr>
    </w:lvl>
  </w:abstractNum>
  <w:abstractNum w:abstractNumId="7">
    <w:nsid w:val="FFFFFF89"/>
    <w:multiLevelType w:val="singleLevel"/>
    <w:tmpl w:val="F69EA7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A1521B"/>
    <w:multiLevelType w:val="hybridMultilevel"/>
    <w:tmpl w:val="AE686084"/>
    <w:lvl w:ilvl="0" w:tplc="FBB88AFA">
      <w:start w:val="1"/>
      <w:numFmt w:val="decimal"/>
      <w:pStyle w:val="Para"/>
      <w:lvlText w:val="%1."/>
      <w:lvlJc w:val="left"/>
      <w:pPr>
        <w:tabs>
          <w:tab w:val="num" w:pos="720"/>
        </w:tabs>
        <w:ind w:left="0" w:firstLine="0"/>
      </w:pPr>
      <w:rPr>
        <w:rFonts w:hint="default"/>
        <w:b w:val="0"/>
        <w:i w:val="0"/>
      </w:rPr>
    </w:lvl>
    <w:lvl w:ilvl="1" w:tplc="08090019">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3"/>
  </w:num>
  <w:num w:numId="34">
    <w:abstractNumId w:val="21"/>
  </w:num>
  <w:num w:numId="35">
    <w:abstractNumId w:val="12"/>
  </w:num>
  <w:num w:numId="36">
    <w:abstractNumId w:val="14"/>
  </w:num>
  <w:num w:numId="37">
    <w:abstractNumId w:val="9"/>
  </w:num>
  <w:num w:numId="38">
    <w:abstractNumId w:val="20"/>
  </w:num>
  <w:num w:numId="39">
    <w:abstractNumId w:val="8"/>
  </w:num>
  <w:num w:numId="40">
    <w:abstractNumId w:val="15"/>
  </w:num>
  <w:num w:numId="41">
    <w:abstractNumId w:val="17"/>
  </w:num>
  <w:num w:numId="42">
    <w:abstractNumId w:val="18"/>
  </w:num>
  <w:num w:numId="43">
    <w:abstractNumId w:val="11"/>
  </w:num>
  <w:num w:numId="44">
    <w:abstractNumId w:val="16"/>
  </w:num>
  <w:num w:numId="45">
    <w:abstractNumId w:val="22"/>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22 16:23:36"/>
    <w:docVar w:name="DQCNUMB_1" w:val="14"/>
    <w:docVar w:name="DQCNUMB_10" w:val="29"/>
    <w:docVar w:name="DQCNUMB_11" w:val="39"/>
    <w:docVar w:name="DQCNUMB_12" w:val="40"/>
    <w:docVar w:name="DQCNUMB_13" w:val="41"/>
    <w:docVar w:name="DQCNUMB_14" w:val="62"/>
    <w:docVar w:name="DQCNUMB_15" w:val="63"/>
    <w:docVar w:name="DQCNUMB_16" w:val="64"/>
    <w:docVar w:name="DQCNUMB_17" w:val="65"/>
    <w:docVar w:name="DQCNUMB_18" w:val="66"/>
    <w:docVar w:name="DQCNUMB_19" w:val="68"/>
    <w:docVar w:name="DQCNUMB_2" w:val="15"/>
    <w:docVar w:name="DQCNUMB_20" w:val="69"/>
    <w:docVar w:name="DQCNUMB_21" w:val="70"/>
    <w:docVar w:name="DQCNUMB_22" w:val="71"/>
    <w:docVar w:name="DQCNUMB_23" w:val="72"/>
    <w:docVar w:name="DQCNUMB_24" w:val="73"/>
    <w:docVar w:name="DQCNUMB_25" w:val="76"/>
    <w:docVar w:name="DQCNUMB_26" w:val="77"/>
    <w:docVar w:name="DQCNUMB_27" w:val="97"/>
    <w:docVar w:name="DQCNUMB_28" w:val="98"/>
    <w:docVar w:name="DQCNUMB_29" w:val="159"/>
    <w:docVar w:name="DQCNUMB_3" w:val="16"/>
    <w:docVar w:name="DQCNUMB_30" w:val="160"/>
    <w:docVar w:name="DQCNUMB_31" w:val="161"/>
    <w:docVar w:name="DQCNUMB_32" w:val="162"/>
    <w:docVar w:name="DQCNUMB_33" w:val="163"/>
    <w:docVar w:name="DQCNUMB_34" w:val="167"/>
    <w:docVar w:name="DQCNUMB_35" w:val="168"/>
    <w:docVar w:name="DQCNUMB_36" w:val="169"/>
    <w:docVar w:name="DQCNUMB_4" w:val="19"/>
    <w:docVar w:name="DQCNUMB_5" w:val="23"/>
    <w:docVar w:name="DQCNUMB_6" w:val="25"/>
    <w:docVar w:name="DQCNUMB_7" w:val="26"/>
    <w:docVar w:name="DQCNUMB_8" w:val="27"/>
    <w:docVar w:name="DQCNUMB_9" w:val="28"/>
    <w:docVar w:name="DQCRepairStyles" w:val=";Point 1 (letter);"/>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0"/>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90FB460B-D292-42B5-9B71-CCB4F01EDB30"/>
    <w:docVar w:name="LW_COVERPAGE_TYPE" w:val="1"/>
    <w:docVar w:name="LW_CROSSREFERENCE" w:val="{SEC(2020) 271 final} - {SWD(2020) 129 final} - {SWD(2020) 130 final} - {SWD(2020) 131 final}"/>
    <w:docVar w:name="LW_DocType" w:val="ANNEX"/>
    <w:docVar w:name="LW_EMISSION" w:val="2020 07 15"/>
    <w:docVar w:name="LW_EMISSION_ISODATE" w:val="2020-07-15"/>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kuria i\u353? dalies kei\u269?iama Direktyva 2011/16/ES d\u279?l administracinio bendradarbiavimo apmokestinimo srityje "/>
    <w:docVar w:name="LW_OBJETACTEPRINCIPAL.CP" w:val="kuria i\u353? dalies kei\u269?iama Direktyva 2011/16/ES d\u279?l administracinio bendradarbiavimo apmokestinimo srityje "/>
    <w:docVar w:name="LW_PART_NBR" w:val="1"/>
    <w:docVar w:name="LW_PART_NBR_TOTAL" w:val="1"/>
    <w:docVar w:name="LW_REF.INST.NEW" w:val="COM"/>
    <w:docVar w:name="LW_REF.INST.NEW_ADOPTED" w:val="final"/>
    <w:docVar w:name="LW_REF.INST.NEW_TEXT" w:val="(2020) 3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EDAS"/>
    <w:docVar w:name="LW_TYPE.DOC.CP" w:val="PRIEDAS"/>
    <w:docVar w:name="LW_TYPEACTEPRINCIPAL" w:val="Pasi\u363?lymo d\u279?l Tarybos direktyvos"/>
    <w:docVar w:name="LW_TYPEACTEPRINCIPAL.CP" w:val="Pasi\u363?lymo d\u279?l Tarybos direktyvo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Para">
    <w:name w:val="Para #"/>
    <w:basedOn w:val="Normal"/>
    <w:link w:val="ParaChar"/>
    <w:uiPriority w:val="4"/>
    <w:qFormat/>
    <w:pPr>
      <w:numPr>
        <w:numId w:val="18"/>
      </w:numPr>
      <w:spacing w:line="260" w:lineRule="atLeast"/>
    </w:pPr>
    <w:rPr>
      <w:rFonts w:asciiTheme="minorHAnsi" w:hAnsiTheme="minorHAnsi" w:cstheme="minorBidi"/>
      <w:sz w:val="20"/>
    </w:rPr>
  </w:style>
  <w:style w:type="character" w:customStyle="1" w:styleId="ParaChar">
    <w:name w:val="Para # Char"/>
    <w:basedOn w:val="DefaultParagraphFont"/>
    <w:link w:val="Para"/>
    <w:uiPriority w:val="4"/>
    <w:rPr>
      <w:sz w:val="20"/>
      <w:lang w:val="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Para">
    <w:name w:val="Para #"/>
    <w:basedOn w:val="Normal"/>
    <w:link w:val="ParaChar"/>
    <w:uiPriority w:val="4"/>
    <w:qFormat/>
    <w:pPr>
      <w:numPr>
        <w:numId w:val="18"/>
      </w:numPr>
      <w:spacing w:line="260" w:lineRule="atLeast"/>
    </w:pPr>
    <w:rPr>
      <w:rFonts w:asciiTheme="minorHAnsi" w:hAnsiTheme="minorHAnsi" w:cstheme="minorBidi"/>
      <w:sz w:val="20"/>
    </w:rPr>
  </w:style>
  <w:style w:type="character" w:customStyle="1" w:styleId="ParaChar">
    <w:name w:val="Para # Char"/>
    <w:basedOn w:val="DefaultParagraphFont"/>
    <w:link w:val="Para"/>
    <w:uiPriority w:val="4"/>
    <w:rPr>
      <w:sz w:val="20"/>
      <w:lang w:val="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11</Pages>
  <Words>2937</Words>
  <Characters>20563</Characters>
  <Application>Microsoft Office Word</Application>
  <DocSecurity>0</DocSecurity>
  <Lines>387</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QUADRI Eva (TAXUD)</dc:creator>
  <cp:keywords/>
  <dc:description/>
  <cp:lastModifiedBy>DIGIT/C6</cp:lastModifiedBy>
  <cp:revision>12</cp:revision>
  <cp:lastPrinted>2020-07-10T14:28:00Z</cp:lastPrinted>
  <dcterms:created xsi:type="dcterms:W3CDTF">2020-07-17T13:12:00Z</dcterms:created>
  <dcterms:modified xsi:type="dcterms:W3CDTF">2020-07-22T14:23:00Z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