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6C36B8-AC73-40D0-A443-356EC84939DD" style="width:450.45pt;height:36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r>
        <w:rPr>
          <w:noProof/>
        </w:rPr>
        <w:t>V skladu s členom 395(1) Direktive 2006/112/ES z dne 28. novembra 2006 o skupnem sistemu davka na dodano vrednost (v nadaljnjem besedilu: direktiva o DDV)</w:t>
      </w:r>
      <w:r>
        <w:rPr>
          <w:rStyle w:val="FootnoteReference"/>
          <w:noProof/>
        </w:rPr>
        <w:footnoteReference w:id="2"/>
      </w:r>
      <w:r>
        <w:rPr>
          <w:noProof/>
        </w:rPr>
        <w:t xml:space="preserve"> lahko Svet na predlog Komisije soglasno dovoli kateri koli državi članici, da uvede posebne ukrepe, ki odstopajo od določb navedene direktive, za poenostavitev postopka obračunavanja DDV ali za preprečevanje nekaterih vrst davčnih utaj ali izogibanja davkom.</w:t>
      </w:r>
    </w:p>
    <w:p>
      <w:pPr>
        <w:rPr>
          <w:noProof/>
        </w:rPr>
      </w:pPr>
      <w:r>
        <w:rPr>
          <w:noProof/>
        </w:rPr>
        <w:t>Z dopisom, ki ga je Komisija evidentirala 13. marca 2020, je Romunija zahtevala podaljšanje odstopanja od člena 168 direktive o DDV, in sicer da se ohrani omejitev pravice do odbitka vstopnega DDV na izdatke, povezane z motornimi vozili. V skladu s členom 395(2) direktive o DDV je Komisija z dopisom z dne 2. aprila 2020 o zahtevi Romunije obvestila druge države članice. Z dopisom z dne 3. aprila 2020 je Komisija uradno obvestila Romunijo, da ima vse informacije, potrebne za presojo zahteve.</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 xml:space="preserve">Člen 168 direktive o DDV določa, da ima davčni zavezanec pravico do odbitka DDV, obračunanega pri nakupih, opravljenih za namen obdavčenih transakcij. Člen 26(1)(a) iste direktive zahteva, da se uporaba blaga, ki je del poslovnih sredstev podjetja, za zasebno rabo šteje kot opravljanje storitev za plačilo, če je bilo blago upravičeno do odbitka DDV. Ta sistem omogoča izterjavo prvotno odbitega DDV v zvezi z zasebno rabo. </w:t>
      </w:r>
    </w:p>
    <w:p>
      <w:pPr>
        <w:rPr>
          <w:noProof/>
        </w:rPr>
      </w:pPr>
      <w:r>
        <w:rPr>
          <w:noProof/>
        </w:rPr>
        <w:t xml:space="preserve">Pri uporabi tega sistema se pojavijo težave v primeru osebnih avtomobilov, saj je težko določiti mejo med zasebno in poslovno rabo. Kadar se vodijo evidence, sta podjetje in uprava dodatno obremenjena z vodenjem in preverjanjem teh evidenc. </w:t>
      </w:r>
    </w:p>
    <w:p>
      <w:pPr>
        <w:rPr>
          <w:noProof/>
        </w:rPr>
      </w:pPr>
      <w:r>
        <w:rPr>
          <w:noProof/>
        </w:rPr>
        <w:t>V skladu z Izvedbenim sklepom Sveta 2012/232/EU</w:t>
      </w:r>
      <w:r>
        <w:rPr>
          <w:rStyle w:val="FootnoteReference"/>
          <w:noProof/>
        </w:rPr>
        <w:footnoteReference w:id="3"/>
      </w:r>
      <w:r>
        <w:rPr>
          <w:noProof/>
        </w:rPr>
        <w:t xml:space="preserve"> je Romuniji trenutno dovoljeno, da pravico do odbitka DDV, ki se plača na nakup, nakup znotraj Skupnosti, uvoz, najem ali zakup cestnih motornih vozil in izdatke, vezane na taka vozila, omeji na 50 %. Nekatere kategorije vozil so bile iz te omejitve posebej izključene, kot so vozila, ki se uporabljajo izključno za intervencijske storitve, varnost in kurirske storitve, vozila prodajnih zastopnikov in taksiji, vozila, ki jih avtošole uporabljajo za učenje, vozila, ki se uporabljajo za najem ali zakup ali kot blago za namene trgovanja. Istočasno podjetjem za zasebno rabo vozila ni treba obračunavati davka. Z Izvedbenim sklepom Sveta (EU) 2015/156</w:t>
      </w:r>
      <w:r>
        <w:rPr>
          <w:rStyle w:val="FootnoteReference"/>
          <w:noProof/>
        </w:rPr>
        <w:footnoteReference w:id="4"/>
      </w:r>
      <w:r>
        <w:rPr>
          <w:noProof/>
        </w:rPr>
        <w:t xml:space="preserve"> je bila Romuniji odobrena nadaljnja uporaba posebnega ukrepa do 31. decembra 2017. Obdobje veljavnosti tega sklepa je bilo z Izvedbenim sklepom Sveta (EU) 2017/2012 z dne 7. novembra 2017</w:t>
      </w:r>
      <w:r>
        <w:rPr>
          <w:rStyle w:val="FootnoteReference"/>
          <w:noProof/>
        </w:rPr>
        <w:footnoteReference w:id="5"/>
      </w:r>
      <w:r>
        <w:rPr>
          <w:noProof/>
        </w:rPr>
        <w:t xml:space="preserve"> podaljšano do 31. decembra 2020. </w:t>
      </w:r>
    </w:p>
    <w:p>
      <w:pPr>
        <w:rPr>
          <w:noProof/>
        </w:rPr>
      </w:pPr>
      <w:r>
        <w:rPr>
          <w:noProof/>
        </w:rPr>
        <w:lastRenderedPageBreak/>
        <w:t>Romunija je zahtevala podaljšanje dovoljenja, da omeji začetni odbitek na določen odstotek in tako podjetja razbremeni obračunavanja davka na zasebno rabo. Komisijo je obvestila, da so razlogi za podaljšanje ukrepa večinoma isti, kot so bili opisani v prvotni zahtevi. V skladu s členom 4(2) Izvedbenega sklepa Sveta 2012/232/EU je predložila poročilo o omejitvi odbitka, ki ga uporablja. Navaja, da ukrep izpolnjuje svojo vlogo ter da se bo v primeru njegovega nepodaljšanja davčna utaja, zabeležena na tem področju pred uvedbo ukrepa, najverjetneje spet pojavila. Glede na predložene podatke je delež malih podjetij v Romuniji visok: 99,7 % vseh podjetij, dejavnih v industrijskem, gradbenem ali storitvenem sektorju v letu 2017, je bilo malih in srednjih podjetij, aktivna podjetja z do devet zaposlenih pa so predstavljala 89,4 % vseh gospodarskih in družbenih akterjev, dejavnih v teh sektorjih. Romunija trdi, da se v praksi avtomobili v lasti takšnih podjetij pogosto uporabljajo tako za poslovne dejavnosti kot za osebne namene.</w:t>
      </w:r>
    </w:p>
    <w:p>
      <w:pPr>
        <w:rPr>
          <w:noProof/>
        </w:rPr>
      </w:pPr>
      <w:r>
        <w:rPr>
          <w:noProof/>
        </w:rPr>
        <w:t xml:space="preserve">Iz informacij, ki jih je zagotovila, se tudi zdi, da omejitev na 50 % še vedno odraža splošno poslovno in zasebno rabo vozil s strani davčnih zavezancev v Romuniji ter da bi jo bilo treba zato še vedno šteti za ustrezno. </w:t>
      </w:r>
    </w:p>
    <w:p>
      <w:pPr>
        <w:rPr>
          <w:noProof/>
        </w:rPr>
      </w:pPr>
      <w:r>
        <w:rPr>
          <w:noProof/>
        </w:rPr>
        <w:t xml:space="preserve">Obdobje odstopanja bi moralo biti omejeno do 31. decembra 2023, da bi se lahko ocenilo, ali omejitev na 50 % še vedno pravilno odraža splošno razdelitev med poslovno in zasebno rabo. Vsaki zahtevi za podaljšanje bi bilo treba priložiti poročilo, ki vključuje pregled uporabljenega odstotka, oboje pa bi bilo treba Komisiji poslati do 31. marca 2023.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 xml:space="preserve">Podobna odstopanja v zvezi s pravico do odbitka so bila odobrena drugim državam članicam. </w:t>
      </w:r>
    </w:p>
    <w:p>
      <w:pPr>
        <w:rPr>
          <w:noProof/>
        </w:rPr>
      </w:pPr>
      <w:r>
        <w:rPr>
          <w:noProof/>
        </w:rPr>
        <w:t xml:space="preserve">Člen 176 direktive o DDV določa, da Svet odloči, za katere izdatke ni dana pravica do odbitka DDV. Do takrat lahko države članice ohranijo izključitve, veljavne 1. januarja 1979. Zato veliko določb, ki omejujejo pravico do odbitka DDV v zvezi z osebnimi avtomobili, „miruje“. </w:t>
      </w:r>
    </w:p>
    <w:p>
      <w:pPr>
        <w:pBdr>
          <w:top w:val="nil"/>
          <w:left w:val="nil"/>
          <w:bottom w:val="nil"/>
          <w:right w:val="nil"/>
          <w:between w:val="nil"/>
          <w:bar w:val="nil"/>
        </w:pBdr>
        <w:spacing w:before="0" w:after="240"/>
        <w:rPr>
          <w:noProof/>
        </w:rPr>
      </w:pPr>
      <w:r>
        <w:rPr>
          <w:noProof/>
        </w:rPr>
        <w:t>Ne glede na prejšnje pobude za določitev pravil, ki določajo vrste izdatkov, za katere se lahko omeji pravica do odbitka DDV</w:t>
      </w:r>
      <w:r>
        <w:rPr>
          <w:rStyle w:val="FootnoteReference"/>
          <w:rFonts w:eastAsia="Arial Unicode MS"/>
          <w:noProof/>
        </w:rPr>
        <w:footnoteReference w:id="6"/>
      </w:r>
      <w:r>
        <w:rPr>
          <w:noProof/>
        </w:rPr>
        <w:t xml:space="preserve">, je tako odstopanje primerno, dokler ne bodo ta pravila usklajena na ravni EU.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rPr>
          <w:rFonts w:eastAsia="Arial Unicode MS"/>
          <w:noProof/>
        </w:rPr>
      </w:pPr>
      <w:r>
        <w:rPr>
          <w:noProof/>
        </w:rPr>
        <w:t xml:space="preserve">Člen 395 direktive o DDV.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rPr>
          <w:noProof/>
        </w:rPr>
      </w:pPr>
      <w:r>
        <w:rPr>
          <w:noProof/>
        </w:rPr>
        <w:t xml:space="preserve">Glede na določbo direktive o DDV, na kateri temelji predlog, je ta v izključni pristojnosti Unije. Načelo subsidiarnosti se zato ne uporablja. </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rPr>
          <w:noProof/>
        </w:rPr>
      </w:pPr>
      <w:r>
        <w:rPr>
          <w:noProof/>
        </w:rPr>
        <w:t>Ta sklep se nanaša na dovoljenje, izdano državi članici na njeno zahtevo, in ne pomeni nobene obveznosti.</w:t>
      </w:r>
    </w:p>
    <w:p>
      <w:pPr>
        <w:pBdr>
          <w:top w:val="nil"/>
          <w:left w:val="nil"/>
          <w:bottom w:val="nil"/>
          <w:right w:val="nil"/>
          <w:between w:val="nil"/>
          <w:bar w:val="nil"/>
        </w:pBdr>
        <w:spacing w:before="0" w:after="240"/>
        <w:rPr>
          <w:rFonts w:eastAsia="Arial Unicode MS"/>
          <w:noProof/>
        </w:rPr>
      </w:pPr>
      <w:r>
        <w:rPr>
          <w:noProof/>
        </w:rPr>
        <w:t xml:space="preserve">Zaradi omejenega področja uporabe odstopanja je posebni ukrep sorazmeren z želenim ciljem, tj. preprečevanje nekaterih vrst davčnih utaj ali izogibanja davkom. Zlasti glede na </w:t>
      </w:r>
      <w:r>
        <w:rPr>
          <w:noProof/>
        </w:rPr>
        <w:lastRenderedPageBreak/>
        <w:t>možnost, da podjetja navajajo nižje obveznosti plačila od dejanskih, in glede na težavno preverjanje kilometrine s strani davčnih organov bi omejitev na 50 % poenostavila pobiranje DDV v določenem sektorju.</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before="0" w:after="240"/>
        <w:rPr>
          <w:rFonts w:eastAsia="Arial Unicode MS"/>
          <w:noProof/>
        </w:rPr>
      </w:pPr>
      <w:r>
        <w:rPr>
          <w:noProof/>
        </w:rPr>
        <w:t>Predlagani instrument: izvedbeni sklep Sveta.</w:t>
      </w:r>
    </w:p>
    <w:p>
      <w:pPr>
        <w:pBdr>
          <w:top w:val="nil"/>
          <w:left w:val="nil"/>
          <w:bottom w:val="nil"/>
          <w:right w:val="nil"/>
          <w:between w:val="nil"/>
          <w:bar w:val="nil"/>
        </w:pBdr>
        <w:spacing w:before="0" w:after="240"/>
        <w:rPr>
          <w:rFonts w:eastAsia="Arial Unicode MS"/>
          <w:noProof/>
        </w:rPr>
      </w:pPr>
      <w:r>
        <w:rPr>
          <w:noProof/>
        </w:rPr>
        <w:t>V skladu s členom 395 Direktive Sveta 2006/112/ES lahko samo Svet na predlog Komisije soglasno dovoli odstopanje od skupnih predpisov o DDV. Izvedbeni sklep Sveta je najustreznejši instrument, saj se lahko naslovi na posamezno državo članico.</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rPr>
      </w:pP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Ta predlog temelji na zahtevi Romunije in zadeva le to državo članico. </w:t>
      </w:r>
    </w:p>
    <w:p>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pPr>
        <w:pBdr>
          <w:top w:val="nil"/>
          <w:left w:val="nil"/>
          <w:bottom w:val="nil"/>
          <w:right w:val="nil"/>
          <w:between w:val="nil"/>
          <w:bar w:val="nil"/>
        </w:pBdr>
        <w:spacing w:before="0" w:after="240"/>
        <w:rPr>
          <w:noProof/>
        </w:rPr>
      </w:pPr>
      <w:r>
        <w:rPr>
          <w:noProof/>
        </w:rPr>
        <w:t xml:space="preserve">Strokovno mnenje ni bilo potrebno. </w:t>
      </w:r>
    </w:p>
    <w:p>
      <w:pPr>
        <w:pStyle w:val="ManualHeading2"/>
        <w:rPr>
          <w:rFonts w:eastAsia="Arial Unicode MS"/>
          <w:noProof/>
          <w:u w:color="000000"/>
          <w:bdr w:val="nil"/>
        </w:rPr>
      </w:pPr>
      <w:r>
        <w:rPr>
          <w:noProof/>
          <w:u w:color="000000"/>
          <w:bdr w:val="nil"/>
        </w:rPr>
        <w:t>•</w:t>
      </w:r>
      <w:r>
        <w:rPr>
          <w:noProof/>
        </w:rPr>
        <w:tab/>
      </w:r>
      <w:r>
        <w:rPr>
          <w:noProof/>
          <w:u w:color="000000"/>
          <w:bdr w:val="nil"/>
        </w:rPr>
        <w:t>Ocena učinka</w:t>
      </w:r>
    </w:p>
    <w:p>
      <w:pPr>
        <w:pBdr>
          <w:top w:val="nil"/>
          <w:left w:val="nil"/>
          <w:bottom w:val="nil"/>
          <w:right w:val="nil"/>
          <w:between w:val="nil"/>
          <w:bar w:val="nil"/>
        </w:pBdr>
        <w:spacing w:before="0" w:after="240"/>
        <w:rPr>
          <w:rFonts w:eastAsia="Arial Unicode MS"/>
          <w:noProof/>
        </w:rPr>
      </w:pPr>
      <w:r>
        <w:rPr>
          <w:noProof/>
        </w:rPr>
        <w:t>Namen predloga je boj proti utajam DDV in poenostavitev postopka za obračunavanje davka, zato ima potencialno pozitiven učinek tako za podjetja kot za uprave. Ta rešitev, ki jo je Romunija opredelila kot ustrezen ukrep, je primerljiva z drugimi prejšnjimi in sedanjimi odstopanji.</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nima nobenih negativnih posledic za proračun EU.</w:t>
      </w:r>
    </w:p>
    <w:p>
      <w:pPr>
        <w:pStyle w:val="ManualHeading1"/>
        <w:rPr>
          <w:noProof/>
        </w:rPr>
      </w:pPr>
      <w:r>
        <w:rPr>
          <w:noProof/>
        </w:rPr>
        <w:t>5.</w:t>
      </w:r>
      <w:r>
        <w:rPr>
          <w:noProof/>
        </w:rPr>
        <w:tab/>
        <w:t>DRUGI ELEMENTI</w:t>
      </w:r>
    </w:p>
    <w:p>
      <w:pPr>
        <w:pBdr>
          <w:top w:val="nil"/>
          <w:left w:val="nil"/>
          <w:bottom w:val="nil"/>
          <w:right w:val="nil"/>
          <w:between w:val="nil"/>
          <w:bar w:val="nil"/>
        </w:pBdr>
        <w:spacing w:before="0" w:after="240"/>
        <w:rPr>
          <w:noProof/>
        </w:rPr>
      </w:pPr>
      <w:r>
        <w:rPr>
          <w:noProof/>
        </w:rPr>
        <w:t>Predlog vključuje samoderogacijsko klavzulo, tj. samodejni rok prenehanja veljavnosti, ki je določen na 31. december 2023.</w:t>
      </w:r>
    </w:p>
    <w:p>
      <w:pPr>
        <w:pBdr>
          <w:top w:val="nil"/>
          <w:left w:val="nil"/>
          <w:bottom w:val="nil"/>
          <w:right w:val="nil"/>
          <w:between w:val="nil"/>
          <w:bar w:val="nil"/>
        </w:pBdr>
        <w:spacing w:before="0" w:after="240"/>
        <w:rPr>
          <w:rFonts w:eastAsia="Arial Unicode MS"/>
          <w:noProof/>
        </w:rPr>
      </w:pPr>
      <w:r>
        <w:rPr>
          <w:noProof/>
        </w:rPr>
        <w:t>Če bi Romunija želela dodatno podaljšanje ukrepa odstopanja po letu 2023, bi morala najpozneje do 31. marca 2023 Komisiji predložiti poročilo, ki vsebuje pregled odstotka omejitve, skupaj z zahtevo za podaljšanje.</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2020/0149 (NLE)</w:t>
      </w:r>
    </w:p>
    <w:p>
      <w:pPr>
        <w:pStyle w:val="Statut"/>
        <w:rPr>
          <w:noProof/>
        </w:rPr>
      </w:pPr>
      <w:r>
        <w:rPr>
          <w:noProof/>
        </w:rPr>
        <w:t>Predlog</w:t>
      </w:r>
    </w:p>
    <w:p>
      <w:pPr>
        <w:pStyle w:val="Typedudocument"/>
        <w:rPr>
          <w:noProof/>
        </w:rPr>
      </w:pPr>
      <w:r>
        <w:rPr>
          <w:noProof/>
        </w:rPr>
        <w:t>IZVEDBENI SKLEP SVETA</w:t>
      </w:r>
    </w:p>
    <w:p>
      <w:pPr>
        <w:pStyle w:val="Titreobjet"/>
        <w:rPr>
          <w:noProof/>
        </w:rPr>
      </w:pPr>
      <w:r>
        <w:rPr>
          <w:noProof/>
        </w:rPr>
        <w:t>o spremembi Izvedbenega sklepa 2012/232/EU o odobritvi Romuniji, da uporabi ukrepe, ki odstopajo od člena 26(1)(a) in člena 168 Direktive 2006/112/ES o skupnem sistemu davka na dodano vrednost</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Direktive Sveta 2006/112/ES z dne 28. novembra 2006 o skupnem sistemu davka na dodano vrednost</w:t>
      </w:r>
      <w:r>
        <w:rPr>
          <w:rStyle w:val="FootnoteReference"/>
          <w:noProof/>
        </w:rPr>
        <w:footnoteReference w:id="7"/>
      </w:r>
      <w:r>
        <w:rPr>
          <w:noProof/>
        </w:rPr>
        <w:t xml:space="preserve"> in zlasti člena 395 Direktive,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Člen 168 Direktive 2006/112/ES določa, da imajo davčni zavezanci pravico do odbitka davka na dodano vrednost (DDV), obračunanega pri dobavi blaga in storitev, ki so jih prejeli in ki jih uporabijo za namene svojih obdavčenih transakcij. Na podlagi člena 26(1)(a) navedene direktive se uporaba poslovnih sredstev za zasebno rabo s strani davčnih zavezancev ali njihovih zaposlenih ali splošneje za druge namene kot za namene njihove dejavnosti obravnava kot opravljanje storitev za plačilo.</w:t>
      </w:r>
    </w:p>
    <w:p>
      <w:pPr>
        <w:pStyle w:val="ManualConsidrant"/>
        <w:rPr>
          <w:noProof/>
        </w:rPr>
      </w:pPr>
      <w:r>
        <w:t>(2)</w:t>
      </w:r>
      <w:r>
        <w:tab/>
      </w:r>
      <w:r>
        <w:rPr>
          <w:noProof/>
        </w:rPr>
        <w:t>Z Izvedbenim sklepom Sveta 2012/232/EU</w:t>
      </w:r>
      <w:r>
        <w:rPr>
          <w:rStyle w:val="FootnoteReference"/>
          <w:noProof/>
        </w:rPr>
        <w:footnoteReference w:id="8"/>
      </w:r>
      <w:r>
        <w:rPr>
          <w:noProof/>
        </w:rPr>
        <w:t xml:space="preserve"> je bilo Romuniji dovoljeno, da do 31. decembra 2014 omeji pravico do odbitka DDV na 50 % na nakup, nabavo znotraj Skupnosti, uvoz, najem ali zakup nekaterih cestnih motornih vozil in na izdatke, povezane s temi vozili, vključno z gorivom, če se zadevno vozilo ne uporablja izključno za poslovne namene, ter da davčne zavezance oprosti obveznosti, da neposlovno rabo takšnih vozil obravnavajo kot opravljanje storitev v skladu s členom 26(1)(a) Direktive 2016/112/ES. Z Izvedbenim sklepom Sveta (EU) 2015/156</w:t>
      </w:r>
      <w:r>
        <w:rPr>
          <w:rStyle w:val="FootnoteReference"/>
          <w:noProof/>
        </w:rPr>
        <w:footnoteReference w:id="9"/>
      </w:r>
      <w:r>
        <w:rPr>
          <w:noProof/>
        </w:rPr>
        <w:t xml:space="preserve"> je bila Romuniji dovoljena uporaba ukrepov odstopanja do 31. decembra 2017. Z Izvedbenim sklepom Sveta (EU) 2017/2012</w:t>
      </w:r>
      <w:r>
        <w:rPr>
          <w:rStyle w:val="FootnoteReference"/>
          <w:noProof/>
        </w:rPr>
        <w:footnoteReference w:id="10"/>
      </w:r>
      <w:r>
        <w:rPr>
          <w:noProof/>
        </w:rPr>
        <w:t xml:space="preserve"> je bila Romuniji dovoljena uporaba ukrepov odstopanja do dneva začetka veljavnosti pravil Unije, ki določajo, kateri izdatki v zvezi s cestnimi motornimi vozili niso upravičeni do polnega odbitka DDV, ali do 31. decembra 2020, pri čemer se upošteva zgodnejši datum. </w:t>
      </w:r>
    </w:p>
    <w:p>
      <w:pPr>
        <w:pStyle w:val="ManualConsidrant"/>
        <w:rPr>
          <w:noProof/>
        </w:rPr>
      </w:pPr>
      <w:r>
        <w:lastRenderedPageBreak/>
        <w:t>(3)</w:t>
      </w:r>
      <w:r>
        <w:tab/>
      </w:r>
      <w:r>
        <w:rPr>
          <w:noProof/>
        </w:rPr>
        <w:t xml:space="preserve">Z dopisom, ki ga je Komisija evidentirala 13. marca 2020, je Romunija zahtevala dovoljenje za nadaljnjo uporabo ukrepa odstopanja od člena 26(1)(a) in člena 168 Direktive 2006/112/ES, da bi lahko omejevala pravico do odbitka za izdatke za nekatera cestna motorna vozila, ki se ne uporabljajo izključno v poslovne namene. </w:t>
      </w:r>
    </w:p>
    <w:p>
      <w:pPr>
        <w:pStyle w:val="ManualConsidrant"/>
        <w:rPr>
          <w:noProof/>
        </w:rPr>
      </w:pPr>
      <w:r>
        <w:t>(4)</w:t>
      </w:r>
      <w:r>
        <w:tab/>
      </w:r>
      <w:r>
        <w:rPr>
          <w:noProof/>
        </w:rPr>
        <w:t>Uporaba pavšalne odstotne stopnje zneska DDV na izdatke, upravičene do odbitka za motorna vozila, ki se ne uporabljajo izključno v poslovne namene, poenostavlja postopek pobiranja DDV.</w:t>
      </w:r>
    </w:p>
    <w:p>
      <w:pPr>
        <w:pStyle w:val="ManualConsidrant"/>
        <w:rPr>
          <w:noProof/>
        </w:rPr>
      </w:pPr>
      <w:r>
        <w:t>(5)</w:t>
      </w:r>
      <w:r>
        <w:tab/>
      </w:r>
      <w:r>
        <w:rPr>
          <w:noProof/>
        </w:rPr>
        <w:t>V skladu z drugim pododstavkom člena 395(2) Direktive 2006/112/ES je Komisija z dopisom z dne 2. aprila 2020 o zahtevi Romunije obvestila druge države članice. Z dopisom z dne 3. aprila 2020 je Komisija uradno obvestila Romunijo, da ima vse informacije, potrebne za presojo zahteve.</w:t>
      </w:r>
    </w:p>
    <w:p>
      <w:pPr>
        <w:pStyle w:val="ManualConsidrant"/>
        <w:rPr>
          <w:noProof/>
        </w:rPr>
      </w:pPr>
      <w:r>
        <w:t>(6)</w:t>
      </w:r>
      <w:r>
        <w:tab/>
      </w:r>
      <w:r>
        <w:rPr>
          <w:noProof/>
        </w:rPr>
        <w:t xml:space="preserve">V skladu s členom 4(2) Izvedbenega sklepa 2012/232/EU je Romunija Komisiji skupaj z zahtevo za podaljšanje predložila poročilo o uporabi navedenega izvedbenega sklepa. Na podlagi trenutno razpoložljivih informacij Romunija navaja, da je omejitev na 50 % še vedno upravičena in primerna. </w:t>
      </w:r>
    </w:p>
    <w:p>
      <w:pPr>
        <w:pStyle w:val="ManualConsidrant"/>
        <w:rPr>
          <w:noProof/>
        </w:rPr>
      </w:pPr>
      <w:r>
        <w:t>(7)</w:t>
      </w:r>
      <w:r>
        <w:tab/>
      </w:r>
      <w:r>
        <w:rPr>
          <w:noProof/>
        </w:rPr>
        <w:t>Podaljšanje ukrepov odstopanja bi bilo treba omejiti na čas, ki je potreben za oceno učinkovitosti teh ukrepov in primernosti odstotka omejitve. Zato bi bilo treba Romuniji dovoliti nadaljnjo uporabo ukrepov odstopanja do 31. decembra 2023.</w:t>
      </w:r>
    </w:p>
    <w:p>
      <w:pPr>
        <w:pStyle w:val="ManualConsidrant"/>
        <w:rPr>
          <w:noProof/>
        </w:rPr>
      </w:pPr>
      <w:r>
        <w:t>(8)</w:t>
      </w:r>
      <w:r>
        <w:tab/>
      </w:r>
      <w:r>
        <w:rPr>
          <w:noProof/>
        </w:rPr>
        <w:t>Če Romunija meni, da je potrebno podaljšanje dovoljenja po letu 2023, bi morala Komisiji do 31. marca 2023 predložiti zahtevo za podaljšanje, skupaj s poročilom, ki vsebuje pregled uporabljenega odstotka omejitve.</w:t>
      </w:r>
    </w:p>
    <w:p>
      <w:pPr>
        <w:pStyle w:val="ManualConsidrant"/>
        <w:rPr>
          <w:noProof/>
        </w:rPr>
      </w:pPr>
      <w:r>
        <w:t>(9)</w:t>
      </w:r>
      <w:r>
        <w:tab/>
      </w:r>
      <w:r>
        <w:rPr>
          <w:noProof/>
        </w:rPr>
        <w:t>Ukrepi odstopanja bodo imeli zgolj zanemarljiv učinek na skupni znesek davčnih prihodkov Romunije, zbranih na ravni končne potrošnje, in ne bodo negativno vplivali na lastna sredstva Unije iz pobranega DDV.</w:t>
      </w:r>
    </w:p>
    <w:p>
      <w:pPr>
        <w:pStyle w:val="ManualConsidrant"/>
        <w:rPr>
          <w:noProof/>
        </w:rPr>
      </w:pPr>
      <w:r>
        <w:t>(10)</w:t>
      </w:r>
      <w:r>
        <w:tab/>
      </w:r>
      <w:r>
        <w:rPr>
          <w:noProof/>
        </w:rPr>
        <w:t>Izvedbeni sklep 2012/232/EU bi bilo treba ustrezno spremeniti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Člen 4 Izvedbenega sklepa 2012/232/EU se nadomesti z naslednjim:</w:t>
      </w:r>
    </w:p>
    <w:p>
      <w:pPr>
        <w:pStyle w:val="Titrearticle"/>
        <w:rPr>
          <w:noProof/>
        </w:rPr>
      </w:pPr>
      <w:r>
        <w:rPr>
          <w:noProof/>
        </w:rPr>
        <w:t>„Člen 4</w:t>
      </w:r>
    </w:p>
    <w:p>
      <w:pPr>
        <w:pStyle w:val="ManualNumPar1"/>
        <w:rPr>
          <w:noProof/>
        </w:rPr>
      </w:pPr>
      <w:r>
        <w:t>1.</w:t>
      </w:r>
      <w:r>
        <w:tab/>
      </w:r>
      <w:r>
        <w:rPr>
          <w:noProof/>
        </w:rPr>
        <w:t>Ta sklep preneha veljati na dan začetka veljavnosti pravil Unije, ki določajo, kateri izdatki v zvezi s cestnimi motornimi vozili niso upravičeni do polnega odbitka DDV, ali 31. decembra 2023, pri čemer se upošteva zgodnejši datum.</w:t>
      </w:r>
    </w:p>
    <w:p>
      <w:pPr>
        <w:pStyle w:val="ManualNumPar1"/>
        <w:rPr>
          <w:noProof/>
        </w:rPr>
      </w:pPr>
      <w:r>
        <w:t>2.</w:t>
      </w:r>
      <w:r>
        <w:tab/>
      </w:r>
      <w:r>
        <w:rPr>
          <w:noProof/>
        </w:rPr>
        <w:t>Zahteva za dovoljenje za podaljšanje ukrepov odstopanja, ki so odobreni s to odločbo, se predloži Komisiji do 31. marca 2023.</w:t>
      </w:r>
    </w:p>
    <w:p>
      <w:pPr>
        <w:rPr>
          <w:noProof/>
        </w:rPr>
      </w:pPr>
      <w:r>
        <w:rPr>
          <w:noProof/>
        </w:rPr>
        <w:t xml:space="preserve">Takšni zahtevi se priloži poročilo, ki vsebuje pregled odstotka omejitve, ki se uporablja za pravico do odbitka DDV na podlagi tega sklepa.“ </w:t>
      </w:r>
    </w:p>
    <w:p>
      <w:pPr>
        <w:pStyle w:val="Titrearticle"/>
        <w:rPr>
          <w:noProof/>
        </w:rPr>
      </w:pPr>
      <w:r>
        <w:rPr>
          <w:noProof/>
        </w:rPr>
        <w:lastRenderedPageBreak/>
        <w:t>Člen 2</w:t>
      </w:r>
    </w:p>
    <w:p>
      <w:pPr>
        <w:keepNext/>
        <w:keepLines/>
        <w:rPr>
          <w:noProof/>
        </w:rPr>
      </w:pPr>
      <w:r>
        <w:rPr>
          <w:noProof/>
        </w:rPr>
        <w:t>Ta sklep ja naslovljen na Romunijo.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347, 11.12.2006, str. 1.</w:t>
      </w:r>
    </w:p>
  </w:footnote>
  <w:footnote w:id="3">
    <w:p>
      <w:pPr>
        <w:pStyle w:val="FootnoteText"/>
      </w:pPr>
      <w:r>
        <w:rPr>
          <w:rStyle w:val="FootnoteReference"/>
        </w:rPr>
        <w:footnoteRef/>
      </w:r>
      <w:r>
        <w:tab/>
        <w:t xml:space="preserve">Izvedbeni sklep Sveta 2012/232/EU z dne 26. aprila 2012 o odobritvi Romuniji, da uporabi ukrepe, ki odstopajo od člena 26(1)(a) in člena 168 Direktive 2006/112/ES o skupnem sistemu davka na dodano vrednost (UL L 117, 1.5.2012, str. 7).  </w:t>
      </w:r>
    </w:p>
  </w:footnote>
  <w:footnote w:id="4">
    <w:p>
      <w:pPr>
        <w:pStyle w:val="FootnoteText"/>
      </w:pPr>
      <w:r>
        <w:rPr>
          <w:rStyle w:val="FootnoteReference"/>
        </w:rPr>
        <w:footnoteRef/>
      </w:r>
      <w:r>
        <w:tab/>
        <w:t>Izvedbeni sklep Sveta (EU) 2015/156 z dne 27. januarja 2015 o podaljšanju obdobja veljavnosti Izvedbenega sklepa 2012/232/EU o odobritvi Romuniji, da uporabi ukrepe, ki odstopajo od člena 26(1)(a) in člena 168 Direktive 2006/112/ES o skupnem sistemu davka na dodano vrednost (UL L 26, 31.1.2015, str. 27).</w:t>
      </w:r>
    </w:p>
  </w:footnote>
  <w:footnote w:id="5">
    <w:p>
      <w:pPr>
        <w:pStyle w:val="FootnoteText"/>
      </w:pPr>
      <w:r>
        <w:rPr>
          <w:rStyle w:val="FootnoteReference"/>
        </w:rPr>
        <w:footnoteRef/>
      </w:r>
      <w:r>
        <w:tab/>
        <w:t>Izvedbeni sklep Sveta (EU) 2017/2012 z dne 7. novembra 2017 o spremembi Izvedbenega sklepa 2012/232/EU o odobritvi Romuniji, da uporabi ukrepe, ki odstopajo od člena 26(1)(a) in člena 168 Direktive 2006/112/ES o skupnem sistemu davka na dodano vrednost (UL L 292, 10.11.2017, str. 57–58).</w:t>
      </w:r>
    </w:p>
  </w:footnote>
  <w:footnote w:id="6">
    <w:p>
      <w:pPr>
        <w:pStyle w:val="FootnoteText"/>
        <w:jc w:val="left"/>
      </w:pPr>
      <w:r>
        <w:rPr>
          <w:rStyle w:val="FootnoteReference"/>
        </w:rPr>
        <w:footnoteRef/>
      </w:r>
      <w:r>
        <w:tab/>
        <w:t>COM(2004) 728 final – predlog direktive Sveta o spremembi Direktive 77/388/EGS za poenostavitev obveznosti glede davka na dodano vrednost (UL C 24, 29.1.2005, str. 10), umaknjen 21. maja 2014</w:t>
      </w:r>
      <w:r>
        <w:rPr>
          <w:rStyle w:val="Hyperlink"/>
        </w:rPr>
        <w:t xml:space="preserve"> </w:t>
      </w:r>
      <w:r>
        <w:t xml:space="preserve">(UL C 153, 21.5.2014, str. 3). </w:t>
      </w:r>
    </w:p>
  </w:footnote>
  <w:footnote w:id="7">
    <w:p>
      <w:pPr>
        <w:pStyle w:val="FootnoteText"/>
      </w:pPr>
      <w:r>
        <w:rPr>
          <w:rStyle w:val="FootnoteReference"/>
        </w:rPr>
        <w:footnoteRef/>
      </w:r>
      <w:r>
        <w:tab/>
        <w:t xml:space="preserve">UL L 347, 11.12.2006, str. 1. </w:t>
      </w:r>
    </w:p>
  </w:footnote>
  <w:footnote w:id="8">
    <w:p>
      <w:pPr>
        <w:pStyle w:val="FootnoteText"/>
      </w:pPr>
      <w:r>
        <w:rPr>
          <w:rStyle w:val="FootnoteReference"/>
        </w:rPr>
        <w:footnoteRef/>
      </w:r>
      <w:r>
        <w:tab/>
        <w:t xml:space="preserve">Izvedbeni sklep Sveta 2012/232/EU z dne 26. aprila 2012 o odobritvi Romuniji, da uporabi ukrepe, ki odstopajo od člena 26(1)(a) in člena 168 Direktive 2006/112/ES o skupnem sistemu davka na dodano vrednost (UL L 117, 1.5.2012, str. 7). </w:t>
      </w:r>
    </w:p>
  </w:footnote>
  <w:footnote w:id="9">
    <w:p>
      <w:pPr>
        <w:pStyle w:val="FootnoteText"/>
      </w:pPr>
      <w:r>
        <w:rPr>
          <w:rStyle w:val="FootnoteReference"/>
        </w:rPr>
        <w:footnoteRef/>
      </w:r>
      <w:r>
        <w:tab/>
        <w:t>Izvedbeni sklep Sveta (EU) 2015/156 z dne 27. januarja 2015 o podaljšanju obdobja veljavnosti Izvedbenega sklepa 2012/232/EU o odobritvi Romuniji, da uporabi ukrepe, ki odstopajo od člena 26(1)(a) in člena 168 Direktive 2006/112/ES o skupnem sistemu davka na dodano vrednost (UL L 26, 31.1.2015, str. 27).</w:t>
      </w:r>
    </w:p>
  </w:footnote>
  <w:footnote w:id="10">
    <w:p>
      <w:pPr>
        <w:pStyle w:val="FootnoteText"/>
      </w:pPr>
      <w:r>
        <w:rPr>
          <w:rStyle w:val="FootnoteReference"/>
        </w:rPr>
        <w:footnoteRef/>
      </w:r>
      <w:r>
        <w:tab/>
        <w:t>Izvedbeni sklep Sveta (EU) 2017/2012 z dne 7. novembra 2017 o spremembi Izvedbenega sklepa 2012/232/EU o odobritvi Romuniji, da uporabi ukrepe, ki odstopajo od člena 26(1)(a) in člena 168 Direktive 2006/112/ES o skupnem sistemu davka na dodano vrednost (UL L 292, 10.11.2017, str.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4469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6A32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8A8E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BE1D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0A90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E05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E18D2"/>
    <w:lvl w:ilvl="0">
      <w:start w:val="1"/>
      <w:numFmt w:val="decimal"/>
      <w:pStyle w:val="ListNumber"/>
      <w:lvlText w:val="%1."/>
      <w:lvlJc w:val="left"/>
      <w:pPr>
        <w:tabs>
          <w:tab w:val="num" w:pos="360"/>
        </w:tabs>
        <w:ind w:left="360" w:hanging="360"/>
      </w:pPr>
    </w:lvl>
  </w:abstractNum>
  <w:abstractNum w:abstractNumId="7">
    <w:nsid w:val="FFFFFF89"/>
    <w:multiLevelType w:val="singleLevel"/>
    <w:tmpl w:val="BA083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15 08:50: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F6C36B8-AC73-40D0-A443-356EC84939DD"/>
    <w:docVar w:name="LW_COVERPAGE_TYPE" w:val="1"/>
    <w:docVar w:name="LW_CROSSREFERENCE" w:val="&lt;UNUSED&gt;"/>
    <w:docVar w:name="LW_DocType" w:val="COM"/>
    <w:docVar w:name="LW_EMISSION" w:val="23.7.2020"/>
    <w:docVar w:name="LW_EMISSION_ISODATE" w:val="2020-07-23"/>
    <w:docVar w:name="LW_EMISSION_LOCATION" w:val="BRX"/>
    <w:docVar w:name="LW_EMISSION_PREFIX" w:val="Bruselj,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49"/>
    <w:docVar w:name="LW_REF.II.NEW.CP_YEAR" w:val="2020"/>
    <w:docVar w:name="LW_REF.INST.NEW" w:val="COM"/>
    <w:docVar w:name="LW_REF.INST.NEW_ADOPTED" w:val="final"/>
    <w:docVar w:name="LW_REF.INST.NEW_TEXT" w:val="(2020)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Izvedbenega sklepa 2012/232/EU o odobritvi Romuniji, da uporabi ukrepe, ki odstopajo od \u269?lena 26(1)(a) in \u269?lena 168 Direktive 2006/112/ES o skupnem sistemu davka na dodano vrednost"/>
    <w:docVar w:name="LW_TYPE.DOC.CP" w:val="IZVEDBENI 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1314">
      <w:bodyDiv w:val="1"/>
      <w:marLeft w:val="0"/>
      <w:marRight w:val="0"/>
      <w:marTop w:val="0"/>
      <w:marBottom w:val="0"/>
      <w:divBdr>
        <w:top w:val="none" w:sz="0" w:space="0" w:color="auto"/>
        <w:left w:val="none" w:sz="0" w:space="0" w:color="auto"/>
        <w:bottom w:val="none" w:sz="0" w:space="0" w:color="auto"/>
        <w:right w:val="none" w:sz="0" w:space="0" w:color="auto"/>
      </w:divBdr>
    </w:div>
    <w:div w:id="735589105">
      <w:bodyDiv w:val="1"/>
      <w:marLeft w:val="0"/>
      <w:marRight w:val="0"/>
      <w:marTop w:val="0"/>
      <w:marBottom w:val="0"/>
      <w:divBdr>
        <w:top w:val="none" w:sz="0" w:space="0" w:color="auto"/>
        <w:left w:val="none" w:sz="0" w:space="0" w:color="auto"/>
        <w:bottom w:val="none" w:sz="0" w:space="0" w:color="auto"/>
        <w:right w:val="none" w:sz="0" w:space="0" w:color="auto"/>
      </w:divBdr>
    </w:div>
    <w:div w:id="16820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4282-C2B6-4B72-AF4A-0950252B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1725</Words>
  <Characters>9701</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2020-06-16T16:22:00Z</cp:lastPrinted>
  <dcterms:created xsi:type="dcterms:W3CDTF">2020-07-10T14:26:00Z</dcterms:created>
  <dcterms:modified xsi:type="dcterms:W3CDTF">2020-07-15T06:50:00Z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