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11A860A-EA3A-47A5-902B-5CA281300639"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ALLEGATO</w:t>
      </w:r>
    </w:p>
    <w:p>
      <w:pPr>
        <w:pStyle w:val="Avertissementtitre"/>
        <w:rPr>
          <w:noProof/>
        </w:rPr>
      </w:pPr>
      <w:r>
        <w:rPr>
          <w:noProof/>
        </w:rPr>
        <w:t>Informazioni da includere nella relazione di cui all'articolo 4</w:t>
      </w:r>
    </w:p>
    <w:p>
      <w:pPr>
        <w:rPr>
          <w:noProof/>
        </w:rPr>
      </w:pPr>
    </w:p>
    <w:p>
      <w:pPr>
        <w:pStyle w:val="NumPar1"/>
        <w:numPr>
          <w:ilvl w:val="0"/>
          <w:numId w:val="3"/>
        </w:numPr>
        <w:rPr>
          <w:noProof/>
        </w:rPr>
      </w:pPr>
      <w:r>
        <w:rPr>
          <w:noProof/>
        </w:rPr>
        <w:t>Costi aggiuntivi stimati: le informazioni sono fornite per ciascun tipo di rum (rum "agricole" e rum "de sucrerie") che beneficia dell'aliquota ridotta delle imposte indirette in questione. Le autorità francesi compilano la tabella 1 fornendo almeno le informazioni indicate nel seguito, nella misura in cui tali informazioni sono disponibili. Le informazioni fornite nella tabella sono sufficienti a valutare il costo supplementare sostenuto dai produttori nelle regioni ultraperiferiche della Francia.</w:t>
      </w:r>
    </w:p>
    <w:p>
      <w:pPr>
        <w:pStyle w:val="TableTitle"/>
        <w:rPr>
          <w:noProof/>
        </w:rPr>
      </w:pPr>
      <w:r>
        <w:rPr>
          <w:noProof/>
        </w:rPr>
        <w:t>Tabella 1</w:t>
      </w:r>
    </w:p>
    <w:tbl>
      <w:tblPr>
        <w:tblStyle w:val="TableGrid"/>
        <w:tblW w:w="0" w:type="auto"/>
        <w:tblInd w:w="817" w:type="dxa"/>
        <w:tblLayout w:type="fixed"/>
        <w:tblLook w:val="04A0" w:firstRow="1" w:lastRow="0" w:firstColumn="1" w:lastColumn="0" w:noHBand="0" w:noVBand="1"/>
      </w:tblPr>
      <w:tblGrid>
        <w:gridCol w:w="2191"/>
        <w:gridCol w:w="1420"/>
        <w:gridCol w:w="1244"/>
        <w:gridCol w:w="1396"/>
        <w:gridCol w:w="1228"/>
        <w:gridCol w:w="993"/>
      </w:tblGrid>
      <w:tr>
        <w:tc>
          <w:tcPr>
            <w:tcW w:w="2191" w:type="dxa"/>
          </w:tcPr>
          <w:p>
            <w:pPr>
              <w:rPr>
                <w:noProof/>
              </w:rPr>
            </w:pPr>
          </w:p>
        </w:tc>
        <w:tc>
          <w:tcPr>
            <w:tcW w:w="1420" w:type="dxa"/>
          </w:tcPr>
          <w:p>
            <w:pPr>
              <w:rPr>
                <w:noProof/>
              </w:rPr>
            </w:pPr>
            <w:r>
              <w:rPr>
                <w:noProof/>
              </w:rPr>
              <w:t>Guadalupa (EUR)</w:t>
            </w:r>
          </w:p>
        </w:tc>
        <w:tc>
          <w:tcPr>
            <w:tcW w:w="1244" w:type="dxa"/>
          </w:tcPr>
          <w:p>
            <w:pPr>
              <w:rPr>
                <w:noProof/>
              </w:rPr>
            </w:pPr>
            <w:r>
              <w:rPr>
                <w:noProof/>
              </w:rPr>
              <w:t xml:space="preserve">Guyana francese (EUR) </w:t>
            </w:r>
          </w:p>
        </w:tc>
        <w:tc>
          <w:tcPr>
            <w:tcW w:w="1396" w:type="dxa"/>
          </w:tcPr>
          <w:p>
            <w:pPr>
              <w:rPr>
                <w:noProof/>
              </w:rPr>
            </w:pPr>
            <w:r>
              <w:rPr>
                <w:noProof/>
              </w:rPr>
              <w:t>Martinica (EUR)</w:t>
            </w:r>
          </w:p>
        </w:tc>
        <w:tc>
          <w:tcPr>
            <w:tcW w:w="1228" w:type="dxa"/>
          </w:tcPr>
          <w:p>
            <w:pPr>
              <w:rPr>
                <w:noProof/>
              </w:rPr>
            </w:pPr>
            <w:r>
              <w:rPr>
                <w:noProof/>
              </w:rPr>
              <w:t xml:space="preserve"> Riunione (EUR)</w:t>
            </w:r>
          </w:p>
        </w:tc>
        <w:tc>
          <w:tcPr>
            <w:tcW w:w="993" w:type="dxa"/>
          </w:tcPr>
          <w:p>
            <w:pPr>
              <w:rPr>
                <w:noProof/>
              </w:rPr>
            </w:pPr>
            <w:r>
              <w:rPr>
                <w:noProof/>
              </w:rPr>
              <w:t>Note</w:t>
            </w:r>
            <w:r>
              <w:rPr>
                <w:noProof/>
                <w:vertAlign w:val="superscript"/>
              </w:rPr>
              <w:t>2</w:t>
            </w:r>
          </w:p>
        </w:tc>
      </w:tr>
      <w:tr>
        <w:tc>
          <w:tcPr>
            <w:tcW w:w="2191" w:type="dxa"/>
          </w:tcPr>
          <w:p>
            <w:pPr>
              <w:rPr>
                <w:noProof/>
              </w:rPr>
            </w:pPr>
            <w:r>
              <w:rPr>
                <w:noProof/>
              </w:rPr>
              <w:t>Prezzo della canna da zucchero (per 100 kg)</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Prezzo dei melassi (per 100 kg)</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Costo del trasporto (per kg)</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Manodopera (per ettolitro di alcole puro (hlpa))</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Altri fattori (per hlpa)</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Costi di ammortamento</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Costi di conformità</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Altri costi</w:t>
            </w:r>
            <w:r>
              <w:rPr>
                <w:noProof/>
                <w:vertAlign w:val="superscript"/>
              </w:rPr>
              <w:t>1</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bl>
    <w:p>
      <w:pPr>
        <w:rPr>
          <w:noProof/>
          <w:sz w:val="18"/>
          <w:szCs w:val="18"/>
        </w:rPr>
      </w:pPr>
      <w:r>
        <w:rPr>
          <w:noProof/>
          <w:sz w:val="18"/>
          <w:szCs w:val="18"/>
        </w:rPr>
        <w:t>Note relative alla tabella</w:t>
      </w:r>
    </w:p>
    <w:p>
      <w:pPr>
        <w:pStyle w:val="Point0number"/>
        <w:numPr>
          <w:ilvl w:val="0"/>
          <w:numId w:val="4"/>
        </w:numPr>
        <w:rPr>
          <w:noProof/>
          <w:sz w:val="18"/>
          <w:szCs w:val="18"/>
        </w:rPr>
      </w:pPr>
      <w:r>
        <w:rPr>
          <w:noProof/>
          <w:sz w:val="18"/>
          <w:szCs w:val="18"/>
        </w:rPr>
        <w:t xml:space="preserve"> Fornire informazioni sui costi connessi all'acqua, all'energia e allo smaltimento dei rifiuti e su altri costi pertinenti.</w:t>
      </w:r>
    </w:p>
    <w:p>
      <w:pPr>
        <w:pStyle w:val="Point0number"/>
        <w:rPr>
          <w:noProof/>
          <w:sz w:val="18"/>
          <w:szCs w:val="18"/>
        </w:rPr>
      </w:pPr>
      <w:r>
        <w:rPr>
          <w:noProof/>
          <w:sz w:val="18"/>
          <w:szCs w:val="18"/>
        </w:rPr>
        <w:t>Fornire informazioni su tutte le specifiche e i chiarimenti su cui si basano i metodi di calcolo.</w:t>
      </w:r>
    </w:p>
    <w:p>
      <w:pPr>
        <w:rPr>
          <w:noProof/>
        </w:rPr>
      </w:pPr>
    </w:p>
    <w:p>
      <w:pPr>
        <w:rPr>
          <w:noProof/>
        </w:rPr>
      </w:pPr>
    </w:p>
    <w:p>
      <w:pPr>
        <w:pStyle w:val="NumPar1"/>
        <w:rPr>
          <w:noProof/>
        </w:rPr>
      </w:pPr>
      <w:r>
        <w:rPr>
          <w:noProof/>
        </w:rPr>
        <w:t>Altre sovvenzioni: le autorità francesi compilano la tabella 2, elencando tutte le altre misure di sostegno e di aiuto in materia di costi operativi supplementari legati all'ultraperifericità delle regioni a carico degli operatori economici.</w:t>
      </w:r>
    </w:p>
    <w:p>
      <w:pPr>
        <w:pStyle w:val="TableTitle"/>
        <w:rPr>
          <w:noProof/>
        </w:rPr>
      </w:pPr>
      <w:r>
        <w:rPr>
          <w:noProof/>
        </w:rPr>
        <w:t>Tabella 2</w:t>
      </w: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043"/>
        <w:gridCol w:w="1323"/>
        <w:gridCol w:w="1242"/>
        <w:gridCol w:w="1051"/>
        <w:gridCol w:w="1696"/>
        <w:gridCol w:w="1429"/>
        <w:gridCol w:w="763"/>
      </w:tblGrid>
      <w:tr>
        <w:tc>
          <w:tcPr>
            <w:tcW w:w="595"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Aiuto/misura di sostegno</w:t>
            </w:r>
            <w:r>
              <w:rPr>
                <w:noProof/>
                <w:vertAlign w:val="superscript"/>
              </w:rPr>
              <w:t>1</w:t>
            </w:r>
          </w:p>
        </w:tc>
        <w:tc>
          <w:tcPr>
            <w:tcW w:w="480"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Periodo</w:t>
            </w:r>
            <w:r>
              <w:rPr>
                <w:noProof/>
                <w:vertAlign w:val="superscript"/>
              </w:rPr>
              <w:t>2</w:t>
            </w:r>
            <w:r>
              <w:rPr>
                <w:noProof/>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Settore interessato</w:t>
            </w:r>
            <w:r>
              <w:rPr>
                <w:noProof/>
                <w:vertAlign w:val="superscript"/>
              </w:rPr>
              <w:t>3</w:t>
            </w:r>
          </w:p>
        </w:tc>
        <w:tc>
          <w:tcPr>
            <w:tcW w:w="491"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Dotazione finanziaria in EUR</w:t>
            </w:r>
            <w:r>
              <w:rPr>
                <w:noProof/>
                <w:vertAlign w:val="superscript"/>
              </w:rPr>
              <w:t>4</w:t>
            </w:r>
          </w:p>
        </w:tc>
        <w:tc>
          <w:tcPr>
            <w:tcW w:w="744"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Spesa annuale, in EUR (2019-2024)</w:t>
            </w:r>
            <w:r>
              <w:rPr>
                <w:noProof/>
                <w:vertAlign w:val="superscript"/>
              </w:rPr>
              <w:t>5</w:t>
            </w:r>
          </w:p>
        </w:tc>
        <w:tc>
          <w:tcPr>
            <w:tcW w:w="903"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Quota della dotazione attribuibile alla compensazione dei costi supplementari</w:t>
            </w:r>
            <w:r>
              <w:rPr>
                <w:noProof/>
                <w:vertAlign w:val="superscript"/>
              </w:rPr>
              <w:t>6</w:t>
            </w:r>
            <w:r>
              <w:rPr>
                <w:noProof/>
              </w:rPr>
              <w:t xml:space="preserve"> </w:t>
            </w:r>
          </w:p>
        </w:tc>
        <w:tc>
          <w:tcPr>
            <w:tcW w:w="703"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Numero stimato di imprese beneficiarie</w:t>
            </w:r>
            <w:r>
              <w:rPr>
                <w:noProof/>
                <w:vertAlign w:val="superscript"/>
              </w:rPr>
              <w:t>7</w:t>
            </w:r>
            <w:r>
              <w:rPr>
                <w:noProof/>
              </w:rPr>
              <w:t xml:space="preserve"> </w:t>
            </w:r>
          </w:p>
        </w:tc>
        <w:tc>
          <w:tcPr>
            <w:tcW w:w="630"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Note</w:t>
            </w:r>
            <w:r>
              <w:rPr>
                <w:noProof/>
                <w:vertAlign w:val="superscript"/>
              </w:rPr>
              <w:t>8</w:t>
            </w:r>
          </w:p>
        </w:tc>
      </w:tr>
      <w:tr>
        <w:tc>
          <w:tcPr>
            <w:tcW w:w="595" w:type="pct"/>
            <w:tcBorders>
              <w:top w:val="single" w:sz="4" w:space="0" w:color="auto"/>
              <w:left w:val="single" w:sz="4" w:space="0" w:color="auto"/>
              <w:bottom w:val="single" w:sz="4" w:space="0" w:color="auto"/>
              <w:right w:val="single" w:sz="4" w:space="0" w:color="auto"/>
            </w:tcBorders>
            <w:hideMark/>
          </w:tcPr>
          <w:p>
            <w:pPr>
              <w:rPr>
                <w:noProof/>
              </w:rPr>
            </w:pPr>
            <w:r>
              <w:rPr>
                <w:noProof/>
              </w:rPr>
              <w:t>[elenco]</w:t>
            </w:r>
          </w:p>
        </w:tc>
        <w:tc>
          <w:tcPr>
            <w:tcW w:w="480" w:type="pct"/>
            <w:tcBorders>
              <w:top w:val="single" w:sz="4" w:space="0" w:color="auto"/>
              <w:left w:val="single" w:sz="4" w:space="0" w:color="auto"/>
              <w:bottom w:val="single" w:sz="4" w:space="0" w:color="auto"/>
              <w:right w:val="single" w:sz="4" w:space="0" w:color="auto"/>
            </w:tcBorders>
          </w:tcPr>
          <w:p>
            <w:pPr>
              <w:rPr>
                <w:noProof/>
              </w:rPr>
            </w:pPr>
          </w:p>
        </w:tc>
        <w:tc>
          <w:tcPr>
            <w:tcW w:w="454" w:type="pct"/>
            <w:tcBorders>
              <w:top w:val="single" w:sz="4" w:space="0" w:color="auto"/>
              <w:left w:val="single" w:sz="4" w:space="0" w:color="auto"/>
              <w:bottom w:val="single" w:sz="4" w:space="0" w:color="auto"/>
              <w:right w:val="single" w:sz="4" w:space="0" w:color="auto"/>
            </w:tcBorders>
          </w:tcPr>
          <w:p>
            <w:pPr>
              <w:rPr>
                <w:noProof/>
              </w:rPr>
            </w:pPr>
          </w:p>
        </w:tc>
        <w:tc>
          <w:tcPr>
            <w:tcW w:w="491" w:type="pct"/>
            <w:tcBorders>
              <w:top w:val="single" w:sz="4" w:space="0" w:color="auto"/>
              <w:left w:val="single" w:sz="4" w:space="0" w:color="auto"/>
              <w:bottom w:val="single" w:sz="4" w:space="0" w:color="auto"/>
              <w:right w:val="single" w:sz="4" w:space="0" w:color="auto"/>
            </w:tcBorders>
          </w:tcPr>
          <w:p>
            <w:pPr>
              <w:rPr>
                <w:noProof/>
              </w:rPr>
            </w:pPr>
          </w:p>
        </w:tc>
        <w:tc>
          <w:tcPr>
            <w:tcW w:w="744" w:type="pct"/>
            <w:tcBorders>
              <w:top w:val="single" w:sz="4" w:space="0" w:color="auto"/>
              <w:left w:val="single" w:sz="4" w:space="0" w:color="auto"/>
              <w:bottom w:val="single" w:sz="4" w:space="0" w:color="auto"/>
              <w:right w:val="single" w:sz="4" w:space="0" w:color="auto"/>
            </w:tcBorders>
          </w:tcPr>
          <w:p>
            <w:pPr>
              <w:rPr>
                <w:noProof/>
              </w:rPr>
            </w:pPr>
          </w:p>
        </w:tc>
        <w:tc>
          <w:tcPr>
            <w:tcW w:w="903" w:type="pct"/>
            <w:tcBorders>
              <w:top w:val="single" w:sz="4" w:space="0" w:color="auto"/>
              <w:left w:val="single" w:sz="4" w:space="0" w:color="auto"/>
              <w:bottom w:val="single" w:sz="4" w:space="0" w:color="auto"/>
              <w:right w:val="single" w:sz="4" w:space="0" w:color="auto"/>
            </w:tcBorders>
          </w:tcPr>
          <w:p>
            <w:pPr>
              <w:rPr>
                <w:noProof/>
              </w:rPr>
            </w:pPr>
          </w:p>
        </w:tc>
        <w:tc>
          <w:tcPr>
            <w:tcW w:w="703" w:type="pct"/>
            <w:tcBorders>
              <w:top w:val="single" w:sz="4" w:space="0" w:color="auto"/>
              <w:left w:val="single" w:sz="4" w:space="0" w:color="auto"/>
              <w:bottom w:val="single" w:sz="4" w:space="0" w:color="auto"/>
              <w:right w:val="single" w:sz="4" w:space="0" w:color="auto"/>
            </w:tcBorders>
          </w:tcPr>
          <w:p>
            <w:pPr>
              <w:rPr>
                <w:noProof/>
              </w:rPr>
            </w:pPr>
          </w:p>
        </w:tc>
        <w:tc>
          <w:tcPr>
            <w:tcW w:w="630" w:type="pct"/>
            <w:tcBorders>
              <w:top w:val="single" w:sz="4" w:space="0" w:color="auto"/>
              <w:left w:val="single" w:sz="4" w:space="0" w:color="auto"/>
              <w:bottom w:val="single" w:sz="4" w:space="0" w:color="auto"/>
              <w:right w:val="single" w:sz="4" w:space="0" w:color="auto"/>
            </w:tcBorders>
          </w:tcPr>
          <w:p>
            <w:pPr>
              <w:rPr>
                <w:noProof/>
              </w:rPr>
            </w:pPr>
          </w:p>
        </w:tc>
      </w:tr>
      <w:tr>
        <w:tc>
          <w:tcPr>
            <w:tcW w:w="595" w:type="pct"/>
            <w:tcBorders>
              <w:top w:val="single" w:sz="4" w:space="0" w:color="auto"/>
              <w:left w:val="single" w:sz="4" w:space="0" w:color="auto"/>
              <w:bottom w:val="single" w:sz="4" w:space="0" w:color="auto"/>
              <w:right w:val="single" w:sz="4" w:space="0" w:color="auto"/>
            </w:tcBorders>
            <w:hideMark/>
          </w:tcPr>
          <w:p>
            <w:pPr>
              <w:rPr>
                <w:noProof/>
              </w:rPr>
            </w:pPr>
          </w:p>
        </w:tc>
        <w:tc>
          <w:tcPr>
            <w:tcW w:w="480" w:type="pct"/>
            <w:tcBorders>
              <w:top w:val="single" w:sz="4" w:space="0" w:color="auto"/>
              <w:left w:val="single" w:sz="4" w:space="0" w:color="auto"/>
              <w:bottom w:val="single" w:sz="4" w:space="0" w:color="auto"/>
              <w:right w:val="single" w:sz="4" w:space="0" w:color="auto"/>
            </w:tcBorders>
          </w:tcPr>
          <w:p>
            <w:pPr>
              <w:rPr>
                <w:noProof/>
              </w:rPr>
            </w:pPr>
          </w:p>
        </w:tc>
        <w:tc>
          <w:tcPr>
            <w:tcW w:w="454" w:type="pct"/>
            <w:tcBorders>
              <w:top w:val="single" w:sz="4" w:space="0" w:color="auto"/>
              <w:left w:val="single" w:sz="4" w:space="0" w:color="auto"/>
              <w:bottom w:val="single" w:sz="4" w:space="0" w:color="auto"/>
              <w:right w:val="single" w:sz="4" w:space="0" w:color="auto"/>
            </w:tcBorders>
          </w:tcPr>
          <w:p>
            <w:pPr>
              <w:rPr>
                <w:noProof/>
              </w:rPr>
            </w:pPr>
          </w:p>
        </w:tc>
        <w:tc>
          <w:tcPr>
            <w:tcW w:w="491" w:type="pct"/>
            <w:tcBorders>
              <w:top w:val="single" w:sz="4" w:space="0" w:color="auto"/>
              <w:left w:val="single" w:sz="4" w:space="0" w:color="auto"/>
              <w:bottom w:val="single" w:sz="4" w:space="0" w:color="auto"/>
              <w:right w:val="single" w:sz="4" w:space="0" w:color="auto"/>
            </w:tcBorders>
          </w:tcPr>
          <w:p>
            <w:pPr>
              <w:rPr>
                <w:noProof/>
              </w:rPr>
            </w:pPr>
          </w:p>
        </w:tc>
        <w:tc>
          <w:tcPr>
            <w:tcW w:w="744" w:type="pct"/>
            <w:tcBorders>
              <w:top w:val="single" w:sz="4" w:space="0" w:color="auto"/>
              <w:left w:val="single" w:sz="4" w:space="0" w:color="auto"/>
              <w:bottom w:val="single" w:sz="4" w:space="0" w:color="auto"/>
              <w:right w:val="single" w:sz="4" w:space="0" w:color="auto"/>
            </w:tcBorders>
          </w:tcPr>
          <w:p>
            <w:pPr>
              <w:rPr>
                <w:noProof/>
              </w:rPr>
            </w:pPr>
          </w:p>
        </w:tc>
        <w:tc>
          <w:tcPr>
            <w:tcW w:w="903" w:type="pct"/>
            <w:tcBorders>
              <w:top w:val="single" w:sz="4" w:space="0" w:color="auto"/>
              <w:left w:val="single" w:sz="4" w:space="0" w:color="auto"/>
              <w:bottom w:val="single" w:sz="4" w:space="0" w:color="auto"/>
              <w:right w:val="single" w:sz="4" w:space="0" w:color="auto"/>
            </w:tcBorders>
          </w:tcPr>
          <w:p>
            <w:pPr>
              <w:rPr>
                <w:noProof/>
              </w:rPr>
            </w:pPr>
          </w:p>
        </w:tc>
        <w:tc>
          <w:tcPr>
            <w:tcW w:w="703" w:type="pct"/>
            <w:tcBorders>
              <w:top w:val="single" w:sz="4" w:space="0" w:color="auto"/>
              <w:left w:val="single" w:sz="4" w:space="0" w:color="auto"/>
              <w:bottom w:val="single" w:sz="4" w:space="0" w:color="auto"/>
              <w:right w:val="single" w:sz="4" w:space="0" w:color="auto"/>
            </w:tcBorders>
          </w:tcPr>
          <w:p>
            <w:pPr>
              <w:rPr>
                <w:noProof/>
              </w:rPr>
            </w:pPr>
          </w:p>
        </w:tc>
        <w:tc>
          <w:tcPr>
            <w:tcW w:w="630" w:type="pct"/>
            <w:tcBorders>
              <w:top w:val="single" w:sz="4" w:space="0" w:color="auto"/>
              <w:left w:val="single" w:sz="4" w:space="0" w:color="auto"/>
              <w:bottom w:val="single" w:sz="4" w:space="0" w:color="auto"/>
              <w:right w:val="single" w:sz="4" w:space="0" w:color="auto"/>
            </w:tcBorders>
          </w:tcPr>
          <w:p>
            <w:pPr>
              <w:rPr>
                <w:noProof/>
              </w:rPr>
            </w:pPr>
          </w:p>
        </w:tc>
      </w:tr>
    </w:tbl>
    <w:p>
      <w:pPr>
        <w:rPr>
          <w:noProof/>
          <w:sz w:val="18"/>
          <w:szCs w:val="18"/>
        </w:rPr>
      </w:pPr>
      <w:r>
        <w:rPr>
          <w:noProof/>
          <w:sz w:val="18"/>
          <w:szCs w:val="18"/>
        </w:rPr>
        <w:t xml:space="preserve">Note relative alla tabella </w:t>
      </w:r>
    </w:p>
    <w:p>
      <w:pPr>
        <w:pStyle w:val="Point0number"/>
        <w:numPr>
          <w:ilvl w:val="0"/>
          <w:numId w:val="1"/>
        </w:numPr>
        <w:rPr>
          <w:noProof/>
          <w:sz w:val="18"/>
          <w:szCs w:val="18"/>
        </w:rPr>
      </w:pPr>
      <w:r>
        <w:rPr>
          <w:noProof/>
          <w:sz w:val="18"/>
          <w:szCs w:val="18"/>
        </w:rPr>
        <w:t xml:space="preserve">Fornire informazioni sull'identificazione e il tipo di misura (programma, numero dell'aiuto di Stato ecc.). </w:t>
      </w:r>
    </w:p>
    <w:p>
      <w:pPr>
        <w:pStyle w:val="Point0number"/>
        <w:rPr>
          <w:noProof/>
          <w:sz w:val="18"/>
          <w:szCs w:val="18"/>
        </w:rPr>
      </w:pPr>
      <w:r>
        <w:rPr>
          <w:noProof/>
          <w:sz w:val="18"/>
          <w:szCs w:val="18"/>
        </w:rPr>
        <w:t xml:space="preserve">Fornire informazioni sugli anni coperti dalla misura. </w:t>
      </w:r>
    </w:p>
    <w:p>
      <w:pPr>
        <w:pStyle w:val="Point0number"/>
        <w:rPr>
          <w:noProof/>
          <w:sz w:val="18"/>
          <w:szCs w:val="18"/>
        </w:rPr>
      </w:pPr>
      <w:r>
        <w:rPr>
          <w:noProof/>
          <w:sz w:val="18"/>
          <w:szCs w:val="18"/>
        </w:rPr>
        <w:t xml:space="preserve">Fornire informazioni solo per le misure di settore. </w:t>
      </w:r>
    </w:p>
    <w:p>
      <w:pPr>
        <w:pStyle w:val="Point0number"/>
        <w:rPr>
          <w:noProof/>
          <w:sz w:val="18"/>
          <w:szCs w:val="18"/>
        </w:rPr>
      </w:pPr>
      <w:r>
        <w:rPr>
          <w:noProof/>
          <w:sz w:val="18"/>
          <w:szCs w:val="18"/>
        </w:rPr>
        <w:t>Fornire informazioni sulla dotazione complessiva della misura e sulle fonti di finanziamento.</w:t>
      </w:r>
    </w:p>
    <w:p>
      <w:pPr>
        <w:pStyle w:val="Point0number"/>
        <w:rPr>
          <w:noProof/>
          <w:sz w:val="18"/>
          <w:szCs w:val="18"/>
        </w:rPr>
      </w:pPr>
      <w:r>
        <w:rPr>
          <w:noProof/>
          <w:sz w:val="18"/>
          <w:szCs w:val="18"/>
        </w:rPr>
        <w:t>Fornire informazioni sulle spese effettivamente sostenute anno per anno nel periodo di monitoraggio (2019</w:t>
      </w:r>
      <w:r>
        <w:rPr>
          <w:noProof/>
          <w:sz w:val="18"/>
          <w:szCs w:val="18"/>
        </w:rPr>
        <w:noBreakHyphen/>
        <w:t>2024), ove disponibili.</w:t>
      </w:r>
    </w:p>
    <w:p>
      <w:pPr>
        <w:pStyle w:val="Point0number"/>
        <w:rPr>
          <w:noProof/>
          <w:sz w:val="18"/>
          <w:szCs w:val="18"/>
        </w:rPr>
      </w:pPr>
      <w:r>
        <w:rPr>
          <w:noProof/>
          <w:sz w:val="18"/>
          <w:szCs w:val="18"/>
        </w:rPr>
        <w:t>Fornire una stima approssimativa, in % del bilancio complessivo.</w:t>
      </w:r>
    </w:p>
    <w:p>
      <w:pPr>
        <w:pStyle w:val="Point0number"/>
        <w:rPr>
          <w:noProof/>
          <w:sz w:val="18"/>
          <w:szCs w:val="18"/>
        </w:rPr>
      </w:pPr>
      <w:r>
        <w:rPr>
          <w:noProof/>
          <w:sz w:val="18"/>
          <w:szCs w:val="18"/>
        </w:rPr>
        <w:t xml:space="preserve">Fornire una stima approssimativa, ove possibile. </w:t>
      </w:r>
    </w:p>
    <w:p>
      <w:pPr>
        <w:pStyle w:val="Point0number"/>
        <w:rPr>
          <w:noProof/>
          <w:sz w:val="18"/>
          <w:szCs w:val="18"/>
        </w:rPr>
      </w:pPr>
      <w:r>
        <w:rPr>
          <w:noProof/>
          <w:sz w:val="18"/>
          <w:szCs w:val="18"/>
        </w:rPr>
        <w:t>Inserire eventuali commenti e chiarimenti.</w:t>
      </w:r>
    </w:p>
    <w:p>
      <w:pPr>
        <w:rPr>
          <w:noProof/>
        </w:rPr>
      </w:pPr>
    </w:p>
    <w:p>
      <w:pPr>
        <w:rPr>
          <w:noProof/>
        </w:rPr>
      </w:pPr>
    </w:p>
    <w:p>
      <w:pPr>
        <w:pStyle w:val="NumPar1"/>
        <w:rPr>
          <w:noProof/>
        </w:rPr>
      </w:pPr>
      <w:r>
        <w:rPr>
          <w:noProof/>
        </w:rPr>
        <w:t>Impatto sul bilancio pubblico: le autorità francesi compilano la tabella 3 fornendo l'importo totale (in EUR) delle imposte non riscosse a seguito dell'applicazione di aliquote di imposizione differenziata.</w:t>
      </w:r>
    </w:p>
    <w:p>
      <w:pPr>
        <w:pStyle w:val="TableTitle"/>
        <w:rPr>
          <w:noProof/>
        </w:rPr>
      </w:pPr>
      <w:r>
        <w:rPr>
          <w:noProof/>
        </w:rPr>
        <w:t>Tabella 3</w:t>
      </w:r>
    </w:p>
    <w:tbl>
      <w:tblPr>
        <w:tblStyle w:val="TableGrid"/>
        <w:tblW w:w="0" w:type="auto"/>
        <w:tblInd w:w="588" w:type="dxa"/>
        <w:tblLook w:val="04A0" w:firstRow="1" w:lastRow="0" w:firstColumn="1" w:lastColumn="0" w:noHBand="0" w:noVBand="1"/>
      </w:tblPr>
      <w:tblGrid>
        <w:gridCol w:w="2363"/>
        <w:gridCol w:w="709"/>
        <w:gridCol w:w="850"/>
        <w:gridCol w:w="851"/>
        <w:gridCol w:w="709"/>
        <w:gridCol w:w="708"/>
        <w:gridCol w:w="851"/>
      </w:tblGrid>
      <w:tr>
        <w:tc>
          <w:tcPr>
            <w:tcW w:w="2363" w:type="dxa"/>
          </w:tcPr>
          <w:p>
            <w:pPr>
              <w:rPr>
                <w:noProof/>
              </w:rPr>
            </w:pPr>
          </w:p>
        </w:tc>
        <w:tc>
          <w:tcPr>
            <w:tcW w:w="709" w:type="dxa"/>
          </w:tcPr>
          <w:p>
            <w:pPr>
              <w:rPr>
                <w:noProof/>
              </w:rPr>
            </w:pPr>
            <w:r>
              <w:rPr>
                <w:noProof/>
              </w:rPr>
              <w:t>2019</w:t>
            </w:r>
          </w:p>
        </w:tc>
        <w:tc>
          <w:tcPr>
            <w:tcW w:w="850" w:type="dxa"/>
          </w:tcPr>
          <w:p>
            <w:pPr>
              <w:rPr>
                <w:noProof/>
              </w:rPr>
            </w:pPr>
            <w:r>
              <w:rPr>
                <w:noProof/>
              </w:rPr>
              <w:t>2020</w:t>
            </w:r>
          </w:p>
        </w:tc>
        <w:tc>
          <w:tcPr>
            <w:tcW w:w="851" w:type="dxa"/>
          </w:tcPr>
          <w:p>
            <w:pPr>
              <w:rPr>
                <w:noProof/>
              </w:rPr>
            </w:pPr>
            <w:r>
              <w:rPr>
                <w:noProof/>
              </w:rPr>
              <w:t>2021</w:t>
            </w:r>
          </w:p>
        </w:tc>
        <w:tc>
          <w:tcPr>
            <w:tcW w:w="709" w:type="dxa"/>
          </w:tcPr>
          <w:p>
            <w:pPr>
              <w:rPr>
                <w:noProof/>
              </w:rPr>
            </w:pPr>
            <w:r>
              <w:rPr>
                <w:noProof/>
              </w:rPr>
              <w:t>2022</w:t>
            </w:r>
          </w:p>
        </w:tc>
        <w:tc>
          <w:tcPr>
            <w:tcW w:w="708" w:type="dxa"/>
          </w:tcPr>
          <w:p>
            <w:pPr>
              <w:rPr>
                <w:noProof/>
              </w:rPr>
            </w:pPr>
            <w:r>
              <w:rPr>
                <w:noProof/>
              </w:rPr>
              <w:t>2023</w:t>
            </w:r>
          </w:p>
        </w:tc>
        <w:tc>
          <w:tcPr>
            <w:tcW w:w="851" w:type="dxa"/>
          </w:tcPr>
          <w:p>
            <w:pPr>
              <w:rPr>
                <w:noProof/>
              </w:rPr>
            </w:pPr>
            <w:r>
              <w:rPr>
                <w:noProof/>
              </w:rPr>
              <w:t>2024</w:t>
            </w:r>
          </w:p>
        </w:tc>
      </w:tr>
      <w:tr>
        <w:tc>
          <w:tcPr>
            <w:tcW w:w="2363" w:type="dxa"/>
          </w:tcPr>
          <w:p>
            <w:pPr>
              <w:rPr>
                <w:noProof/>
              </w:rPr>
            </w:pPr>
            <w:r>
              <w:rPr>
                <w:noProof/>
              </w:rPr>
              <w:t>Mancato gettito fiscale</w:t>
            </w:r>
          </w:p>
        </w:tc>
        <w:tc>
          <w:tcPr>
            <w:tcW w:w="709" w:type="dxa"/>
          </w:tcPr>
          <w:p>
            <w:pPr>
              <w:rPr>
                <w:noProof/>
              </w:rPr>
            </w:pPr>
          </w:p>
        </w:tc>
        <w:tc>
          <w:tcPr>
            <w:tcW w:w="850" w:type="dxa"/>
          </w:tcPr>
          <w:p>
            <w:pPr>
              <w:rPr>
                <w:noProof/>
              </w:rPr>
            </w:pPr>
          </w:p>
        </w:tc>
        <w:tc>
          <w:tcPr>
            <w:tcW w:w="851" w:type="dxa"/>
          </w:tcPr>
          <w:p>
            <w:pPr>
              <w:rPr>
                <w:noProof/>
              </w:rPr>
            </w:pPr>
          </w:p>
        </w:tc>
        <w:tc>
          <w:tcPr>
            <w:tcW w:w="709" w:type="dxa"/>
          </w:tcPr>
          <w:p>
            <w:pPr>
              <w:rPr>
                <w:noProof/>
              </w:rPr>
            </w:pPr>
          </w:p>
        </w:tc>
        <w:tc>
          <w:tcPr>
            <w:tcW w:w="708" w:type="dxa"/>
          </w:tcPr>
          <w:p>
            <w:pPr>
              <w:rPr>
                <w:noProof/>
              </w:rPr>
            </w:pPr>
          </w:p>
        </w:tc>
        <w:tc>
          <w:tcPr>
            <w:tcW w:w="851" w:type="dxa"/>
          </w:tcPr>
          <w:p>
            <w:pPr>
              <w:rPr>
                <w:noProof/>
              </w:rPr>
            </w:pPr>
          </w:p>
        </w:tc>
      </w:tr>
    </w:tbl>
    <w:p>
      <w:pPr>
        <w:rPr>
          <w:noProof/>
        </w:rPr>
      </w:pPr>
    </w:p>
    <w:p>
      <w:pPr>
        <w:rPr>
          <w:noProof/>
        </w:rPr>
      </w:pPr>
    </w:p>
    <w:p>
      <w:pPr>
        <w:pStyle w:val="NumPar1"/>
        <w:rPr>
          <w:noProof/>
        </w:rPr>
      </w:pPr>
      <w:r>
        <w:rPr>
          <w:noProof/>
        </w:rPr>
        <w:t>Impatto sulla resa economica complessiva: le autorità francesi completano la tabella 4 fornendo dati che dimostrino l'impatto dell'aliquota ridotta delle imposte indirette in questione sullo sviluppo socioeconomico delle regioni ultraperiferiche. Gli indicatori richiesti nella tabella si riferiscono all'andamento del settore del rum comparato all'andamento economico generale nella regione. Se alcuni degli indicatori non sono disponibili, occorrerà includere dati alternativi relativi al rendimento socioeconomico complessivo delle regioni ultraperiferiche.</w:t>
      </w:r>
    </w:p>
    <w:p>
      <w:pPr>
        <w:pStyle w:val="TableTitle"/>
        <w:rPr>
          <w:noProof/>
        </w:rPr>
      </w:pPr>
      <w:r>
        <w:rPr>
          <w:noProof/>
        </w:rPr>
        <w:t>Tabella 4</w:t>
      </w:r>
    </w:p>
    <w:tbl>
      <w:tblPr>
        <w:tblStyle w:val="TableGrid"/>
        <w:tblW w:w="5000" w:type="pct"/>
        <w:tblLook w:val="04A0" w:firstRow="1" w:lastRow="0" w:firstColumn="1" w:lastColumn="0" w:noHBand="0" w:noVBand="1"/>
      </w:tblPr>
      <w:tblGrid>
        <w:gridCol w:w="3007"/>
        <w:gridCol w:w="873"/>
        <w:gridCol w:w="873"/>
        <w:gridCol w:w="873"/>
        <w:gridCol w:w="873"/>
        <w:gridCol w:w="873"/>
        <w:gridCol w:w="873"/>
        <w:gridCol w:w="1044"/>
      </w:tblGrid>
      <w:tr>
        <w:tc>
          <w:tcPr>
            <w:tcW w:w="1618" w:type="pct"/>
            <w:shd w:val="clear" w:color="auto" w:fill="EEECE1" w:themeFill="background2"/>
          </w:tcPr>
          <w:p>
            <w:pPr>
              <w:rPr>
                <w:noProof/>
              </w:rPr>
            </w:pPr>
            <w:r>
              <w:rPr>
                <w:noProof/>
              </w:rPr>
              <w:t>Anno</w:t>
            </w:r>
            <w:r>
              <w:rPr>
                <w:noProof/>
                <w:vertAlign w:val="superscript"/>
              </w:rPr>
              <w:t>1</w:t>
            </w:r>
          </w:p>
        </w:tc>
        <w:tc>
          <w:tcPr>
            <w:tcW w:w="470" w:type="pct"/>
            <w:shd w:val="clear" w:color="auto" w:fill="EEECE1" w:themeFill="background2"/>
          </w:tcPr>
          <w:p>
            <w:pPr>
              <w:rPr>
                <w:noProof/>
              </w:rPr>
            </w:pPr>
            <w:r>
              <w:rPr>
                <w:noProof/>
              </w:rPr>
              <w:t>2019</w:t>
            </w:r>
          </w:p>
        </w:tc>
        <w:tc>
          <w:tcPr>
            <w:tcW w:w="470" w:type="pct"/>
            <w:shd w:val="clear" w:color="auto" w:fill="EEECE1" w:themeFill="background2"/>
          </w:tcPr>
          <w:p>
            <w:pPr>
              <w:rPr>
                <w:noProof/>
              </w:rPr>
            </w:pPr>
            <w:r>
              <w:rPr>
                <w:noProof/>
              </w:rPr>
              <w:t>2020</w:t>
            </w:r>
          </w:p>
        </w:tc>
        <w:tc>
          <w:tcPr>
            <w:tcW w:w="470" w:type="pct"/>
            <w:shd w:val="clear" w:color="auto" w:fill="EEECE1" w:themeFill="background2"/>
          </w:tcPr>
          <w:p>
            <w:pPr>
              <w:rPr>
                <w:noProof/>
              </w:rPr>
            </w:pPr>
            <w:r>
              <w:rPr>
                <w:noProof/>
              </w:rPr>
              <w:t>2021</w:t>
            </w:r>
          </w:p>
        </w:tc>
        <w:tc>
          <w:tcPr>
            <w:tcW w:w="470" w:type="pct"/>
            <w:shd w:val="clear" w:color="auto" w:fill="EEECE1" w:themeFill="background2"/>
          </w:tcPr>
          <w:p>
            <w:pPr>
              <w:rPr>
                <w:noProof/>
              </w:rPr>
            </w:pPr>
            <w:r>
              <w:rPr>
                <w:noProof/>
              </w:rPr>
              <w:t>2022</w:t>
            </w:r>
          </w:p>
        </w:tc>
        <w:tc>
          <w:tcPr>
            <w:tcW w:w="470" w:type="pct"/>
            <w:shd w:val="clear" w:color="auto" w:fill="EEECE1" w:themeFill="background2"/>
          </w:tcPr>
          <w:p>
            <w:pPr>
              <w:rPr>
                <w:noProof/>
              </w:rPr>
            </w:pPr>
            <w:r>
              <w:rPr>
                <w:noProof/>
              </w:rPr>
              <w:t>2023</w:t>
            </w:r>
          </w:p>
        </w:tc>
        <w:tc>
          <w:tcPr>
            <w:tcW w:w="470" w:type="pct"/>
            <w:shd w:val="clear" w:color="auto" w:fill="EEECE1" w:themeFill="background2"/>
          </w:tcPr>
          <w:p>
            <w:pPr>
              <w:rPr>
                <w:noProof/>
              </w:rPr>
            </w:pPr>
            <w:r>
              <w:rPr>
                <w:noProof/>
              </w:rPr>
              <w:t>2024</w:t>
            </w:r>
          </w:p>
        </w:tc>
        <w:tc>
          <w:tcPr>
            <w:tcW w:w="562" w:type="pct"/>
            <w:shd w:val="clear" w:color="auto" w:fill="EEECE1" w:themeFill="background2"/>
          </w:tcPr>
          <w:p>
            <w:pPr>
              <w:rPr>
                <w:noProof/>
              </w:rPr>
            </w:pPr>
            <w:r>
              <w:rPr>
                <w:noProof/>
              </w:rPr>
              <w:t>Note</w:t>
            </w:r>
            <w:r>
              <w:rPr>
                <w:noProof/>
                <w:vertAlign w:val="superscript"/>
              </w:rPr>
              <w:t>2</w:t>
            </w:r>
          </w:p>
        </w:tc>
      </w:tr>
      <w:tr>
        <w:tc>
          <w:tcPr>
            <w:tcW w:w="1618" w:type="pct"/>
          </w:tcPr>
          <w:p>
            <w:pPr>
              <w:rPr>
                <w:noProof/>
              </w:rPr>
            </w:pPr>
            <w:r>
              <w:rPr>
                <w:noProof/>
              </w:rPr>
              <w:t xml:space="preserve">Valore aggiunto lordo regionale </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Nel settore del rum</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Nel settore canna-zucchero-rum</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Occupazione nelle distillerie locali</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Occupazione nel settore canna-zucchero-rum</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Tasso di disoccupazione</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 xml:space="preserve">Numero delle imprese attive </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Numero di produttori di rum (comprese le PMI)</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Superficie coltivata a canna da zucchero (ha)</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Indice del livello dei prezzi – Francia continentale</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Indice del livello dei prezzi - regioni</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Numero dei turisti - regioni</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Numero dei turisti - distillerie</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bl>
    <w:p>
      <w:pPr>
        <w:rPr>
          <w:noProof/>
          <w:sz w:val="18"/>
          <w:szCs w:val="18"/>
        </w:rPr>
      </w:pPr>
      <w:r>
        <w:rPr>
          <w:noProof/>
          <w:sz w:val="18"/>
          <w:szCs w:val="18"/>
        </w:rPr>
        <w:t>Note relative alla tabella</w:t>
      </w:r>
    </w:p>
    <w:p>
      <w:pPr>
        <w:pStyle w:val="Point0number"/>
        <w:numPr>
          <w:ilvl w:val="0"/>
          <w:numId w:val="2"/>
        </w:numPr>
        <w:rPr>
          <w:noProof/>
          <w:sz w:val="18"/>
          <w:szCs w:val="18"/>
        </w:rPr>
      </w:pPr>
      <w:r>
        <w:rPr>
          <w:noProof/>
          <w:sz w:val="18"/>
          <w:szCs w:val="18"/>
        </w:rPr>
        <w:t>Le informazioni possono non essere disponibili per tutti gli anni elencati.</w:t>
      </w:r>
    </w:p>
    <w:p>
      <w:pPr>
        <w:pStyle w:val="Point0number"/>
        <w:numPr>
          <w:ilvl w:val="0"/>
          <w:numId w:val="2"/>
        </w:numPr>
        <w:rPr>
          <w:noProof/>
          <w:sz w:val="18"/>
          <w:szCs w:val="18"/>
        </w:rPr>
      </w:pPr>
      <w:r>
        <w:rPr>
          <w:noProof/>
          <w:sz w:val="18"/>
          <w:szCs w:val="18"/>
        </w:rPr>
        <w:t>Inserire commenti e chiarimenti ritenuti pertinenti.</w:t>
      </w:r>
    </w:p>
    <w:p>
      <w:pPr>
        <w:rPr>
          <w:noProof/>
        </w:rPr>
      </w:pPr>
    </w:p>
    <w:p>
      <w:pPr>
        <w:rPr>
          <w:noProof/>
        </w:rPr>
      </w:pPr>
    </w:p>
    <w:p>
      <w:pPr>
        <w:pStyle w:val="NumPar1"/>
        <w:rPr>
          <w:noProof/>
        </w:rPr>
      </w:pPr>
      <w:r>
        <w:rPr>
          <w:noProof/>
        </w:rPr>
        <w:t>Specifiche relative al regime: le autorità francesi compilano la tabella 5 per ciascun tipo di rum (rum "agricole" e rum "de sucrerie") e per regione (Guadalupa, Guyana francese, Martinica e Riunione). Se alcuni degli indicatori non sono disponibili, occorrerà includere dati alternativi relativi alle specifiche del regime.</w:t>
      </w:r>
    </w:p>
    <w:p>
      <w:pPr>
        <w:rPr>
          <w:noProof/>
        </w:rPr>
      </w:pPr>
    </w:p>
    <w:p>
      <w:pPr>
        <w:rPr>
          <w:noProof/>
        </w:rPr>
      </w:pPr>
    </w:p>
    <w:p>
      <w:pPr>
        <w:pStyle w:val="TableTitle"/>
        <w:rPr>
          <w:noProof/>
        </w:rPr>
      </w:pPr>
      <w:r>
        <w:rPr>
          <w:noProof/>
        </w:rPr>
        <w:t>Tabella 5</w:t>
      </w:r>
    </w:p>
    <w:tbl>
      <w:tblPr>
        <w:tblStyle w:val="TableGrid"/>
        <w:tblW w:w="8788" w:type="dxa"/>
        <w:tblInd w:w="392" w:type="dxa"/>
        <w:tblLook w:val="04A0" w:firstRow="1" w:lastRow="0" w:firstColumn="1" w:lastColumn="0" w:noHBand="0" w:noVBand="1"/>
      </w:tblPr>
      <w:tblGrid>
        <w:gridCol w:w="4569"/>
        <w:gridCol w:w="696"/>
        <w:gridCol w:w="696"/>
        <w:gridCol w:w="707"/>
        <w:gridCol w:w="707"/>
        <w:gridCol w:w="707"/>
        <w:gridCol w:w="706"/>
      </w:tblGrid>
      <w:tr>
        <w:tc>
          <w:tcPr>
            <w:tcW w:w="4635" w:type="dxa"/>
          </w:tcPr>
          <w:p>
            <w:pPr>
              <w:rPr>
                <w:noProof/>
              </w:rPr>
            </w:pPr>
            <w:r>
              <w:rPr>
                <w:noProof/>
              </w:rPr>
              <w:t>Quantitativo (in hlpa)</w:t>
            </w:r>
          </w:p>
        </w:tc>
        <w:tc>
          <w:tcPr>
            <w:tcW w:w="663" w:type="dxa"/>
          </w:tcPr>
          <w:p>
            <w:pPr>
              <w:rPr>
                <w:noProof/>
              </w:rPr>
            </w:pPr>
            <w:r>
              <w:rPr>
                <w:noProof/>
              </w:rPr>
              <w:t>2019</w:t>
            </w:r>
          </w:p>
        </w:tc>
        <w:tc>
          <w:tcPr>
            <w:tcW w:w="663" w:type="dxa"/>
          </w:tcPr>
          <w:p>
            <w:pPr>
              <w:rPr>
                <w:noProof/>
              </w:rPr>
            </w:pPr>
            <w:r>
              <w:rPr>
                <w:noProof/>
              </w:rPr>
              <w:t>2020</w:t>
            </w:r>
          </w:p>
        </w:tc>
        <w:tc>
          <w:tcPr>
            <w:tcW w:w="707" w:type="dxa"/>
          </w:tcPr>
          <w:p>
            <w:pPr>
              <w:rPr>
                <w:noProof/>
              </w:rPr>
            </w:pPr>
            <w:r>
              <w:rPr>
                <w:noProof/>
              </w:rPr>
              <w:t>2021</w:t>
            </w:r>
          </w:p>
        </w:tc>
        <w:tc>
          <w:tcPr>
            <w:tcW w:w="707" w:type="dxa"/>
          </w:tcPr>
          <w:p>
            <w:pPr>
              <w:rPr>
                <w:noProof/>
              </w:rPr>
            </w:pPr>
            <w:r>
              <w:rPr>
                <w:noProof/>
              </w:rPr>
              <w:t>2022</w:t>
            </w:r>
          </w:p>
        </w:tc>
        <w:tc>
          <w:tcPr>
            <w:tcW w:w="707" w:type="dxa"/>
          </w:tcPr>
          <w:p>
            <w:pPr>
              <w:rPr>
                <w:noProof/>
              </w:rPr>
            </w:pPr>
            <w:r>
              <w:rPr>
                <w:noProof/>
              </w:rPr>
              <w:t>2023</w:t>
            </w:r>
          </w:p>
        </w:tc>
        <w:tc>
          <w:tcPr>
            <w:tcW w:w="706" w:type="dxa"/>
          </w:tcPr>
          <w:p>
            <w:pPr>
              <w:rPr>
                <w:noProof/>
              </w:rPr>
            </w:pPr>
            <w:r>
              <w:rPr>
                <w:noProof/>
              </w:rPr>
              <w:t>2024</w:t>
            </w:r>
          </w:p>
        </w:tc>
      </w:tr>
      <w:tr>
        <w:tc>
          <w:tcPr>
            <w:tcW w:w="4635" w:type="dxa"/>
          </w:tcPr>
          <w:p>
            <w:pPr>
              <w:rPr>
                <w:noProof/>
              </w:rPr>
            </w:pPr>
            <w:r>
              <w:rPr>
                <w:noProof/>
              </w:rPr>
              <w:t xml:space="preserve">Produzione di rum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Produzione di rum tradizionale</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Vendite locali di rum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Rum spedito verso la Francia continentale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Rum tradizionale spedito verso la Francia continentale</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Rum tradizionale spedito in regime di deroga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Rum spedito verso altri Stati membri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Rum esportato verso paesi terzi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Rum quale percentuale del totale delle esportazioni supplementari delle regioni di oltremare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Quota del rum tradizionale francese nel mercato del rum della Francia continentale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Tasso di crescita del mercato del rum nella Francia continentale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Tasso di crescita del mercato delle bevande alcoliche nella Francia continentale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bl>
    <w:p>
      <w:pPr>
        <w:rPr>
          <w:noProof/>
        </w:rPr>
      </w:pPr>
    </w:p>
    <w:p>
      <w:pPr>
        <w:rPr>
          <w:noProof/>
        </w:rPr>
      </w:pPr>
    </w:p>
    <w:p>
      <w:pPr>
        <w:pStyle w:val="NumPar1"/>
        <w:rPr>
          <w:noProof/>
        </w:rPr>
      </w:pPr>
      <w:r>
        <w:rPr>
          <w:noProof/>
        </w:rPr>
        <w:t>Irregolarità: le autorità francesi forniscono informazioni su eventuali indagini in merito a irregolarità amministrative, all'evasione delle imposte indirette in questione o al contrabbando dei prodotti alcolici interessati, riscontrate nel contesto dell'applicazione dell'autorizzazione. Forniscono informazioni dettagliate, tra cui perlomeno i dati che riguardano la natura del caso, la sua entità e il periodo temporale.</w:t>
      </w:r>
    </w:p>
    <w:p>
      <w:pPr>
        <w:rPr>
          <w:noProof/>
        </w:rPr>
      </w:pPr>
    </w:p>
    <w:tbl>
      <w:tblPr>
        <w:tblStyle w:val="TableGrid"/>
        <w:tblW w:w="0" w:type="auto"/>
        <w:tblInd w:w="817" w:type="dxa"/>
        <w:tblLook w:val="04A0" w:firstRow="1" w:lastRow="0" w:firstColumn="1" w:lastColumn="0" w:noHBand="0" w:noVBand="1"/>
      </w:tblPr>
      <w:tblGrid>
        <w:gridCol w:w="8395"/>
      </w:tblGrid>
      <w:tr>
        <w:tc>
          <w:tcPr>
            <w:tcW w:w="8395" w:type="dxa"/>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rPr>
      </w:pPr>
    </w:p>
    <w:p>
      <w:pPr>
        <w:rPr>
          <w:noProof/>
        </w:rPr>
      </w:pPr>
    </w:p>
    <w:p>
      <w:pPr>
        <w:pStyle w:val="NumPar1"/>
        <w:rPr>
          <w:noProof/>
        </w:rPr>
      </w:pPr>
      <w:r>
        <w:rPr>
          <w:noProof/>
        </w:rPr>
        <w:t>Reclami: le autorità francesi forniscono informazioni sulla presentazione alle autorità nazionali, regionali o locali di eventuali reclami da parte di beneficiari o di non beneficiari in merito all'applicazione dell'autorizzazione.</w:t>
      </w:r>
    </w:p>
    <w:p>
      <w:pPr>
        <w:rPr>
          <w:noProof/>
        </w:rPr>
      </w:pPr>
    </w:p>
    <w:tbl>
      <w:tblPr>
        <w:tblStyle w:val="TableGrid"/>
        <w:tblW w:w="0" w:type="auto"/>
        <w:tblInd w:w="817" w:type="dxa"/>
        <w:tblLook w:val="04A0" w:firstRow="1" w:lastRow="0" w:firstColumn="1" w:lastColumn="0" w:noHBand="0" w:noVBand="1"/>
      </w:tblPr>
      <w:tblGrid>
        <w:gridCol w:w="8395"/>
      </w:tblGrid>
      <w:tr>
        <w:tc>
          <w:tcPr>
            <w:tcW w:w="8395" w:type="dxa"/>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color w:val="1F497D" w:themeColor="text2"/>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4D2E5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23A59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0445E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CF858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2C255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A440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3AEC3E"/>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E4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6 13:46: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A11A860A-EA3A-47A5-902B-5CA281300639"/>
    <w:docVar w:name="LW_COVERPAGE_TYPE" w:val="1"/>
    <w:docVar w:name="LW_CROSSREFERENCE" w:val="{SWD(2020) 141 final}"/>
    <w:docVar w:name="LW_DocType" w:val="ANNEX"/>
    <w:docVar w:name="LW_EMISSION" w:val="24.7.2020"/>
    <w:docVar w:name="LW_EMISSION_ISODATE" w:val="2020-07-24"/>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che autorizza la Francia ad applicare un'aliquota ridotta di determinate imposte indirette sul rum &quot;tradizionale&quot; prodotto in Guadalupa, nella Guyana francese, in Martinica e nella Riunione"/>
    <w:docVar w:name="LW_OBJETACTEPRINCIPAL.CP" w:val="che autorizza la Francia ad applicare un'aliquota ridotta di determinate imposte indirette sul rum &quot;tradizionale&quot; prodotto in Guadalupa, nella Guyana francese, in Martinica e nella Riunione"/>
    <w:docVar w:name="LW_PART_NBR" w:val="1"/>
    <w:docVar w:name="LW_PART_NBR_TOTAL" w:val="1"/>
    <w:docVar w:name="LW_REF.INST.NEW" w:val="COM"/>
    <w:docVar w:name="LW_REF.INST.NEW_ADOPTED" w:val="final"/>
    <w:docVar w:name="LW_REF.INST.NEW_TEXT" w:val="(2020) 3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6</Pages>
  <Words>804</Words>
  <Characters>4965</Characters>
  <Application>Microsoft Office Word</Application>
  <DocSecurity>0</DocSecurity>
  <Lines>496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DESFEUILLET Matthieu (TAXUD)</dc:creator>
  <cp:keywords/>
  <dc:description/>
  <cp:lastModifiedBy>DIGIT/C6</cp:lastModifiedBy>
  <cp:revision>10</cp:revision>
  <dcterms:created xsi:type="dcterms:W3CDTF">2020-07-15T07:09:00Z</dcterms:created>
  <dcterms:modified xsi:type="dcterms:W3CDTF">2020-07-16T11:46:00Z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