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4057E04F-39F3-4921-BC02-3450CC709417" style="width:450.4pt;height:411.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MELLÉKLET </w:t>
      </w:r>
    </w:p>
    <w:p>
      <w:pPr>
        <w:pStyle w:val="Avertissementtitre"/>
        <w:rPr>
          <w:noProof/>
        </w:rPr>
      </w:pPr>
      <w:r>
        <w:rPr>
          <w:noProof/>
        </w:rPr>
        <w:t>A 4. cikkben említett jelentésben feltüntetendő információk</w:t>
      </w:r>
    </w:p>
    <w:p>
      <w:pPr>
        <w:rPr>
          <w:noProof/>
        </w:rPr>
      </w:pPr>
    </w:p>
    <w:p>
      <w:pPr>
        <w:pStyle w:val="NumPar1"/>
        <w:numPr>
          <w:ilvl w:val="0"/>
          <w:numId w:val="3"/>
        </w:numPr>
        <w:rPr>
          <w:noProof/>
        </w:rPr>
      </w:pPr>
      <w:r>
        <w:rPr>
          <w:noProof/>
        </w:rPr>
        <w:t>Becsült többletköltségek. Az információkat minden olyan rumtípus („rhum agricole” és „rhum sucrerie”) tekintetében közölni kell, amelyre az érintett közvetett adók kedvezményes mértéke vonatkozik. A francia hatóságoknak legalább az alábbi információkat megadva ki kell tölteniük az 1. táblázatot, amennyiben az adott információk rendelkezésre állnak. A táblázatban szereplő információknak elegendőnek kell lenniük a francia legkülső régiók termelőit terhelő többletköltségek meghatározásához.</w:t>
      </w:r>
    </w:p>
    <w:p>
      <w:pPr>
        <w:pStyle w:val="TableTitle"/>
        <w:rPr>
          <w:noProof/>
        </w:rPr>
      </w:pPr>
      <w:r>
        <w:rPr>
          <w:noProof/>
        </w:rPr>
        <w:t>1. táblázat</w:t>
      </w:r>
    </w:p>
    <w:tbl>
      <w:tblPr>
        <w:tblStyle w:val="TableGrid"/>
        <w:tblW w:w="0" w:type="auto"/>
        <w:tblInd w:w="817" w:type="dxa"/>
        <w:tblLayout w:type="fixed"/>
        <w:tblLook w:val="04A0" w:firstRow="1" w:lastRow="0" w:firstColumn="1" w:lastColumn="0" w:noHBand="0" w:noVBand="1"/>
      </w:tblPr>
      <w:tblGrid>
        <w:gridCol w:w="2191"/>
        <w:gridCol w:w="1420"/>
        <w:gridCol w:w="1244"/>
        <w:gridCol w:w="1396"/>
        <w:gridCol w:w="1228"/>
        <w:gridCol w:w="993"/>
      </w:tblGrid>
      <w:tr>
        <w:tc>
          <w:tcPr>
            <w:tcW w:w="2191" w:type="dxa"/>
          </w:tcPr>
          <w:p>
            <w:pPr>
              <w:rPr>
                <w:noProof/>
              </w:rPr>
            </w:pPr>
          </w:p>
        </w:tc>
        <w:tc>
          <w:tcPr>
            <w:tcW w:w="1420" w:type="dxa"/>
          </w:tcPr>
          <w:p>
            <w:pPr>
              <w:rPr>
                <w:noProof/>
              </w:rPr>
            </w:pPr>
            <w:r>
              <w:rPr>
                <w:noProof/>
              </w:rPr>
              <w:t>Guadeloupe (EUR)</w:t>
            </w:r>
          </w:p>
        </w:tc>
        <w:tc>
          <w:tcPr>
            <w:tcW w:w="1244" w:type="dxa"/>
          </w:tcPr>
          <w:p>
            <w:pPr>
              <w:rPr>
                <w:noProof/>
              </w:rPr>
            </w:pPr>
            <w:r>
              <w:rPr>
                <w:noProof/>
              </w:rPr>
              <w:t xml:space="preserve">Francia Guyana (EUR) </w:t>
            </w:r>
          </w:p>
        </w:tc>
        <w:tc>
          <w:tcPr>
            <w:tcW w:w="1396" w:type="dxa"/>
          </w:tcPr>
          <w:p>
            <w:pPr>
              <w:rPr>
                <w:noProof/>
              </w:rPr>
            </w:pPr>
            <w:r>
              <w:rPr>
                <w:noProof/>
              </w:rPr>
              <w:t>Martinique (EUR)</w:t>
            </w:r>
          </w:p>
        </w:tc>
        <w:tc>
          <w:tcPr>
            <w:tcW w:w="1228" w:type="dxa"/>
          </w:tcPr>
          <w:p>
            <w:pPr>
              <w:rPr>
                <w:noProof/>
              </w:rPr>
            </w:pPr>
            <w:r>
              <w:rPr>
                <w:noProof/>
              </w:rPr>
              <w:t>Réunion (EUR)</w:t>
            </w:r>
          </w:p>
        </w:tc>
        <w:tc>
          <w:tcPr>
            <w:tcW w:w="993" w:type="dxa"/>
          </w:tcPr>
          <w:p>
            <w:pPr>
              <w:rPr>
                <w:noProof/>
              </w:rPr>
            </w:pPr>
            <w:r>
              <w:rPr>
                <w:noProof/>
              </w:rPr>
              <w:t>Megjegyzések</w:t>
            </w:r>
            <w:r>
              <w:rPr>
                <w:noProof/>
                <w:vertAlign w:val="superscript"/>
              </w:rPr>
              <w:t>2</w:t>
            </w:r>
          </w:p>
        </w:tc>
      </w:tr>
      <w:tr>
        <w:tc>
          <w:tcPr>
            <w:tcW w:w="2191" w:type="dxa"/>
          </w:tcPr>
          <w:p>
            <w:pPr>
              <w:rPr>
                <w:noProof/>
              </w:rPr>
            </w:pPr>
            <w:r>
              <w:rPr>
                <w:noProof/>
              </w:rPr>
              <w:t>Nádcukor ára (100 kg-ra vetítve)</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Melasz ára (100 kg-ra vetítve)</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Szállítási költség (1 kg-ra vetítve)</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Munkaerő (a tiszta alkohol hektoliterére vetítve)</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Egyéb termelési tényezők (a tiszta alkohol hektoliterére vetítve)</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Értékcsökkenési költségek</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vAlign w:val="bottom"/>
          </w:tcPr>
          <w:p>
            <w:pPr>
              <w:rPr>
                <w:noProof/>
              </w:rPr>
            </w:pPr>
            <w:r>
              <w:rPr>
                <w:noProof/>
              </w:rPr>
              <w:t>Megfelelési költségek</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r>
        <w:tc>
          <w:tcPr>
            <w:tcW w:w="2191" w:type="dxa"/>
          </w:tcPr>
          <w:p>
            <w:pPr>
              <w:rPr>
                <w:noProof/>
              </w:rPr>
            </w:pPr>
            <w:r>
              <w:rPr>
                <w:noProof/>
              </w:rPr>
              <w:t>Egyéb költségek</w:t>
            </w:r>
            <w:r>
              <w:rPr>
                <w:noProof/>
                <w:vertAlign w:val="superscript"/>
              </w:rPr>
              <w:t>1</w:t>
            </w:r>
          </w:p>
        </w:tc>
        <w:tc>
          <w:tcPr>
            <w:tcW w:w="1420" w:type="dxa"/>
          </w:tcPr>
          <w:p>
            <w:pPr>
              <w:rPr>
                <w:noProof/>
              </w:rPr>
            </w:pPr>
          </w:p>
        </w:tc>
        <w:tc>
          <w:tcPr>
            <w:tcW w:w="1244" w:type="dxa"/>
          </w:tcPr>
          <w:p>
            <w:pPr>
              <w:rPr>
                <w:noProof/>
              </w:rPr>
            </w:pPr>
          </w:p>
        </w:tc>
        <w:tc>
          <w:tcPr>
            <w:tcW w:w="1396" w:type="dxa"/>
          </w:tcPr>
          <w:p>
            <w:pPr>
              <w:rPr>
                <w:noProof/>
              </w:rPr>
            </w:pPr>
          </w:p>
        </w:tc>
        <w:tc>
          <w:tcPr>
            <w:tcW w:w="1228" w:type="dxa"/>
          </w:tcPr>
          <w:p>
            <w:pPr>
              <w:rPr>
                <w:noProof/>
              </w:rPr>
            </w:pPr>
          </w:p>
        </w:tc>
        <w:tc>
          <w:tcPr>
            <w:tcW w:w="993" w:type="dxa"/>
          </w:tcPr>
          <w:p>
            <w:pPr>
              <w:rPr>
                <w:noProof/>
              </w:rPr>
            </w:pPr>
          </w:p>
        </w:tc>
      </w:tr>
    </w:tbl>
    <w:p>
      <w:pPr>
        <w:rPr>
          <w:noProof/>
          <w:sz w:val="18"/>
          <w:szCs w:val="18"/>
        </w:rPr>
      </w:pPr>
      <w:r>
        <w:rPr>
          <w:noProof/>
          <w:sz w:val="18"/>
          <w:szCs w:val="18"/>
        </w:rPr>
        <w:t>Megjegyzések a táblázathoz:</w:t>
      </w:r>
    </w:p>
    <w:p>
      <w:pPr>
        <w:pStyle w:val="Point0number"/>
        <w:numPr>
          <w:ilvl w:val="0"/>
          <w:numId w:val="4"/>
        </w:numPr>
        <w:rPr>
          <w:noProof/>
          <w:sz w:val="18"/>
          <w:szCs w:val="18"/>
        </w:rPr>
      </w:pPr>
      <w:r>
        <w:rPr>
          <w:noProof/>
          <w:sz w:val="18"/>
          <w:szCs w:val="18"/>
        </w:rPr>
        <w:t xml:space="preserve"> Kérjük, adjanak tájékoztatást a vízzel, energiával és hulladékkal kapcsolatos költségekről és az egyéb releváns költségekről.</w:t>
      </w:r>
    </w:p>
    <w:p>
      <w:pPr>
        <w:pStyle w:val="Point0number"/>
        <w:rPr>
          <w:noProof/>
          <w:sz w:val="18"/>
          <w:szCs w:val="18"/>
        </w:rPr>
      </w:pPr>
      <w:r>
        <w:rPr>
          <w:noProof/>
          <w:sz w:val="18"/>
          <w:szCs w:val="18"/>
        </w:rPr>
        <w:t>Kérjük, adják meg a számítási módszereket alátámasztó valamennyi pontosító és egyértelműsítő adatot.</w:t>
      </w:r>
    </w:p>
    <w:p>
      <w:pPr>
        <w:rPr>
          <w:noProof/>
        </w:rPr>
      </w:pPr>
    </w:p>
    <w:p>
      <w:pPr>
        <w:rPr>
          <w:noProof/>
        </w:rPr>
      </w:pPr>
    </w:p>
    <w:p>
      <w:pPr>
        <w:pStyle w:val="NumPar1"/>
        <w:rPr>
          <w:noProof/>
        </w:rPr>
      </w:pPr>
      <w:r>
        <w:rPr>
          <w:noProof/>
        </w:rPr>
        <w:t>Egyéb szubvenciók. A francia hatóságoknak ki kell tölteniük a 2. táblázatot, felsorolva a legkülső régiói státuszhoz kapcsolódó összes olyan egyéb támogatási intézkedést, amely a gazdasági szereplők működési többletköltségeinek kompenzálására irányul.</w:t>
      </w:r>
    </w:p>
    <w:p>
      <w:pPr>
        <w:pStyle w:val="TableTitle"/>
        <w:rPr>
          <w:noProof/>
        </w:rPr>
      </w:pPr>
      <w:r>
        <w:rPr>
          <w:noProof/>
        </w:rPr>
        <w:t>2. táblázat</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043"/>
        <w:gridCol w:w="1243"/>
        <w:gridCol w:w="1456"/>
        <w:gridCol w:w="896"/>
        <w:gridCol w:w="1922"/>
        <w:gridCol w:w="1882"/>
        <w:gridCol w:w="1683"/>
      </w:tblGrid>
      <w:tr>
        <w:tc>
          <w:tcPr>
            <w:tcW w:w="595"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Támogatási intézkedés</w:t>
            </w:r>
            <w:r>
              <w:rPr>
                <w:noProof/>
                <w:vertAlign w:val="superscript"/>
              </w:rPr>
              <w:t>1</w:t>
            </w:r>
          </w:p>
        </w:tc>
        <w:tc>
          <w:tcPr>
            <w:tcW w:w="48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Időszak</w:t>
            </w:r>
            <w:r>
              <w:rPr>
                <w:noProof/>
                <w:vertAlign w:val="superscript"/>
              </w:rPr>
              <w:t>2</w:t>
            </w:r>
            <w:r>
              <w:rPr>
                <w:noProof/>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Célágazat</w:t>
            </w:r>
            <w:r>
              <w:rPr>
                <w:noProof/>
                <w:vertAlign w:val="superscript"/>
              </w:rPr>
              <w:t>3</w:t>
            </w:r>
          </w:p>
        </w:tc>
        <w:tc>
          <w:tcPr>
            <w:tcW w:w="49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Költségvetés összege EUR-ban</w:t>
            </w:r>
            <w:r>
              <w:rPr>
                <w:noProof/>
                <w:vertAlign w:val="superscript"/>
              </w:rPr>
              <w:t>4</w:t>
            </w:r>
          </w:p>
        </w:tc>
        <w:tc>
          <w:tcPr>
            <w:tcW w:w="74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Éves kiadás EUR-ban (2019–2024)</w:t>
            </w:r>
            <w:r>
              <w:rPr>
                <w:noProof/>
                <w:vertAlign w:val="superscript"/>
              </w:rPr>
              <w:t>5</w:t>
            </w:r>
          </w:p>
        </w:tc>
        <w:tc>
          <w:tcPr>
            <w:tcW w:w="9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A többletköltségek kompenzálásának betudható költségvetésrész</w:t>
            </w:r>
            <w:r>
              <w:rPr>
                <w:noProof/>
                <w:vertAlign w:val="superscript"/>
              </w:rPr>
              <w:t>6</w:t>
            </w:r>
            <w:r>
              <w:rPr>
                <w:noProof/>
              </w:rPr>
              <w:t xml:space="preserve"> </w:t>
            </w:r>
          </w:p>
        </w:tc>
        <w:tc>
          <w:tcPr>
            <w:tcW w:w="703"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A kedvezményezett vállalatok becsült száma</w:t>
            </w:r>
            <w:r>
              <w:rPr>
                <w:noProof/>
                <w:vertAlign w:val="superscript"/>
              </w:rPr>
              <w:t>7</w:t>
            </w:r>
            <w:r>
              <w:rPr>
                <w:noProof/>
              </w:rPr>
              <w:t xml:space="preserve"> </w:t>
            </w:r>
          </w:p>
        </w:tc>
        <w:tc>
          <w:tcPr>
            <w:tcW w:w="63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noProof/>
              </w:rPr>
            </w:pPr>
            <w:r>
              <w:rPr>
                <w:noProof/>
              </w:rPr>
              <w:t>Megjegyzések</w:t>
            </w:r>
            <w:r>
              <w:rPr>
                <w:noProof/>
                <w:vertAlign w:val="superscript"/>
              </w:rPr>
              <w:t>8</w:t>
            </w:r>
          </w:p>
        </w:tc>
      </w:tr>
      <w:tr>
        <w:tc>
          <w:tcPr>
            <w:tcW w:w="595" w:type="pct"/>
            <w:tcBorders>
              <w:top w:val="single" w:sz="4" w:space="0" w:color="auto"/>
              <w:left w:val="single" w:sz="4" w:space="0" w:color="auto"/>
              <w:bottom w:val="single" w:sz="4" w:space="0" w:color="auto"/>
              <w:right w:val="single" w:sz="4" w:space="0" w:color="auto"/>
            </w:tcBorders>
            <w:hideMark/>
          </w:tcPr>
          <w:p>
            <w:pPr>
              <w:rPr>
                <w:noProof/>
              </w:rPr>
            </w:pPr>
            <w:r>
              <w:rPr>
                <w:noProof/>
              </w:rPr>
              <w:t>[felsorolás]</w:t>
            </w: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491" w:type="pct"/>
            <w:tcBorders>
              <w:top w:val="single" w:sz="4" w:space="0" w:color="auto"/>
              <w:left w:val="single" w:sz="4" w:space="0" w:color="auto"/>
              <w:bottom w:val="single" w:sz="4" w:space="0" w:color="auto"/>
              <w:right w:val="single" w:sz="4" w:space="0" w:color="auto"/>
            </w:tcBorders>
          </w:tcPr>
          <w:p>
            <w:pPr>
              <w:rPr>
                <w:noProof/>
              </w:rPr>
            </w:pPr>
          </w:p>
        </w:tc>
        <w:tc>
          <w:tcPr>
            <w:tcW w:w="744" w:type="pct"/>
            <w:tcBorders>
              <w:top w:val="single" w:sz="4" w:space="0" w:color="auto"/>
              <w:left w:val="single" w:sz="4" w:space="0" w:color="auto"/>
              <w:bottom w:val="single" w:sz="4" w:space="0" w:color="auto"/>
              <w:right w:val="single" w:sz="4" w:space="0" w:color="auto"/>
            </w:tcBorders>
          </w:tcPr>
          <w:p>
            <w:pPr>
              <w:rPr>
                <w:noProof/>
              </w:rPr>
            </w:pPr>
          </w:p>
        </w:tc>
        <w:tc>
          <w:tcPr>
            <w:tcW w:w="903" w:type="pct"/>
            <w:tcBorders>
              <w:top w:val="single" w:sz="4" w:space="0" w:color="auto"/>
              <w:left w:val="single" w:sz="4" w:space="0" w:color="auto"/>
              <w:bottom w:val="single" w:sz="4" w:space="0" w:color="auto"/>
              <w:right w:val="single" w:sz="4" w:space="0" w:color="auto"/>
            </w:tcBorders>
          </w:tcPr>
          <w:p>
            <w:pPr>
              <w:rPr>
                <w:noProof/>
              </w:rPr>
            </w:pPr>
          </w:p>
        </w:tc>
        <w:tc>
          <w:tcPr>
            <w:tcW w:w="703" w:type="pct"/>
            <w:tcBorders>
              <w:top w:val="single" w:sz="4" w:space="0" w:color="auto"/>
              <w:left w:val="single" w:sz="4" w:space="0" w:color="auto"/>
              <w:bottom w:val="single" w:sz="4" w:space="0" w:color="auto"/>
              <w:right w:val="single" w:sz="4" w:space="0" w:color="auto"/>
            </w:tcBorders>
          </w:tcPr>
          <w:p>
            <w:pPr>
              <w:rPr>
                <w:noProof/>
              </w:rPr>
            </w:pPr>
          </w:p>
        </w:tc>
        <w:tc>
          <w:tcPr>
            <w:tcW w:w="630" w:type="pct"/>
            <w:tcBorders>
              <w:top w:val="single" w:sz="4" w:space="0" w:color="auto"/>
              <w:left w:val="single" w:sz="4" w:space="0" w:color="auto"/>
              <w:bottom w:val="single" w:sz="4" w:space="0" w:color="auto"/>
              <w:right w:val="single" w:sz="4" w:space="0" w:color="auto"/>
            </w:tcBorders>
          </w:tcPr>
          <w:p>
            <w:pPr>
              <w:rPr>
                <w:noProof/>
              </w:rPr>
            </w:pPr>
          </w:p>
        </w:tc>
      </w:tr>
      <w:tr>
        <w:tc>
          <w:tcPr>
            <w:tcW w:w="595" w:type="pct"/>
            <w:tcBorders>
              <w:top w:val="single" w:sz="4" w:space="0" w:color="auto"/>
              <w:left w:val="single" w:sz="4" w:space="0" w:color="auto"/>
              <w:bottom w:val="single" w:sz="4" w:space="0" w:color="auto"/>
              <w:right w:val="single" w:sz="4" w:space="0" w:color="auto"/>
            </w:tcBorders>
            <w:hideMark/>
          </w:tcPr>
          <w:p>
            <w:pPr>
              <w:rPr>
                <w:noProof/>
              </w:rPr>
            </w:pPr>
          </w:p>
        </w:tc>
        <w:tc>
          <w:tcPr>
            <w:tcW w:w="480"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491" w:type="pct"/>
            <w:tcBorders>
              <w:top w:val="single" w:sz="4" w:space="0" w:color="auto"/>
              <w:left w:val="single" w:sz="4" w:space="0" w:color="auto"/>
              <w:bottom w:val="single" w:sz="4" w:space="0" w:color="auto"/>
              <w:right w:val="single" w:sz="4" w:space="0" w:color="auto"/>
            </w:tcBorders>
          </w:tcPr>
          <w:p>
            <w:pPr>
              <w:rPr>
                <w:noProof/>
              </w:rPr>
            </w:pPr>
          </w:p>
        </w:tc>
        <w:tc>
          <w:tcPr>
            <w:tcW w:w="744" w:type="pct"/>
            <w:tcBorders>
              <w:top w:val="single" w:sz="4" w:space="0" w:color="auto"/>
              <w:left w:val="single" w:sz="4" w:space="0" w:color="auto"/>
              <w:bottom w:val="single" w:sz="4" w:space="0" w:color="auto"/>
              <w:right w:val="single" w:sz="4" w:space="0" w:color="auto"/>
            </w:tcBorders>
          </w:tcPr>
          <w:p>
            <w:pPr>
              <w:rPr>
                <w:noProof/>
              </w:rPr>
            </w:pPr>
          </w:p>
        </w:tc>
        <w:tc>
          <w:tcPr>
            <w:tcW w:w="903" w:type="pct"/>
            <w:tcBorders>
              <w:top w:val="single" w:sz="4" w:space="0" w:color="auto"/>
              <w:left w:val="single" w:sz="4" w:space="0" w:color="auto"/>
              <w:bottom w:val="single" w:sz="4" w:space="0" w:color="auto"/>
              <w:right w:val="single" w:sz="4" w:space="0" w:color="auto"/>
            </w:tcBorders>
          </w:tcPr>
          <w:p>
            <w:pPr>
              <w:rPr>
                <w:noProof/>
              </w:rPr>
            </w:pPr>
          </w:p>
        </w:tc>
        <w:tc>
          <w:tcPr>
            <w:tcW w:w="703" w:type="pct"/>
            <w:tcBorders>
              <w:top w:val="single" w:sz="4" w:space="0" w:color="auto"/>
              <w:left w:val="single" w:sz="4" w:space="0" w:color="auto"/>
              <w:bottom w:val="single" w:sz="4" w:space="0" w:color="auto"/>
              <w:right w:val="single" w:sz="4" w:space="0" w:color="auto"/>
            </w:tcBorders>
          </w:tcPr>
          <w:p>
            <w:pPr>
              <w:rPr>
                <w:noProof/>
              </w:rPr>
            </w:pPr>
          </w:p>
        </w:tc>
        <w:tc>
          <w:tcPr>
            <w:tcW w:w="630" w:type="pct"/>
            <w:tcBorders>
              <w:top w:val="single" w:sz="4" w:space="0" w:color="auto"/>
              <w:left w:val="single" w:sz="4" w:space="0" w:color="auto"/>
              <w:bottom w:val="single" w:sz="4" w:space="0" w:color="auto"/>
              <w:right w:val="single" w:sz="4" w:space="0" w:color="auto"/>
            </w:tcBorders>
          </w:tcPr>
          <w:p>
            <w:pPr>
              <w:rPr>
                <w:noProof/>
              </w:rPr>
            </w:pPr>
          </w:p>
        </w:tc>
      </w:tr>
    </w:tbl>
    <w:p>
      <w:pPr>
        <w:rPr>
          <w:noProof/>
          <w:sz w:val="18"/>
          <w:szCs w:val="18"/>
        </w:rPr>
      </w:pPr>
      <w:r>
        <w:rPr>
          <w:noProof/>
          <w:sz w:val="18"/>
          <w:szCs w:val="18"/>
        </w:rPr>
        <w:t xml:space="preserve">Megjegyzések a táblázathoz: </w:t>
      </w:r>
    </w:p>
    <w:p>
      <w:pPr>
        <w:pStyle w:val="Point0number"/>
        <w:numPr>
          <w:ilvl w:val="0"/>
          <w:numId w:val="1"/>
        </w:numPr>
        <w:rPr>
          <w:noProof/>
          <w:sz w:val="18"/>
          <w:szCs w:val="18"/>
        </w:rPr>
      </w:pPr>
      <w:r>
        <w:rPr>
          <w:noProof/>
          <w:sz w:val="18"/>
          <w:szCs w:val="18"/>
        </w:rPr>
        <w:t xml:space="preserve">Nyújtson tájékoztatást az intézkedés megnevezéséről és típusáról (program, állami támogatás száma stb.). </w:t>
      </w:r>
    </w:p>
    <w:p>
      <w:pPr>
        <w:pStyle w:val="Point0number"/>
        <w:rPr>
          <w:noProof/>
          <w:sz w:val="18"/>
          <w:szCs w:val="18"/>
        </w:rPr>
      </w:pPr>
      <w:r>
        <w:rPr>
          <w:noProof/>
          <w:sz w:val="18"/>
          <w:szCs w:val="18"/>
        </w:rPr>
        <w:t xml:space="preserve">Tüntesse fel az intézkedés által lefedett éveket. </w:t>
      </w:r>
    </w:p>
    <w:p>
      <w:pPr>
        <w:pStyle w:val="Point0number"/>
        <w:rPr>
          <w:noProof/>
          <w:sz w:val="18"/>
          <w:szCs w:val="18"/>
        </w:rPr>
      </w:pPr>
      <w:r>
        <w:rPr>
          <w:noProof/>
          <w:sz w:val="18"/>
          <w:szCs w:val="18"/>
        </w:rPr>
        <w:t xml:space="preserve">Csak az ágazatorientált intézkedésekre vonatkozóan adjon tájékoztatást. </w:t>
      </w:r>
    </w:p>
    <w:p>
      <w:pPr>
        <w:pStyle w:val="Point0number"/>
        <w:rPr>
          <w:noProof/>
          <w:sz w:val="18"/>
          <w:szCs w:val="18"/>
        </w:rPr>
      </w:pPr>
      <w:r>
        <w:rPr>
          <w:noProof/>
          <w:sz w:val="18"/>
          <w:szCs w:val="18"/>
        </w:rPr>
        <w:t>Adjon meg információkat az intézkedés általános költségvetéséről és a finanszírozási forrásokról.</w:t>
      </w:r>
    </w:p>
    <w:p>
      <w:pPr>
        <w:pStyle w:val="Point0number"/>
        <w:rPr>
          <w:noProof/>
          <w:sz w:val="18"/>
          <w:szCs w:val="18"/>
        </w:rPr>
      </w:pPr>
      <w:r>
        <w:rPr>
          <w:noProof/>
          <w:sz w:val="18"/>
          <w:szCs w:val="18"/>
        </w:rPr>
        <w:t>Adjon meg információkat a nyomonkövetési időszak (2019–2024) alatti, évenkénti tényleges kiadásokról, amennyiben rendelkezésre állnak ilyen információk.</w:t>
      </w:r>
    </w:p>
    <w:p>
      <w:pPr>
        <w:pStyle w:val="Point0number"/>
        <w:rPr>
          <w:noProof/>
          <w:sz w:val="18"/>
          <w:szCs w:val="18"/>
        </w:rPr>
      </w:pPr>
      <w:r>
        <w:rPr>
          <w:noProof/>
          <w:sz w:val="18"/>
          <w:szCs w:val="18"/>
        </w:rPr>
        <w:t>Becsülje meg az adott összeget, a teljes költségvetés %-os részarányaként kifejezve.</w:t>
      </w:r>
    </w:p>
    <w:p>
      <w:pPr>
        <w:pStyle w:val="Point0number"/>
        <w:rPr>
          <w:noProof/>
          <w:sz w:val="18"/>
          <w:szCs w:val="18"/>
        </w:rPr>
      </w:pPr>
      <w:r>
        <w:rPr>
          <w:noProof/>
          <w:sz w:val="18"/>
          <w:szCs w:val="18"/>
        </w:rPr>
        <w:t xml:space="preserve">Becsülje fel a számot, amennyiben lehetséges. </w:t>
      </w:r>
    </w:p>
    <w:p>
      <w:pPr>
        <w:pStyle w:val="Point0number"/>
        <w:rPr>
          <w:noProof/>
          <w:sz w:val="18"/>
          <w:szCs w:val="18"/>
        </w:rPr>
      </w:pPr>
      <w:r>
        <w:rPr>
          <w:noProof/>
          <w:sz w:val="18"/>
          <w:szCs w:val="18"/>
        </w:rPr>
        <w:t>Itt megteheti észrevételeit, és további részletekkel szolgálhat.</w:t>
      </w:r>
    </w:p>
    <w:p>
      <w:pPr>
        <w:rPr>
          <w:noProof/>
        </w:rPr>
      </w:pPr>
    </w:p>
    <w:p>
      <w:pPr>
        <w:rPr>
          <w:noProof/>
        </w:rPr>
      </w:pPr>
    </w:p>
    <w:p>
      <w:pPr>
        <w:pStyle w:val="NumPar1"/>
        <w:rPr>
          <w:noProof/>
        </w:rPr>
      </w:pPr>
      <w:r>
        <w:rPr>
          <w:noProof/>
        </w:rPr>
        <w:t>Az állami költségvetésre kifejtett hatás. A 3. táblázatban a francia hatóságoknak az alkalmazott differenciált adóztatás miatt be nem szedett adó (EUR-ban kifejezett) összegét kell megadniuk.</w:t>
      </w:r>
    </w:p>
    <w:p>
      <w:pPr>
        <w:pStyle w:val="TableTitle"/>
        <w:rPr>
          <w:noProof/>
        </w:rPr>
      </w:pPr>
      <w:r>
        <w:rPr>
          <w:noProof/>
        </w:rPr>
        <w:t>3. táblázat</w:t>
      </w:r>
    </w:p>
    <w:tbl>
      <w:tblPr>
        <w:tblStyle w:val="TableGrid"/>
        <w:tblW w:w="0" w:type="auto"/>
        <w:tblInd w:w="588" w:type="dxa"/>
        <w:tblLook w:val="04A0" w:firstRow="1" w:lastRow="0" w:firstColumn="1" w:lastColumn="0" w:noHBand="0" w:noVBand="1"/>
      </w:tblPr>
      <w:tblGrid>
        <w:gridCol w:w="2363"/>
        <w:gridCol w:w="709"/>
        <w:gridCol w:w="850"/>
        <w:gridCol w:w="851"/>
        <w:gridCol w:w="709"/>
        <w:gridCol w:w="708"/>
        <w:gridCol w:w="851"/>
      </w:tblGrid>
      <w:tr>
        <w:tc>
          <w:tcPr>
            <w:tcW w:w="2363" w:type="dxa"/>
          </w:tcPr>
          <w:p>
            <w:pPr>
              <w:rPr>
                <w:noProof/>
              </w:rPr>
            </w:pPr>
          </w:p>
        </w:tc>
        <w:tc>
          <w:tcPr>
            <w:tcW w:w="709" w:type="dxa"/>
          </w:tcPr>
          <w:p>
            <w:pPr>
              <w:rPr>
                <w:noProof/>
              </w:rPr>
            </w:pPr>
            <w:r>
              <w:rPr>
                <w:noProof/>
              </w:rPr>
              <w:t>2019</w:t>
            </w:r>
          </w:p>
        </w:tc>
        <w:tc>
          <w:tcPr>
            <w:tcW w:w="850" w:type="dxa"/>
          </w:tcPr>
          <w:p>
            <w:pPr>
              <w:rPr>
                <w:noProof/>
              </w:rPr>
            </w:pPr>
            <w:r>
              <w:rPr>
                <w:noProof/>
              </w:rPr>
              <w:t>2020</w:t>
            </w:r>
          </w:p>
        </w:tc>
        <w:tc>
          <w:tcPr>
            <w:tcW w:w="851" w:type="dxa"/>
          </w:tcPr>
          <w:p>
            <w:pPr>
              <w:rPr>
                <w:noProof/>
              </w:rPr>
            </w:pPr>
            <w:r>
              <w:rPr>
                <w:noProof/>
              </w:rPr>
              <w:t>2021</w:t>
            </w:r>
          </w:p>
        </w:tc>
        <w:tc>
          <w:tcPr>
            <w:tcW w:w="709" w:type="dxa"/>
          </w:tcPr>
          <w:p>
            <w:pPr>
              <w:rPr>
                <w:noProof/>
              </w:rPr>
            </w:pPr>
            <w:r>
              <w:rPr>
                <w:noProof/>
              </w:rPr>
              <w:t>2022</w:t>
            </w:r>
          </w:p>
        </w:tc>
        <w:tc>
          <w:tcPr>
            <w:tcW w:w="708" w:type="dxa"/>
          </w:tcPr>
          <w:p>
            <w:pPr>
              <w:rPr>
                <w:noProof/>
              </w:rPr>
            </w:pPr>
            <w:r>
              <w:rPr>
                <w:noProof/>
              </w:rPr>
              <w:t>2023</w:t>
            </w:r>
          </w:p>
        </w:tc>
        <w:tc>
          <w:tcPr>
            <w:tcW w:w="851" w:type="dxa"/>
          </w:tcPr>
          <w:p>
            <w:pPr>
              <w:rPr>
                <w:noProof/>
              </w:rPr>
            </w:pPr>
            <w:r>
              <w:rPr>
                <w:noProof/>
              </w:rPr>
              <w:t>2024</w:t>
            </w:r>
          </w:p>
        </w:tc>
      </w:tr>
      <w:tr>
        <w:tc>
          <w:tcPr>
            <w:tcW w:w="2363" w:type="dxa"/>
          </w:tcPr>
          <w:p>
            <w:pPr>
              <w:rPr>
                <w:noProof/>
              </w:rPr>
            </w:pPr>
            <w:r>
              <w:rPr>
                <w:noProof/>
              </w:rPr>
              <w:t>Adóbevétel-kiesés</w:t>
            </w:r>
          </w:p>
        </w:tc>
        <w:tc>
          <w:tcPr>
            <w:tcW w:w="709" w:type="dxa"/>
          </w:tcPr>
          <w:p>
            <w:pPr>
              <w:rPr>
                <w:noProof/>
              </w:rPr>
            </w:pPr>
          </w:p>
        </w:tc>
        <w:tc>
          <w:tcPr>
            <w:tcW w:w="850" w:type="dxa"/>
          </w:tcPr>
          <w:p>
            <w:pPr>
              <w:rPr>
                <w:noProof/>
              </w:rPr>
            </w:pPr>
          </w:p>
        </w:tc>
        <w:tc>
          <w:tcPr>
            <w:tcW w:w="851" w:type="dxa"/>
          </w:tcPr>
          <w:p>
            <w:pPr>
              <w:rPr>
                <w:noProof/>
              </w:rPr>
            </w:pPr>
          </w:p>
        </w:tc>
        <w:tc>
          <w:tcPr>
            <w:tcW w:w="709" w:type="dxa"/>
          </w:tcPr>
          <w:p>
            <w:pPr>
              <w:rPr>
                <w:noProof/>
              </w:rPr>
            </w:pPr>
          </w:p>
        </w:tc>
        <w:tc>
          <w:tcPr>
            <w:tcW w:w="708" w:type="dxa"/>
          </w:tcPr>
          <w:p>
            <w:pPr>
              <w:rPr>
                <w:noProof/>
              </w:rPr>
            </w:pPr>
          </w:p>
        </w:tc>
        <w:tc>
          <w:tcPr>
            <w:tcW w:w="851" w:type="dxa"/>
          </w:tcPr>
          <w:p>
            <w:pPr>
              <w:rPr>
                <w:noProof/>
              </w:rPr>
            </w:pPr>
          </w:p>
        </w:tc>
      </w:tr>
    </w:tbl>
    <w:p>
      <w:pPr>
        <w:rPr>
          <w:noProof/>
        </w:rPr>
      </w:pPr>
    </w:p>
    <w:p>
      <w:pPr>
        <w:rPr>
          <w:noProof/>
        </w:rPr>
      </w:pPr>
    </w:p>
    <w:p>
      <w:pPr>
        <w:pStyle w:val="NumPar1"/>
        <w:rPr>
          <w:noProof/>
        </w:rPr>
      </w:pPr>
      <w:r>
        <w:rPr>
          <w:noProof/>
        </w:rPr>
        <w:t xml:space="preserve">Az általános gazdasági teljesítményre gyakorolt hatás. A 4. táblázatban a francia hatóságoknak minden olyan adatot meg kell adniuk, amely igazolja az érintett közvetett adók kedvezményes mértéke által a legkülső régiók társadalmi-gazdasági fejlődésére gyakorolt hatást. A táblázatban szereplő mutatók a rumágazat teljesítményének és a regionális gazdaság általános gazdasági teljesítményének összehasonlítására szolgálnak. Amennyiben egyes mutatók nem állnak rendelkezésre, alternatív jelentétételi adatokat kell megadni a legkülső régiók általános társadalmi-gazdasági teljesítményére vonatkozóan.  </w:t>
      </w:r>
    </w:p>
    <w:p>
      <w:pPr>
        <w:pStyle w:val="TableTitle"/>
        <w:rPr>
          <w:noProof/>
        </w:rPr>
      </w:pPr>
      <w:r>
        <w:rPr>
          <w:noProof/>
        </w:rPr>
        <w:t>4. táblázat</w:t>
      </w:r>
    </w:p>
    <w:tbl>
      <w:tblPr>
        <w:tblStyle w:val="TableGrid"/>
        <w:tblW w:w="5000" w:type="pct"/>
        <w:tblLook w:val="04A0" w:firstRow="1" w:lastRow="0" w:firstColumn="1" w:lastColumn="0" w:noHBand="0" w:noVBand="1"/>
      </w:tblPr>
      <w:tblGrid>
        <w:gridCol w:w="2914"/>
        <w:gridCol w:w="782"/>
        <w:gridCol w:w="782"/>
        <w:gridCol w:w="782"/>
        <w:gridCol w:w="782"/>
        <w:gridCol w:w="782"/>
        <w:gridCol w:w="782"/>
        <w:gridCol w:w="1683"/>
      </w:tblGrid>
      <w:tr>
        <w:tc>
          <w:tcPr>
            <w:tcW w:w="1618" w:type="pct"/>
            <w:shd w:val="clear" w:color="auto" w:fill="EEECE1" w:themeFill="background2"/>
          </w:tcPr>
          <w:p>
            <w:pPr>
              <w:rPr>
                <w:noProof/>
              </w:rPr>
            </w:pPr>
            <w:r>
              <w:rPr>
                <w:noProof/>
              </w:rPr>
              <w:t>Év</w:t>
            </w:r>
            <w:r>
              <w:rPr>
                <w:noProof/>
                <w:vertAlign w:val="superscript"/>
              </w:rPr>
              <w:t>1</w:t>
            </w:r>
          </w:p>
        </w:tc>
        <w:tc>
          <w:tcPr>
            <w:tcW w:w="470" w:type="pct"/>
            <w:shd w:val="clear" w:color="auto" w:fill="EEECE1" w:themeFill="background2"/>
          </w:tcPr>
          <w:p>
            <w:pPr>
              <w:rPr>
                <w:noProof/>
              </w:rPr>
            </w:pPr>
            <w:r>
              <w:rPr>
                <w:noProof/>
              </w:rPr>
              <w:t>2019</w:t>
            </w:r>
          </w:p>
        </w:tc>
        <w:tc>
          <w:tcPr>
            <w:tcW w:w="470" w:type="pct"/>
            <w:shd w:val="clear" w:color="auto" w:fill="EEECE1" w:themeFill="background2"/>
          </w:tcPr>
          <w:p>
            <w:pPr>
              <w:rPr>
                <w:noProof/>
              </w:rPr>
            </w:pPr>
            <w:r>
              <w:rPr>
                <w:noProof/>
              </w:rPr>
              <w:t>2020</w:t>
            </w:r>
          </w:p>
        </w:tc>
        <w:tc>
          <w:tcPr>
            <w:tcW w:w="470" w:type="pct"/>
            <w:shd w:val="clear" w:color="auto" w:fill="EEECE1" w:themeFill="background2"/>
          </w:tcPr>
          <w:p>
            <w:pPr>
              <w:rPr>
                <w:noProof/>
              </w:rPr>
            </w:pPr>
            <w:r>
              <w:rPr>
                <w:noProof/>
              </w:rPr>
              <w:t>2021</w:t>
            </w:r>
          </w:p>
        </w:tc>
        <w:tc>
          <w:tcPr>
            <w:tcW w:w="470" w:type="pct"/>
            <w:shd w:val="clear" w:color="auto" w:fill="EEECE1" w:themeFill="background2"/>
          </w:tcPr>
          <w:p>
            <w:pPr>
              <w:rPr>
                <w:noProof/>
              </w:rPr>
            </w:pPr>
            <w:r>
              <w:rPr>
                <w:noProof/>
              </w:rPr>
              <w:t>2022</w:t>
            </w:r>
          </w:p>
        </w:tc>
        <w:tc>
          <w:tcPr>
            <w:tcW w:w="470" w:type="pct"/>
            <w:shd w:val="clear" w:color="auto" w:fill="EEECE1" w:themeFill="background2"/>
          </w:tcPr>
          <w:p>
            <w:pPr>
              <w:rPr>
                <w:noProof/>
              </w:rPr>
            </w:pPr>
            <w:r>
              <w:rPr>
                <w:noProof/>
              </w:rPr>
              <w:t>2023</w:t>
            </w:r>
          </w:p>
        </w:tc>
        <w:tc>
          <w:tcPr>
            <w:tcW w:w="470" w:type="pct"/>
            <w:shd w:val="clear" w:color="auto" w:fill="EEECE1" w:themeFill="background2"/>
          </w:tcPr>
          <w:p>
            <w:pPr>
              <w:rPr>
                <w:noProof/>
              </w:rPr>
            </w:pPr>
            <w:r>
              <w:rPr>
                <w:noProof/>
              </w:rPr>
              <w:t>2024</w:t>
            </w:r>
          </w:p>
        </w:tc>
        <w:tc>
          <w:tcPr>
            <w:tcW w:w="562" w:type="pct"/>
            <w:shd w:val="clear" w:color="auto" w:fill="EEECE1" w:themeFill="background2"/>
          </w:tcPr>
          <w:p>
            <w:pPr>
              <w:rPr>
                <w:noProof/>
              </w:rPr>
            </w:pPr>
            <w:r>
              <w:rPr>
                <w:noProof/>
              </w:rPr>
              <w:t>Megjegyzések</w:t>
            </w:r>
            <w:r>
              <w:rPr>
                <w:noProof/>
                <w:vertAlign w:val="superscript"/>
              </w:rPr>
              <w:t>2</w:t>
            </w:r>
          </w:p>
        </w:tc>
      </w:tr>
      <w:tr>
        <w:tc>
          <w:tcPr>
            <w:tcW w:w="1618" w:type="pct"/>
          </w:tcPr>
          <w:p>
            <w:pPr>
              <w:rPr>
                <w:noProof/>
              </w:rPr>
            </w:pPr>
            <w:r>
              <w:rPr>
                <w:noProof/>
              </w:rPr>
              <w:t xml:space="preserve">Regionális bruttó hozzáadott érték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 rumágazatban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 cukornád-cukor-rum ágazatban</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 helyi lepárlóüzemekben foglalkoztatottak száma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 cukornád-cukor-rum ágazatban foglalkoztatottak száma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Munkanélküliségi ráta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 xml:space="preserve">Aktív vállalkozások száma </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Rumtermelők száma (a kkv-kat is beleértve)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A cukornád termesztésére használt terület (ha)</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Árszínvonalindex – Franciaország kontinentális területe</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Árszínvonalindex – régiók</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Turisták száma – régiók</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r>
        <w:tc>
          <w:tcPr>
            <w:tcW w:w="1618" w:type="pct"/>
          </w:tcPr>
          <w:p>
            <w:pPr>
              <w:rPr>
                <w:noProof/>
              </w:rPr>
            </w:pPr>
            <w:r>
              <w:rPr>
                <w:noProof/>
              </w:rPr>
              <w:t>Turisták száma – lepárlóüzemek</w:t>
            </w: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470" w:type="pct"/>
          </w:tcPr>
          <w:p>
            <w:pPr>
              <w:rPr>
                <w:noProof/>
              </w:rPr>
            </w:pPr>
          </w:p>
        </w:tc>
        <w:tc>
          <w:tcPr>
            <w:tcW w:w="562" w:type="pct"/>
          </w:tcPr>
          <w:p>
            <w:pPr>
              <w:rPr>
                <w:noProof/>
              </w:rPr>
            </w:pPr>
          </w:p>
        </w:tc>
      </w:tr>
    </w:tbl>
    <w:p>
      <w:pPr>
        <w:rPr>
          <w:noProof/>
          <w:sz w:val="18"/>
          <w:szCs w:val="18"/>
        </w:rPr>
      </w:pPr>
      <w:r>
        <w:rPr>
          <w:noProof/>
          <w:sz w:val="18"/>
          <w:szCs w:val="18"/>
        </w:rPr>
        <w:t xml:space="preserve">Megjegyzések a táblázathoz:      </w:t>
      </w:r>
    </w:p>
    <w:p>
      <w:pPr>
        <w:pStyle w:val="Point0number"/>
        <w:numPr>
          <w:ilvl w:val="0"/>
          <w:numId w:val="2"/>
        </w:numPr>
        <w:rPr>
          <w:noProof/>
          <w:sz w:val="18"/>
          <w:szCs w:val="18"/>
        </w:rPr>
      </w:pPr>
      <w:r>
        <w:rPr>
          <w:noProof/>
          <w:sz w:val="18"/>
          <w:szCs w:val="18"/>
        </w:rPr>
        <w:t>Előfordulhat, hogy nem minden felsorolt évre vonatkozóan állnak rendelkezésre információk.</w:t>
      </w:r>
    </w:p>
    <w:p>
      <w:pPr>
        <w:pStyle w:val="Point0number"/>
        <w:numPr>
          <w:ilvl w:val="0"/>
          <w:numId w:val="2"/>
        </w:numPr>
        <w:rPr>
          <w:noProof/>
          <w:sz w:val="18"/>
          <w:szCs w:val="18"/>
        </w:rPr>
      </w:pPr>
      <w:r>
        <w:rPr>
          <w:noProof/>
          <w:sz w:val="18"/>
          <w:szCs w:val="18"/>
        </w:rPr>
        <w:t>Közöljön minden lényegesnek ítélt észrevételt és pontosítást.</w:t>
      </w:r>
    </w:p>
    <w:p>
      <w:pPr>
        <w:rPr>
          <w:noProof/>
        </w:rPr>
      </w:pPr>
    </w:p>
    <w:p>
      <w:pPr>
        <w:rPr>
          <w:noProof/>
        </w:rPr>
      </w:pPr>
    </w:p>
    <w:p>
      <w:pPr>
        <w:pStyle w:val="NumPar1"/>
        <w:rPr>
          <w:noProof/>
        </w:rPr>
      </w:pPr>
      <w:r>
        <w:rPr>
          <w:noProof/>
        </w:rPr>
        <w:t>A rendszer részletezése. Az 5. táblázatot a francia hatóságoknak minden egyes rumtípusra („rhum agricole” és „rhum sucrerie”) és régióra (Guadeloupe, Francia Guyana, Martinique és Réunion) vonatkozóan ki kell tölteniük. Amennyiben egyes mutatók nem állnak rendelkezésre, alternatív jelentétételi adatokat kell megadni a rendszer részleteire vonatkozóan.</w:t>
      </w:r>
    </w:p>
    <w:p>
      <w:pPr>
        <w:pStyle w:val="TableTitle"/>
        <w:rPr>
          <w:noProof/>
        </w:rPr>
      </w:pPr>
      <w:r>
        <w:rPr>
          <w:noProof/>
        </w:rPr>
        <w:t>5. táblázat</w:t>
      </w:r>
    </w:p>
    <w:tbl>
      <w:tblPr>
        <w:tblStyle w:val="TableGrid"/>
        <w:tblW w:w="8788" w:type="dxa"/>
        <w:tblInd w:w="392" w:type="dxa"/>
        <w:tblLook w:val="04A0" w:firstRow="1" w:lastRow="0" w:firstColumn="1" w:lastColumn="0" w:noHBand="0" w:noVBand="1"/>
      </w:tblPr>
      <w:tblGrid>
        <w:gridCol w:w="4569"/>
        <w:gridCol w:w="696"/>
        <w:gridCol w:w="696"/>
        <w:gridCol w:w="707"/>
        <w:gridCol w:w="707"/>
        <w:gridCol w:w="707"/>
        <w:gridCol w:w="706"/>
      </w:tblGrid>
      <w:tr>
        <w:tc>
          <w:tcPr>
            <w:tcW w:w="4635" w:type="dxa"/>
          </w:tcPr>
          <w:p>
            <w:pPr>
              <w:rPr>
                <w:noProof/>
              </w:rPr>
            </w:pPr>
            <w:r>
              <w:rPr>
                <w:noProof/>
              </w:rPr>
              <w:t>Mennyiség (a tiszta alkohol hektoliterében megadva)</w:t>
            </w:r>
          </w:p>
        </w:tc>
        <w:tc>
          <w:tcPr>
            <w:tcW w:w="663" w:type="dxa"/>
          </w:tcPr>
          <w:p>
            <w:pPr>
              <w:rPr>
                <w:noProof/>
              </w:rPr>
            </w:pPr>
            <w:r>
              <w:rPr>
                <w:noProof/>
              </w:rPr>
              <w:t>2019</w:t>
            </w:r>
          </w:p>
        </w:tc>
        <w:tc>
          <w:tcPr>
            <w:tcW w:w="663" w:type="dxa"/>
          </w:tcPr>
          <w:p>
            <w:pPr>
              <w:rPr>
                <w:noProof/>
              </w:rPr>
            </w:pPr>
            <w:r>
              <w:rPr>
                <w:noProof/>
              </w:rPr>
              <w:t>2020</w:t>
            </w:r>
          </w:p>
        </w:tc>
        <w:tc>
          <w:tcPr>
            <w:tcW w:w="707" w:type="dxa"/>
          </w:tcPr>
          <w:p>
            <w:pPr>
              <w:rPr>
                <w:noProof/>
              </w:rPr>
            </w:pPr>
            <w:r>
              <w:rPr>
                <w:noProof/>
              </w:rPr>
              <w:t>2021</w:t>
            </w:r>
          </w:p>
        </w:tc>
        <w:tc>
          <w:tcPr>
            <w:tcW w:w="707" w:type="dxa"/>
          </w:tcPr>
          <w:p>
            <w:pPr>
              <w:rPr>
                <w:noProof/>
              </w:rPr>
            </w:pPr>
            <w:r>
              <w:rPr>
                <w:noProof/>
              </w:rPr>
              <w:t>2022</w:t>
            </w:r>
          </w:p>
        </w:tc>
        <w:tc>
          <w:tcPr>
            <w:tcW w:w="707" w:type="dxa"/>
          </w:tcPr>
          <w:p>
            <w:pPr>
              <w:rPr>
                <w:noProof/>
              </w:rPr>
            </w:pPr>
            <w:r>
              <w:rPr>
                <w:noProof/>
              </w:rPr>
              <w:t>2023</w:t>
            </w:r>
          </w:p>
        </w:tc>
        <w:tc>
          <w:tcPr>
            <w:tcW w:w="706" w:type="dxa"/>
          </w:tcPr>
          <w:p>
            <w:pPr>
              <w:rPr>
                <w:noProof/>
              </w:rPr>
            </w:pPr>
            <w:r>
              <w:rPr>
                <w:noProof/>
              </w:rPr>
              <w:t>2024</w:t>
            </w:r>
          </w:p>
        </w:tc>
      </w:tr>
      <w:tr>
        <w:tc>
          <w:tcPr>
            <w:tcW w:w="4635" w:type="dxa"/>
          </w:tcPr>
          <w:p>
            <w:pPr>
              <w:rPr>
                <w:noProof/>
              </w:rPr>
            </w:pPr>
            <w:r>
              <w:rPr>
                <w:noProof/>
              </w:rPr>
              <w:t xml:space="preserve">Rumtermelés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Hagyományos rum termelése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A helyben értékesített rum mennyisége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A kontinentális területre feladott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Franciaország kontinentális területére feladott rum</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Az eltérés keretében feladott hagyományos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Más tagállamokba feladott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 xml:space="preserve">Harmadik országokba exportált rum </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A rumexport részaránya a legkülső régiók teljes exportvolumenének százalékaként</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A hagyományos francia rum értékesítéseinek részaránya a kontinentális francia rumpiacon (%-ban kifejezve)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A kontinentális francia rumpiac növekedési üteme (%-ban kifejezve)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r>
        <w:tc>
          <w:tcPr>
            <w:tcW w:w="4635" w:type="dxa"/>
          </w:tcPr>
          <w:p>
            <w:pPr>
              <w:rPr>
                <w:noProof/>
              </w:rPr>
            </w:pPr>
            <w:r>
              <w:rPr>
                <w:noProof/>
              </w:rPr>
              <w:t>A kontinentális francia szeszesital-piac növekedési üteme (%-ban kifejezve)</w:t>
            </w:r>
          </w:p>
        </w:tc>
        <w:tc>
          <w:tcPr>
            <w:tcW w:w="663" w:type="dxa"/>
          </w:tcPr>
          <w:p>
            <w:pPr>
              <w:rPr>
                <w:noProof/>
              </w:rPr>
            </w:pPr>
          </w:p>
        </w:tc>
        <w:tc>
          <w:tcPr>
            <w:tcW w:w="663" w:type="dxa"/>
          </w:tcPr>
          <w:p>
            <w:pPr>
              <w:rPr>
                <w:noProof/>
              </w:rPr>
            </w:pPr>
          </w:p>
        </w:tc>
        <w:tc>
          <w:tcPr>
            <w:tcW w:w="707" w:type="dxa"/>
          </w:tcPr>
          <w:p>
            <w:pPr>
              <w:rPr>
                <w:noProof/>
              </w:rPr>
            </w:pPr>
          </w:p>
        </w:tc>
        <w:tc>
          <w:tcPr>
            <w:tcW w:w="707" w:type="dxa"/>
          </w:tcPr>
          <w:p>
            <w:pPr>
              <w:rPr>
                <w:noProof/>
              </w:rPr>
            </w:pPr>
          </w:p>
        </w:tc>
        <w:tc>
          <w:tcPr>
            <w:tcW w:w="707" w:type="dxa"/>
          </w:tcPr>
          <w:p>
            <w:pPr>
              <w:rPr>
                <w:noProof/>
              </w:rPr>
            </w:pPr>
          </w:p>
        </w:tc>
        <w:tc>
          <w:tcPr>
            <w:tcW w:w="706" w:type="dxa"/>
          </w:tcPr>
          <w:p>
            <w:pPr>
              <w:rPr>
                <w:noProof/>
              </w:rPr>
            </w:pPr>
          </w:p>
        </w:tc>
      </w:tr>
    </w:tbl>
    <w:p>
      <w:pPr>
        <w:rPr>
          <w:noProof/>
        </w:rPr>
      </w:pPr>
    </w:p>
    <w:p>
      <w:pPr>
        <w:rPr>
          <w:noProof/>
        </w:rPr>
      </w:pPr>
    </w:p>
    <w:p>
      <w:pPr>
        <w:pStyle w:val="NumPar1"/>
        <w:rPr>
          <w:noProof/>
        </w:rPr>
      </w:pPr>
      <w:r>
        <w:rPr>
          <w:noProof/>
        </w:rPr>
        <w:t>Szabálytalanságok. A francia hatóságoknak tájékoztatást kell adniuk minden, az engedély alkalmazásával összefüggésben igazgatási szabálytalanságok, az érintett közvetett adók elkerülése és az érintett szeszes italok csempészete tárgyában folytatott vizsgálatról. Emellett részletes információkkal kell szolgálniuk legalább az ügy jellegéről, annak értékéről és a szóban forgó időszakról.</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rPr>
      </w:pPr>
    </w:p>
    <w:p>
      <w:pPr>
        <w:rPr>
          <w:noProof/>
        </w:rPr>
      </w:pPr>
    </w:p>
    <w:p>
      <w:pPr>
        <w:pStyle w:val="NumPar1"/>
        <w:rPr>
          <w:noProof/>
        </w:rPr>
      </w:pPr>
      <w:r>
        <w:rPr>
          <w:noProof/>
        </w:rPr>
        <w:t>Panaszok. A francia hatóságoknak tájékoztatást kell adniuk arról, hogy az engedély alkalmazásával kapcsolatban érkezett-e – akár a kedvezményezettek, akár mások részéről – panasz a helyi, regionális vagy nemzeti hatóságokhoz.</w:t>
      </w:r>
    </w:p>
    <w:p>
      <w:pPr>
        <w:rPr>
          <w:noProof/>
        </w:rPr>
      </w:pPr>
    </w:p>
    <w:tbl>
      <w:tblPr>
        <w:tblStyle w:val="TableGrid"/>
        <w:tblW w:w="0" w:type="auto"/>
        <w:tblInd w:w="817" w:type="dxa"/>
        <w:tblLook w:val="04A0" w:firstRow="1" w:lastRow="0" w:firstColumn="1" w:lastColumn="0" w:noHBand="0" w:noVBand="1"/>
      </w:tblPr>
      <w:tblGrid>
        <w:gridCol w:w="8395"/>
      </w:tblGrid>
      <w:tr>
        <w:tc>
          <w:tcPr>
            <w:tcW w:w="8395" w:type="dxa"/>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color w:val="1F497D" w:themeColor="text2"/>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D2E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23A59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445E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3CF858D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C255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A4405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3AE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E4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7: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4057E04F-39F3-4921-BC02-3450CC709417"/>
    <w:docVar w:name="LW_COVERPAGE_TYPE" w:val="1"/>
    <w:docVar w:name="LW_CROSSREFERENCE" w:val="{SWD(2020) 141 final}"/>
    <w:docVar w:name="LW_DocType" w:val="ANNEX"/>
    <w:docVar w:name="LW_EMISSION" w:val="2020.7.24."/>
    <w:docVar w:name="LW_EMISSION_ISODATE" w:val="2020-07-24"/>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 Guadeloupe, Francia Guyana, Martinique és Réunion területén el\u337?állított \u8222?hagyományos\u8221? rumra kivetett egyes közvetett adókra vonatkozó kedvezmény alkalmazásának Franciaország számára történ\u337? engedélyezésér\u337?l"/>
    <w:docVar w:name="LW_OBJETACTEPRINCIPAL.CP" w:val="a Guadeloupe, Francia Guyana, Martinique és Réunion területén el\u337?állított \u8222?hagyományos\u8221? rumra kivetett egyes közvetett adókra vonatkozó kedvezmény alkalmazásának Franciaország számára történ\u337? engedélyezésér\u337?l"/>
    <w:docVar w:name="LW_PART_NBR" w:val="1"/>
    <w:docVar w:name="LW_PART_NBR_TOTAL" w:val="1"/>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MELLÉKLET"/>
    <w:docVar w:name="LW_TYPE.DOC.CP" w:val="MELLÉKLET"/>
    <w:docVar w:name="LW_TYPEACTEPRINCIPAL" w:val="A Tanács határozata"/>
    <w:docVar w:name="LW_TYPEACTEPRINCIPAL.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6</Pages>
  <Words>710</Words>
  <Characters>5247</Characters>
  <Application>Microsoft Office Word</Application>
  <DocSecurity>0</DocSecurity>
  <Lines>477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DESFEUILLET Matthieu (TAXUD)</dc:creator>
  <cp:keywords/>
  <dc:description/>
  <cp:lastModifiedBy>WES PDFC Administrator</cp:lastModifiedBy>
  <cp:revision>10</cp:revision>
  <dcterms:created xsi:type="dcterms:W3CDTF">2020-07-14T14:26:00Z</dcterms:created>
  <dcterms:modified xsi:type="dcterms:W3CDTF">2020-07-16T11:47:00Z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