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4A561C2-67D4-4947-A210-7CBE156B294A" style="width:451pt;height:334pt">
            <v:imagedata r:id="rId8" o:title=""/>
          </v:shape>
        </w:pict>
      </w:r>
    </w:p>
    <w:bookmarkEnd w:id="0"/>
    <w:p>
      <w:pPr>
        <w:pStyle w:val="Pagedecouverture"/>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p>
    <w:p>
      <w:pPr>
        <w:jc w:val="center"/>
        <w:rPr>
          <w:rFonts w:ascii="Times New Roman" w:hAnsi="Times New Roman" w:cs="Times New Roman"/>
          <w:b/>
          <w:noProof/>
          <w:sz w:val="24"/>
          <w:szCs w:val="24"/>
        </w:rPr>
      </w:pPr>
      <w:r>
        <w:rPr>
          <w:rFonts w:ascii="Times New Roman" w:hAnsi="Times New Roman"/>
          <w:b/>
          <w:noProof/>
          <w:sz w:val="24"/>
          <w:szCs w:val="24"/>
        </w:rPr>
        <w:t>KOMISIJAS ZIŅOJUMS EIROPAS PARLAMENTAM UN PADOMEI par to, kā tiek īstenotas pilnvaras pieņemt deleģētos aktus, kas Komisijai piešķirtas saskaņā ar Direktīvu 2010/75/ES par rūpnieciskajām emisijām (piesārņojuma integrēta novēršana un kontrole)</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1. IEVADS </w:t>
      </w:r>
    </w:p>
    <w:p>
      <w:pPr>
        <w:jc w:val="both"/>
        <w:rPr>
          <w:rFonts w:ascii="Times New Roman" w:hAnsi="Times New Roman" w:cs="Times New Roman"/>
          <w:noProof/>
          <w:sz w:val="24"/>
          <w:szCs w:val="24"/>
        </w:rPr>
      </w:pPr>
      <w:r>
        <w:rPr>
          <w:rFonts w:ascii="Times New Roman" w:hAnsi="Times New Roman"/>
          <w:noProof/>
          <w:sz w:val="24"/>
          <w:szCs w:val="24"/>
        </w:rPr>
        <w:t>Eiropas Parlamenta un Padomes 2010. gada 24. novembra Direktīvas 2010/75/ES par rūpnieciskajām emisijām (piesārņojuma integrēta novēršana un kontrole)</w:t>
      </w:r>
      <w:r>
        <w:rPr>
          <w:rStyle w:val="FootnoteReference"/>
          <w:noProof/>
          <w:sz w:val="24"/>
          <w:szCs w:val="24"/>
        </w:rPr>
        <w:footnoteReference w:id="1"/>
      </w:r>
      <w:r>
        <w:rPr>
          <w:rFonts w:ascii="Times New Roman" w:hAnsi="Times New Roman"/>
          <w:noProof/>
          <w:sz w:val="24"/>
          <w:szCs w:val="24"/>
        </w:rPr>
        <w:t xml:space="preserve"> mērķis ir novērst un kontrolēt gaisa, ūdens un augsnes piesārņojumu, ko rada rūpniecisko iekārtu emisijas. </w:t>
      </w:r>
    </w:p>
    <w:p>
      <w:pPr>
        <w:jc w:val="both"/>
        <w:rPr>
          <w:rFonts w:ascii="Times New Roman" w:hAnsi="Times New Roman" w:cs="Times New Roman"/>
          <w:noProof/>
          <w:sz w:val="24"/>
          <w:szCs w:val="24"/>
        </w:rPr>
      </w:pPr>
      <w:r>
        <w:rPr>
          <w:rFonts w:ascii="Times New Roman" w:hAnsi="Times New Roman"/>
          <w:noProof/>
          <w:sz w:val="24"/>
          <w:szCs w:val="24"/>
        </w:rPr>
        <w:t xml:space="preserve">Direktīvas 2010/75/ES 48. panta 5. punkts un 74. pants pilnvaro Komisiju pieņemt deleģētos aktus, lai: </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noteiktu, no kuras dienas uzsākami nepārtraukti dažu piesārņojošo vielu emisiju mērījumi gaisā,</w:t>
      </w:r>
    </w:p>
    <w:p>
      <w:pPr>
        <w:pStyle w:val="ListParagraph"/>
        <w:ind w:left="1080"/>
        <w:jc w:val="both"/>
        <w:rPr>
          <w:rFonts w:ascii="Times New Roman" w:hAnsi="Times New Roman" w:cs="Times New Roman"/>
          <w:noProof/>
          <w:sz w:val="24"/>
          <w:szCs w:val="24"/>
        </w:rPr>
      </w:pPr>
      <w:r>
        <w:rPr>
          <w:rFonts w:ascii="Times New Roman" w:hAnsi="Times New Roman"/>
          <w:noProof/>
          <w:sz w:val="24"/>
          <w:szCs w:val="24"/>
        </w:rPr>
        <w:t>un</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 xml:space="preserve"> zinātnes un tehnikas attīstībai pielāgotu vairākas direktīvas pielikumos minētas emisiju monitoringa un atbilstības novērtēšanas metodes.  </w:t>
      </w:r>
    </w:p>
    <w:p>
      <w:pPr>
        <w:jc w:val="both"/>
        <w:rPr>
          <w:rFonts w:ascii="Times New Roman" w:hAnsi="Times New Roman" w:cs="Times New Roman"/>
          <w:noProof/>
          <w:sz w:val="24"/>
          <w:szCs w:val="24"/>
        </w:rPr>
      </w:pPr>
      <w:r>
        <w:rPr>
          <w:rFonts w:ascii="Times New Roman" w:hAnsi="Times New Roman"/>
          <w:noProof/>
          <w:sz w:val="24"/>
          <w:szCs w:val="24"/>
        </w:rPr>
        <w:t xml:space="preserve">2. JURIDISKAIS PAMATS </w:t>
      </w:r>
    </w:p>
    <w:p>
      <w:pPr>
        <w:jc w:val="both"/>
        <w:rPr>
          <w:rFonts w:ascii="Times New Roman" w:hAnsi="Times New Roman" w:cs="Times New Roman"/>
          <w:noProof/>
          <w:sz w:val="24"/>
          <w:szCs w:val="24"/>
        </w:rPr>
      </w:pPr>
      <w:r>
        <w:rPr>
          <w:rFonts w:ascii="Times New Roman" w:hAnsi="Times New Roman"/>
          <w:noProof/>
          <w:sz w:val="24"/>
          <w:szCs w:val="24"/>
        </w:rPr>
        <w:t xml:space="preserve">Direktīvas 2010/75/ES 76. panta 1. punkts prasa, lai Komisija ziņotu par to, kā tiek īstenotas 48. panta 5. punktā un 74. pantā minētās relevanto deleģēto aktu pieņemšanas pilnvaras. </w:t>
      </w:r>
    </w:p>
    <w:p>
      <w:pPr>
        <w:jc w:val="both"/>
        <w:rPr>
          <w:rFonts w:ascii="Times New Roman" w:hAnsi="Times New Roman" w:cs="Times New Roman"/>
          <w:noProof/>
          <w:sz w:val="24"/>
          <w:szCs w:val="24"/>
        </w:rPr>
      </w:pPr>
      <w:r>
        <w:rPr>
          <w:rFonts w:ascii="Times New Roman" w:hAnsi="Times New Roman"/>
          <w:noProof/>
          <w:sz w:val="24"/>
          <w:szCs w:val="24"/>
        </w:rPr>
        <w:t>Saskaņā ar minēto noteikumu pilnvaras pieņemt deleģētos aktus Komisijai piešķir uz piecu gadu laikposmu no 2011. gada 6. janvāra, un pilnvaru deleģēšana tiek automātiski pagarināta par tāda paša ilguma laikposmiem, ja vien Eiropas Parlaments vai Padome to neatsauc saskaņā ar direktīvas 77. pantu.</w:t>
      </w:r>
    </w:p>
    <w:p>
      <w:pPr>
        <w:jc w:val="both"/>
        <w:rPr>
          <w:rFonts w:ascii="Times New Roman" w:hAnsi="Times New Roman" w:cs="Times New Roman"/>
          <w:noProof/>
          <w:sz w:val="24"/>
          <w:szCs w:val="24"/>
        </w:rPr>
      </w:pPr>
      <w:r>
        <w:rPr>
          <w:rFonts w:ascii="Times New Roman" w:hAnsi="Times New Roman"/>
          <w:noProof/>
          <w:sz w:val="24"/>
          <w:szCs w:val="24"/>
        </w:rPr>
        <w:t xml:space="preserve">Saskaņā ar 76. panta 1. punktu Komisijai ir pienākums vēlākais sešus mēnešus pirms piecu gadu laikposma beigām sagatavot ziņojumu par pilnvaru deleģēšanu. </w:t>
      </w:r>
    </w:p>
    <w:p>
      <w:pPr>
        <w:jc w:val="both"/>
        <w:rPr>
          <w:rFonts w:ascii="Times New Roman" w:hAnsi="Times New Roman" w:cs="Times New Roman"/>
          <w:noProof/>
          <w:sz w:val="24"/>
          <w:szCs w:val="24"/>
        </w:rPr>
      </w:pPr>
      <w:r>
        <w:rPr>
          <w:rFonts w:ascii="Times New Roman" w:hAnsi="Times New Roman"/>
          <w:noProof/>
          <w:sz w:val="24"/>
          <w:szCs w:val="24"/>
        </w:rPr>
        <w:t xml:space="preserve">2015. gada 12. jūnijā Komisija attiecīgi izdeva ziņojumu par pirmo piecu gadu laikposmu no 2011. gada 6. janvāra līdz 2016. gada 5. janvārim. Tā kā 77. pantā paredzētā pilnvaru deleģēšanas atsaukšana nenotika, otrā pilnvarojuma piecu gadu laikposms sākās 2016. gada 6. janvārī un beigsies 2021. gada 5. janvārī. </w:t>
      </w:r>
    </w:p>
    <w:p>
      <w:pPr>
        <w:jc w:val="both"/>
        <w:rPr>
          <w:rFonts w:ascii="Times New Roman" w:hAnsi="Times New Roman" w:cs="Times New Roman"/>
          <w:noProof/>
          <w:sz w:val="24"/>
          <w:szCs w:val="24"/>
        </w:rPr>
      </w:pPr>
      <w:r>
        <w:rPr>
          <w:rFonts w:ascii="Times New Roman" w:hAnsi="Times New Roman"/>
          <w:noProof/>
          <w:sz w:val="24"/>
          <w:szCs w:val="24"/>
        </w:rPr>
        <w:t xml:space="preserve">Attiecīgi un pamatojoties uz 76. panta 1. punktu, šis ziņojums aptver minēto otro piecu gadu laikposmu.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3. DELEĢĒŠANAS ĪSTENOŠANA </w:t>
      </w:r>
    </w:p>
    <w:p>
      <w:pPr>
        <w:jc w:val="both"/>
        <w:rPr>
          <w:rFonts w:ascii="Times New Roman" w:hAnsi="Times New Roman" w:cs="Times New Roman"/>
          <w:noProof/>
          <w:sz w:val="24"/>
          <w:szCs w:val="24"/>
        </w:rPr>
      </w:pPr>
      <w:r>
        <w:rPr>
          <w:rFonts w:ascii="Times New Roman" w:hAnsi="Times New Roman"/>
          <w:noProof/>
          <w:sz w:val="24"/>
          <w:szCs w:val="24"/>
        </w:rPr>
        <w:t>Pilnvaru īstenošana tika uzskatīta par nepieciešamu, lai zinātnes un tehnikas attīstības rezultātā (attiecīgā gadījumā) papildinātu vai pielāgotu vairākus direktīvas noteikumus.</w:t>
      </w:r>
    </w:p>
    <w:p>
      <w:pPr>
        <w:jc w:val="both"/>
        <w:rPr>
          <w:rFonts w:ascii="Times New Roman" w:hAnsi="Times New Roman" w:cs="Times New Roman"/>
          <w:noProof/>
          <w:sz w:val="24"/>
          <w:szCs w:val="24"/>
        </w:rPr>
      </w:pPr>
      <w:r>
        <w:rPr>
          <w:rFonts w:ascii="Times New Roman" w:hAnsi="Times New Roman"/>
          <w:noProof/>
          <w:sz w:val="24"/>
          <w:szCs w:val="24"/>
        </w:rPr>
        <w:t xml:space="preserve">Komisija ziņo, ka pagaidām nav pieņemts neviens deleģētais akts. </w:t>
      </w:r>
    </w:p>
    <w:p>
      <w:pPr>
        <w:jc w:val="both"/>
        <w:rPr>
          <w:rFonts w:ascii="Times New Roman" w:hAnsi="Times New Roman" w:cs="Times New Roman"/>
          <w:noProof/>
          <w:sz w:val="24"/>
          <w:szCs w:val="24"/>
        </w:rPr>
      </w:pPr>
      <w:r>
        <w:rPr>
          <w:rFonts w:ascii="Times New Roman" w:hAnsi="Times New Roman"/>
          <w:noProof/>
          <w:sz w:val="24"/>
          <w:szCs w:val="24"/>
        </w:rPr>
        <w:t xml:space="preserve">Tā kā mērīšanas paņēmieni un standarti nepārtrauktai emisiju mērīšanai gaisā, kā prasīts Direktīvas 2010/75/ES 48. pantā, vēl atrodas izstrādes stadijā, nav notikusi zinātnes vai tehnikas attīstība, kas būtu saistīta ar emisiju monitoringa un atbilstības novērtēšanas metodēm, kuras minētas direktīvas V–VII pielikumā. </w:t>
      </w:r>
    </w:p>
    <w:p>
      <w:pPr>
        <w:jc w:val="both"/>
        <w:rPr>
          <w:rFonts w:ascii="Times New Roman" w:hAnsi="Times New Roman" w:cs="Times New Roman"/>
          <w:noProof/>
          <w:sz w:val="24"/>
          <w:szCs w:val="24"/>
        </w:rPr>
      </w:pPr>
      <w:r>
        <w:rPr>
          <w:rFonts w:ascii="Times New Roman" w:hAnsi="Times New Roman"/>
          <w:noProof/>
          <w:sz w:val="24"/>
          <w:szCs w:val="24"/>
        </w:rPr>
        <w:t>Tam par iemeslu ir:</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szCs w:val="24"/>
        </w:rPr>
        <w:t xml:space="preserve">tas, ka nav Eiropas (EN) standartu attiecībā uz paņēmieniem, ar kādiem nepārtraukti mērīt smago metālu, dioksīnu un furānu emisijas gaisā (48. panta 5. punkts), un </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szCs w:val="24"/>
        </w:rPr>
        <w:t>tas, ka nav panākts ievērojams progress esošo EN standartu pārskatīšanā attiecībā uz citām direktīvas aptvertajām piesārņojošajām vielām (74. pants).</w:t>
      </w:r>
    </w:p>
    <w:p>
      <w:pPr>
        <w:jc w:val="both"/>
        <w:rPr>
          <w:rFonts w:ascii="Times New Roman" w:hAnsi="Times New Roman" w:cs="Times New Roman"/>
          <w:noProof/>
          <w:sz w:val="24"/>
          <w:szCs w:val="24"/>
        </w:rPr>
      </w:pPr>
      <w:r>
        <w:rPr>
          <w:rFonts w:ascii="Times New Roman" w:hAnsi="Times New Roman"/>
          <w:noProof/>
          <w:sz w:val="24"/>
          <w:szCs w:val="24"/>
        </w:rPr>
        <w:t xml:space="preserve">Attiecīgi Komisijai nav bijis iespējas pieņemt deleģētos aktus, lai noteiktu, no kuras dienas jāveic nepārtraukti attiecīgo emisiju mērījumi, un lai pielāgotu Direktīvas 2010/75/ES V, VI vai VII pielikuma relevantās daļas.     </w:t>
      </w:r>
    </w:p>
    <w:p>
      <w:pPr>
        <w:jc w:val="both"/>
        <w:rPr>
          <w:rFonts w:ascii="Times New Roman" w:hAnsi="Times New Roman" w:cs="Times New Roman"/>
          <w:noProof/>
          <w:sz w:val="24"/>
          <w:szCs w:val="24"/>
        </w:rPr>
      </w:pPr>
      <w:r>
        <w:rPr>
          <w:rFonts w:ascii="Times New Roman" w:hAnsi="Times New Roman"/>
          <w:noProof/>
          <w:sz w:val="24"/>
          <w:szCs w:val="24"/>
        </w:rPr>
        <w:t xml:space="preserve">4. SECINĀJUMS </w:t>
      </w:r>
    </w:p>
    <w:p>
      <w:pPr>
        <w:jc w:val="both"/>
        <w:rPr>
          <w:rFonts w:ascii="Times New Roman" w:hAnsi="Times New Roman" w:cs="Times New Roman"/>
          <w:noProof/>
          <w:sz w:val="24"/>
          <w:szCs w:val="24"/>
        </w:rPr>
      </w:pPr>
      <w:r>
        <w:rPr>
          <w:rFonts w:ascii="Times New Roman" w:hAnsi="Times New Roman"/>
          <w:noProof/>
          <w:sz w:val="24"/>
          <w:szCs w:val="24"/>
        </w:rPr>
        <w:t xml:space="preserve">Pēdējos piecos gados Komisija nav izmantojusi Direktīvas 2010/75/ES piešķirtās pilnvaras pieņemt deleģētos aktus. </w:t>
      </w:r>
    </w:p>
    <w:p>
      <w:pPr>
        <w:jc w:val="both"/>
        <w:rPr>
          <w:rFonts w:ascii="Times New Roman" w:hAnsi="Times New Roman" w:cs="Times New Roman"/>
          <w:noProof/>
          <w:sz w:val="24"/>
          <w:szCs w:val="24"/>
        </w:rPr>
      </w:pPr>
      <w:r>
        <w:rPr>
          <w:rFonts w:ascii="Times New Roman" w:hAnsi="Times New Roman"/>
          <w:noProof/>
          <w:sz w:val="24"/>
          <w:szCs w:val="24"/>
        </w:rPr>
        <w:t>Komisija aicina Eiropas Parlamentu un Padomi ņemt vērā šo ziņojumu.</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5966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Pr>
        <w:footnoteRef/>
      </w:r>
      <w:r>
        <w:t xml:space="preserve"> </w:t>
      </w:r>
      <w:r>
        <w:rPr>
          <w:rFonts w:ascii="Times New Roman" w:hAnsi="Times New Roman"/>
        </w:rPr>
        <w:t>OV L 334, 17.12.2010., 17.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4086"/>
    <w:multiLevelType w:val="hybridMultilevel"/>
    <w:tmpl w:val="B6A2EB80"/>
    <w:lvl w:ilvl="0" w:tplc="4B08C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C73746"/>
    <w:multiLevelType w:val="hybridMultilevel"/>
    <w:tmpl w:val="D9AE65A8"/>
    <w:lvl w:ilvl="0" w:tplc="B49084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hideSpellingErrors/>
  <w:hideGrammaticalErrors/>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4A561C2-67D4-4947-A210-7CBE156B294A"/>
    <w:docVar w:name="LW_COVERPAGE_TYPE" w:val="1"/>
    <w:docVar w:name="LW_CROSSREFERENCE" w:val="&lt;UNUSED&gt;"/>
    <w:docVar w:name="LW_DocType" w:val="NORMAL"/>
    <w:docVar w:name="LW_EMISSION" w:val="24.7.2020"/>
    <w:docVar w:name="LW_EMISSION_ISODATE" w:val="2020-07-24"/>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ar to, k\u257? tiek \u299?stenotas pilnvaras pie\u326?emt dele\u291?\u275?tos aktus, kas Komisijai pie\u353?\u311?irtas saska\u326?\u257? ar Direkt\u299?vu 2010/75/ES par r\u363?pnieciskaj\u257?m emisij\u257?m (pies\u257?r\u326?ojuma integr\u275?ta nov\u275?r\u353?ana un kontrole)&lt;/FMT&gt;_x000d__x000d__x000d__x000d__x000d__x000b_"/>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451</Words>
  <Characters>2847</Characters>
  <Application>Microsoft Office Word</Application>
  <DocSecurity>0</DocSecurity>
  <Lines>58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2020-06-12T12:27:00Z</dcterms:created>
  <dcterms:modified xsi:type="dcterms:W3CDTF">2020-07-14T14:18:00Z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