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1522A7BD-42DA-4FBF-B91C-BF12E30721E9" style="width:450.45pt;height:380.15pt">
            <v:imagedata r:id="rId9" o:title=""/>
          </v:shape>
        </w:pict>
      </w:r>
    </w:p>
    <w:p>
      <w:p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pPr>
      <w:bookmarkStart w:id="0" w:name="_GoBack"/>
      <w:bookmarkEnd w:id="0"/>
      <w:r>
        <w:lastRenderedPageBreak/>
        <w:t>ΑΙΤΙΟΛΟΓΙΚΗ ΕΚΘΕΣΗ</w:t>
      </w:r>
    </w:p>
    <w:p/>
    <w:p>
      <w:pPr>
        <w:pStyle w:val="ManualHeading1"/>
      </w:pPr>
      <w:r>
        <w:t>1.</w:t>
      </w:r>
      <w:r>
        <w:tab/>
        <w:t>ΠΛΑΙΣΙΟ ΤΗΣ ΠΡΟΤΑΣΗΣ</w:t>
      </w:r>
    </w:p>
    <w:p>
      <w:pPr>
        <w:pStyle w:val="ManualHeading2"/>
        <w:rPr>
          <w:rFonts w:eastAsia="Arial Unicode MS"/>
        </w:rPr>
      </w:pPr>
      <w:r>
        <w:rPr>
          <w:color w:val="000000"/>
          <w:u w:color="000000"/>
          <w:bdr w:val="nil"/>
        </w:rPr>
        <w:t>•</w:t>
      </w:r>
      <w:r>
        <w:tab/>
        <w:t>Αιτιολόγηση και στόχοι της πρότασης</w:t>
      </w:r>
    </w:p>
    <w:p>
      <w:r>
        <w:t>Το σχέδιο δράσης για την επιβολή της δασικής νομοθεσίας, τη διακυβέρνηση και το εμπόριο (</w:t>
      </w:r>
      <w:r>
        <w:t>FLEGT</w:t>
      </w:r>
      <w:r>
        <w:t>)</w:t>
      </w:r>
      <w:r>
        <w:rPr>
          <w:rStyle w:val="FootnoteReference"/>
        </w:rPr>
        <w:footnoteReference w:id="2"/>
      </w:r>
      <w:r>
        <w:t>, που εγκρίθηκε από το Συμβούλιο το 2003</w:t>
      </w:r>
      <w:r>
        <w:rPr>
          <w:rStyle w:val="FootnoteReference"/>
        </w:rPr>
        <w:footnoteReference w:id="3"/>
      </w:r>
      <w:r>
        <w:t xml:space="preserve">, προτείνει μια σειρά μέτρων μεταξύ των οποίων περιλαμβάνονται η στήριξη των χωρών παραγωγής ξυλείας, η πολυμερής συνεργασία για την καταπολέμηση του εμπορίου παράνομα υλοτομημένης ξυλείας, η στήριξη των πρωτοβουλιών του ιδιωτικού τομέα, καθώς και μέτρα για την αποτροπή των επενδύσεων σε δραστηριότητες που ενθαρρύνουν την παράνομη υλοτομία. Ακρογωνιαίος λίθος του σχεδίου δράσης είναι η σύναψη εταιρικών σχέσεων </w:t>
      </w:r>
      <w:r>
        <w:t>FLEGT</w:t>
      </w:r>
      <w:r>
        <w:t xml:space="preserve"> μεταξύ της ΕΕ και των χωρών παραγωγής ξυλείας, ώστε να τεθεί ένα τέλος στην παράνομη υλοτομία. </w:t>
      </w:r>
      <w:r>
        <w:t>Το 2005, το Συμβούλιο εξέδωσε τον κανονισμό (ΕΚ) αριθ. 2173/2005 περί δημιουργίας εθελοντικού συστήματος αδειών FLEGT για τις εισαγωγές ξυλείας στην Ευρωπαϊκή Κοινότητα</w:t>
      </w:r>
      <w:r>
        <w:rPr>
          <w:rStyle w:val="FootnoteReference"/>
        </w:rPr>
        <w:footnoteReference w:id="4"/>
      </w:r>
      <w:r>
        <w:t>, μηχανισμό που επιτρέπει τον έλεγχο της νομιμότητας των εισαγωγών ξυλείας στην ΕΕ στο πλαίσιο των εταιρικών σχέσεων FLEGT.</w:t>
      </w:r>
    </w:p>
    <w:p>
      <w:r>
        <w:t>Το 2005 το Συμβούλιο εξουσιοδότησε την Επιτροπή να διαπραγματευθεί συμφωνίες εταιρικής σχέσης FLEGT με τις χώρες παραγωγής ξυλείας</w:t>
      </w:r>
      <w:r>
        <w:rPr>
          <w:rStyle w:val="FootnoteReference"/>
        </w:rPr>
        <w:footnoteReference w:id="5"/>
      </w:r>
      <w:r>
        <w:t xml:space="preserve">. </w:t>
      </w:r>
    </w:p>
    <w:p>
      <w:r>
        <w:t xml:space="preserve">Η Επιτροπή ξεκίνησε τις διαπραγματεύσεις με την Ονδούρα το 2013. Η Επιτροπή ενημέρωνε τακτικά το Συμβούλιο σχετικά με την πρόοδο των διαπραγματεύσεων, με εκθέσεις προς την ομάδα εργασίας «δάση» καθώς και τις αποστολές των κρατών μελών στην Ονδούρα. Η Επιτροπή ενημέρωνε επίσης το Ευρωπαϊκό Κοινοβούλιο σχετικά με τις εξελίξεις στις διαπραγματεύσεις. Μετά από κάθε συνεδρία διαπραγμάτευσης, τα μέρη πραγματοποιούσαν τακτικά συναντήσεις δημόσιας ενημέρωσης για να ενημερώνουν τα ενδιαφερόμενα μέρη σχετικά με τη διαδικασία.  </w:t>
      </w:r>
    </w:p>
    <w:p>
      <w:r>
        <w:t xml:space="preserve">Η συμφωνία εθελοντικής εταιρικής σχέσης μεταξύ της ΕΕ και της Ονδούρας (η «συμφωνία») διαλαμβάνει όλα τα στοιχεία των οδηγιών διαπραγμάτευσης του Συμβουλίου. Ειδικότερα, θεσπίζει το πλαίσιο, τα θεσμικά όργανα και τα συστήματα για το σύστημα διασφάλισης της νομιμότητας της ξυλείας όσον αφορά το σύστημα αδειών FLEGT. Επίσης, ορίζει το πλαίσιο παρακολούθησης της συμμόρφωσης και του ανεξάρτητου ελέγχου του συστήματος. Η συμφωνία περιλαμβάνει σαφή δέσμευση της Ονδούρας να θεσπίσει νομοθεσία προκειμένου να διασφαλίσει ότι η εισαγόμενη στην Ονδούρα ξυλεία αποτελεί προϊόν νόμιμης υλοτομίας σύμφωνα με την ισχύουσα νομοθεσία της χώρας στην οποία λαμβάνει χώρα η υλοτομία. Τα στοιχεία αυτά καθορίζονται στα παραρτήματα της συμφωνίας, στα οποία παρέχεται αναλυτική περιγραφή των δομών στις οποίες θα βασιστεί η ανάπτυξη και εφαρμογή του συστήματος διασφάλισης της νομιμότητας της ξυλείας της Ονδούρας, και στα οποία προσδιορίζονται τα κριτήρια εκτίμησης της λειτουργικότητας του συστήματος πριν από τη λήψη της μελλοντικής απόφασης σχετικά με την έναρξη του συστήματος αδειών FLEGT. </w:t>
      </w:r>
    </w:p>
    <w:p>
      <w:r>
        <w:t xml:space="preserve">Η συμφωνία αποσκοπεί να ενισχύσει τη δασική διακυβέρνηση και την επιβολή της δασικής νομοθεσίας, ενώ, μέσω του συστήματος αδειών FLEGT, θα διασφαλίζει ότι η ξυλεία που </w:t>
      </w:r>
      <w:r>
        <w:lastRenderedPageBreak/>
        <w:t>εξάγεται από την Ονδούρα και διατίθεται στην αγορά της ΕΕ αποτελεί προϊόν νόμιμης υλοτομίας. Όταν αρχίσουν να εκδίδονται οι άδειες FLEGT, η συμφωνία θα διευκολύνει τη συμμόρφωση των εισαγωγέων της ΕΕ με τις απαιτήσεις του κανονισμού (ΕΕ) αριθ. 995/2010 του Ευρωπαϊκού Κοινοβουλίου και του Συμβουλίου για τη θέσπιση των υποχρεώσεων των φορέων εκμετάλλευσης που διαθέτουν ξυλεία και προϊόντα ξυλείας στην αγορά</w:t>
      </w:r>
      <w:r>
        <w:rPr>
          <w:rStyle w:val="FootnoteReference"/>
        </w:rPr>
        <w:footnoteReference w:id="6"/>
      </w:r>
      <w:r>
        <w:t xml:space="preserve">, στον οποίο ορίζεται ότι η ξυλεία και τα προϊόντα ξυλείας που καλύπτονται από άδεια FLEGT θεωρούνται νομίμως υλοτομημένα για τους σκοπούς του εν λόγω κανονισμού.  </w:t>
      </w:r>
    </w:p>
    <w:p>
      <w:r>
        <w:t>Η συμφωνία θεσπίζει μηχανισμό διαλόγου και συνεργασίας μεταξύ της ΕΕ και της Ονδούρας σχετικά με το σύστημα αδειών FLEGT, μέσω μιας κοινής επιτροπής εφαρμογής. Θεσπίζει επίσης αρχές για τη συμμετοχή των ενδιαφερόμενων φορέων, τις κοινωνικές διασφαλίσεις, τη λογοδοσία και τη διαφάνεια, καθώς και μηχανισμούς υποβολής καταγγελιών, παρακολούθησης και υποβολής εκθέσεων σχετικά με την εφαρμογή της συμφωνίας.</w:t>
      </w:r>
    </w:p>
    <w:p>
      <w:r>
        <w:t xml:space="preserve">Η συμφωνία δεν περιορίζεται μόνο στα προϊόντα που προτείνεται να καλύπτονται στο παράρτημα II του κανονισμού (ΕΚ) αριθ. 2173/2005, αλλά καλύπτει ευρύ φάσμα εξαγόμενων προϊόντων ξυλείας. </w:t>
      </w:r>
    </w:p>
    <w:p>
      <w:r>
        <w:t xml:space="preserve">Η συμφωνία περιέχει διάταξη για τον έλεγχο των εισαγωγών στα σύνορα της ΕΕ, όπως προβλέπουν ο κανονισμός (ΕΚ) αριθ. 2173/2005 για το σύστημα αδειών FLEGT και ο κανονισμός (ΕΚ) αριθ. 1024/2008 περί καθορισμού λεπτομερών μέτρων για την εφαρμογή του. Η συμφωνία περιλαμβάνει υπόδειγμα της άδειας FLEGT της Ονδούρας, για την οποία χρησιμοποιείται ο μορφότυπος που περιγράφεται στον προαναφερθέντα κανονισμό εφαρμογής. </w:t>
      </w:r>
    </w:p>
    <w:p>
      <w:pPr>
        <w:pStyle w:val="ManualHeading2"/>
        <w:rPr>
          <w:rFonts w:eastAsia="Arial Unicode MS"/>
          <w:color w:val="000000"/>
          <w:u w:color="000000"/>
          <w:bdr w:val="nil"/>
        </w:rPr>
      </w:pPr>
      <w:r>
        <w:rPr>
          <w:color w:val="000000"/>
          <w:u w:color="000000"/>
          <w:bdr w:val="nil"/>
        </w:rPr>
        <w:t>•</w:t>
      </w:r>
      <w:r>
        <w:tab/>
      </w:r>
      <w:sdt>
        <w:sdtPr>
          <w:rPr>
            <w:rFonts w:eastAsia="Arial Unicode MS"/>
            <w:color w:val="000000"/>
            <w:u w:color="000000"/>
            <w:bdr w:val="nil"/>
          </w:rPr>
          <w:id w:val="1954589231"/>
          <w:lock w:val="contentLocked"/>
          <w:placeholder>
            <w:docPart w:val="4EAFB6CDFF3A49979108D6E8DD600C44"/>
          </w:placeholder>
          <w:group/>
        </w:sdtPr>
        <w:sdtEndPr>
          <w:rPr>
            <w:color w:val="auto"/>
            <w:bdr w:val="none" w:sz="0" w:space="0" w:color="auto"/>
          </w:rPr>
        </w:sdtEndPr>
        <w:sdtContent>
          <w:sdt>
            <w:sdtPr>
              <w:rPr>
                <w:rFonts w:eastAsia="Arial Unicode MS"/>
                <w:color w:val="000000"/>
                <w:u w:color="000000"/>
                <w:bdr w:val="nil"/>
              </w:rPr>
              <w:id w:val="-1169639288"/>
              <w:lock w:val="contentLocked"/>
              <w:placeholder>
                <w:docPart w:val="4EAFB6CDFF3A49979108D6E8DD600C44"/>
              </w:placeholder>
              <w:group/>
            </w:sdtPr>
            <w:sdtEndPr>
              <w:rPr>
                <w:color w:val="auto"/>
                <w:bdr w:val="none" w:sz="0" w:space="0" w:color="auto"/>
              </w:rPr>
            </w:sdtEndPr>
            <w:sdtContent>
              <w:r>
                <w:t>Συνέπεια με τις ισχύουσες διατάξεις στον τομέα πολιτικής</w:t>
              </w:r>
            </w:sdtContent>
          </w:sdt>
        </w:sdtContent>
      </w:sdt>
    </w:p>
    <w:p>
      <w:pPr>
        <w:pBdr>
          <w:top w:val="nil"/>
          <w:left w:val="nil"/>
          <w:bottom w:val="nil"/>
          <w:right w:val="nil"/>
          <w:between w:val="nil"/>
          <w:bar w:val="nil"/>
        </w:pBdr>
        <w:spacing w:before="0" w:after="240"/>
        <w:rPr>
          <w:rFonts w:eastAsia="Arial Unicode MS"/>
        </w:rPr>
      </w:pPr>
      <w:r>
        <w:t>Η πρωτοβουλία συνάδει με τον κανονισμό (ΕΕ) αριθ. 995/2010, διότι τα προϊόντα ξυλείας που θα καλύπτονται από τις άδειες FLEGT που εκδίδονται στην Ονδούρα βάσει της παρούσας συμφωνίας θα θεωρούνται νομίμως υλοτομημένα, σύμφωνα με το άρθρο 3 του εν λόγω κανονισμού.</w:t>
      </w:r>
    </w:p>
    <w:p>
      <w:pPr>
        <w:pStyle w:val="ManualHeading2"/>
        <w:rPr>
          <w:rFonts w:eastAsia="Arial Unicode MS"/>
        </w:rPr>
      </w:pPr>
      <w:r>
        <w:rPr>
          <w:color w:val="000000"/>
          <w:u w:color="000000"/>
          <w:bdr w:val="nil"/>
        </w:rPr>
        <w:t>•</w:t>
      </w:r>
      <w:r>
        <w:tab/>
        <w:t>Συνέπεια με άλλες πολιτικές της Ένωσης</w:t>
      </w:r>
    </w:p>
    <w:p>
      <w:pPr>
        <w:pBdr>
          <w:top w:val="nil"/>
          <w:left w:val="nil"/>
          <w:bottom w:val="nil"/>
          <w:right w:val="nil"/>
          <w:between w:val="nil"/>
          <w:bar w:val="nil"/>
        </w:pBdr>
        <w:spacing w:before="0" w:after="240"/>
        <w:rPr>
          <w:rFonts w:eastAsia="Arial Unicode MS"/>
        </w:rPr>
      </w:pPr>
      <w:r>
        <w:t xml:space="preserve"> Στο πλαίσιο του σχεδίου δράσης FLEGT, η σύναψη της παρούσας συμφωνίας είναι συναφής με την ενωσιακή πολιτική αναπτυξιακής συνεργασίας, διότι δεν προάγει απλώς το εμπόριο της νόμιμα υλοτομημένης ξυλείας, αλλά αποσκοπεί επίσης να ενισχύσει τη δασική διακυβέρνηση στην Ονδούρα με τη βελτίωση της διαφάνειας, της λογοδοσίας και της συμμετοχής των ενδιαφερόμενων μερών. Δεδομένου ότι η εφαρμογή της συμφωνίας θα ενισχύσει τη βιώσιμη δασική διαχείριση, η πρωτοβουλία αυτή θα συμβάλει επίσης στην καταπολέμηση της κλιματικής αλλαγής μέσω της μείωσης των εκπομπών που οφείλονται στην αποψίλωση και την υποβάθμιση των δασών.</w:t>
      </w:r>
    </w:p>
    <w:p>
      <w:pPr>
        <w:pStyle w:val="ManualHeading1"/>
      </w:pPr>
      <w:r>
        <w:t>2.</w:t>
      </w:r>
      <w:r>
        <w:tab/>
        <w:t>ΝΟΜΙΚΗ ΒΑΣΗ, ΕΠΙΚΟΥΡΙΚΟΤΗΤΑ ΚΑΙ ΑΝΑΛΟΓΙΚΟΤΗΤΑ</w:t>
      </w:r>
    </w:p>
    <w:p>
      <w:pPr>
        <w:pStyle w:val="ManualHeading2"/>
        <w:rPr>
          <w:rFonts w:eastAsia="Arial Unicode MS"/>
          <w:u w:color="000000"/>
          <w:bdr w:val="nil"/>
        </w:rPr>
      </w:pPr>
      <w:r>
        <w:rPr>
          <w:u w:color="000000"/>
          <w:bdr w:val="nil"/>
        </w:rPr>
        <w:t>•</w:t>
      </w:r>
      <w:r>
        <w:tab/>
      </w:r>
      <w:r>
        <w:rPr>
          <w:u w:color="000000"/>
          <w:bdr w:val="nil"/>
        </w:rPr>
        <w:t>Νομική βάση</w:t>
      </w:r>
    </w:p>
    <w:p>
      <w:pPr>
        <w:pBdr>
          <w:top w:val="nil"/>
          <w:left w:val="nil"/>
          <w:bottom w:val="nil"/>
          <w:right w:val="nil"/>
          <w:between w:val="nil"/>
          <w:bar w:val="nil"/>
        </w:pBdr>
        <w:spacing w:before="0" w:after="240"/>
        <w:rPr>
          <w:noProof/>
        </w:rPr>
      </w:pPr>
      <w:r>
        <w:t>Η προτεινόμενη νομική βάση είναι το άρθρο 207 παράγραφος 3 πρώτο εδάφιο και το άρθρο 207 παράγραφος 4 πρώτο εδάφιο, σε συνδυασμό με το άρθρο 218 παράγραφος 5 της Συνθήκης για τη λειτουργία της Ευρωπαϊκής Ένωσης (ΣΛΕΕ).</w:t>
      </w:r>
    </w:p>
    <w:p>
      <w:pPr>
        <w:pBdr>
          <w:top w:val="nil"/>
          <w:left w:val="nil"/>
          <w:bottom w:val="nil"/>
          <w:right w:val="nil"/>
          <w:between w:val="nil"/>
          <w:bar w:val="nil"/>
        </w:pBdr>
        <w:spacing w:before="0" w:after="240"/>
        <w:rPr>
          <w:rFonts w:eastAsia="Arial Unicode MS"/>
        </w:rPr>
      </w:pPr>
      <w:r>
        <w:lastRenderedPageBreak/>
        <w:t xml:space="preserve">Δεδομένου του στόχου και του περιεχομένου της συμφωνίας, η οποία παρέχει ένα νομικό πλαίσιο που θα διασφαλίζει ότι το σύνολο των εισαγωγών ξυλείας και προϊόντων ξυλείας από την Ονδούρα στην Ένωση τα οποία καλύπτονται από τη συμφωνία είναι νομίμως υλοτομημένα, η Ένωση έχει την αποκλειστική αρμοδιότητα να τη συνάψει, σύμφωνα με το άρθρο 207 παράγραφοι 3 και 4 της ΣΛΕΕ. Το άρθρο 218 παράγραφος 5 της ΣΛΕΕ εξουσιοδοτεί το Συμβούλιο να εκδώσει απόφαση που επιτρέπει την υπογραφή της συμφωνίας ύστερα από πρόταση του διαπραγματευτή. </w:t>
      </w:r>
    </w:p>
    <w:p>
      <w:pPr>
        <w:pStyle w:val="ManualHeading2"/>
        <w:rPr>
          <w:rFonts w:eastAsia="Arial Unicode MS"/>
          <w:u w:color="000000"/>
          <w:bdr w:val="nil"/>
        </w:rPr>
      </w:pPr>
      <w:r>
        <w:rPr>
          <w:u w:color="000000"/>
          <w:bdr w:val="nil"/>
        </w:rPr>
        <w:t>•</w:t>
      </w:r>
      <w:r>
        <w:tab/>
      </w:r>
      <w:r>
        <w:rPr>
          <w:u w:color="000000"/>
          <w:bdr w:val="nil"/>
        </w:rPr>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rPr>
      </w:pPr>
      <w:r>
        <w:t>Άνευ αντικειμένου.</w:t>
      </w:r>
    </w:p>
    <w:p>
      <w:pPr>
        <w:pStyle w:val="ManualHeading2"/>
        <w:rPr>
          <w:rFonts w:eastAsia="Arial Unicode MS"/>
          <w:u w:color="000000"/>
          <w:bdr w:val="nil"/>
        </w:rPr>
      </w:pPr>
      <w:r>
        <w:rPr>
          <w:u w:color="000000"/>
          <w:bdr w:val="nil"/>
        </w:rPr>
        <w:t>•</w:t>
      </w:r>
      <w:r>
        <w:tab/>
      </w:r>
      <w:r>
        <w:rPr>
          <w:u w:color="000000"/>
          <w:bdr w:val="nil"/>
        </w:rPr>
        <w:t>Αναλογικότητα</w:t>
      </w:r>
    </w:p>
    <w:p>
      <w:pPr>
        <w:pBdr>
          <w:top w:val="nil"/>
          <w:left w:val="nil"/>
          <w:bottom w:val="nil"/>
          <w:right w:val="nil"/>
          <w:between w:val="nil"/>
          <w:bar w:val="nil"/>
        </w:pBdr>
        <w:spacing w:before="0" w:after="240"/>
        <w:rPr>
          <w:rFonts w:eastAsia="Arial Unicode MS"/>
        </w:rPr>
      </w:pPr>
      <w:r>
        <w:t xml:space="preserve">Η σύναψη της παρούσας συμφωνίας συνάδει με το σχέδιο δράσης FLEGT και δεν υπερβαίνει ό,τι είναι αναγκαίο για την επίτευξη των σκοπών του. </w:t>
      </w:r>
    </w:p>
    <w:p>
      <w:pPr>
        <w:pStyle w:val="ManualHeading2"/>
        <w:rPr>
          <w:rFonts w:eastAsia="Arial Unicode MS"/>
          <w:u w:color="000000"/>
          <w:bdr w:val="nil"/>
        </w:rPr>
      </w:pPr>
      <w:r>
        <w:rPr>
          <w:u w:color="000000"/>
          <w:bdr w:val="nil"/>
        </w:rPr>
        <w:t>•</w:t>
      </w:r>
      <w:r>
        <w:tab/>
      </w:r>
      <w:r>
        <w:rPr>
          <w:u w:color="000000"/>
          <w:bdr w:val="nil"/>
        </w:rPr>
        <w:t>Επιλογή της νομικής πράξης</w:t>
      </w:r>
    </w:p>
    <w:p>
      <w:pPr>
        <w:pBdr>
          <w:top w:val="nil"/>
          <w:left w:val="nil"/>
          <w:bottom w:val="nil"/>
          <w:right w:val="nil"/>
          <w:between w:val="nil"/>
          <w:bar w:val="nil"/>
        </w:pBdr>
        <w:spacing w:before="0" w:after="240"/>
        <w:rPr>
          <w:rFonts w:eastAsia="Arial Unicode MS"/>
        </w:rPr>
      </w:pPr>
      <w:r>
        <w:t>Η παρούσα πρόταση συνάδει με το άρθρο 218 παράγραφος 5 της ΣΛΕΕ, το οποίο προβλέπει την έκδοση αποφάσεων του Συμβουλίου που επιτρέπουν την υπογραφή διεθνών συμφωνιών.</w:t>
      </w:r>
    </w:p>
    <w:p>
      <w:pPr>
        <w:pStyle w:val="ManualHeading1"/>
      </w:pPr>
      <w:r>
        <w:t>3.</w:t>
      </w:r>
      <w: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u w:color="000000"/>
          <w:bdr w:val="nil"/>
        </w:rPr>
      </w:pPr>
      <w:r>
        <w:rPr>
          <w:u w:color="000000"/>
          <w:bdr w:val="nil"/>
        </w:rPr>
        <w:t>•</w:t>
      </w:r>
      <w:r>
        <w:tab/>
      </w:r>
      <w:r>
        <w:rPr>
          <w:u w:color="000000"/>
          <w:bdr w:val="nil"/>
        </w:rPr>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rFonts w:eastAsia="Arial Unicode MS"/>
        </w:rPr>
      </w:pPr>
      <w:r>
        <w:t>Άνευ αντικειμένου.</w:t>
      </w:r>
    </w:p>
    <w:p>
      <w:pPr>
        <w:pStyle w:val="ManualHeading2"/>
        <w:rPr>
          <w:rFonts w:eastAsia="Arial Unicode MS"/>
          <w:u w:color="000000"/>
          <w:bdr w:val="nil"/>
        </w:rPr>
      </w:pPr>
      <w:r>
        <w:rPr>
          <w:u w:color="000000"/>
          <w:bdr w:val="nil"/>
        </w:rPr>
        <w:t>•</w:t>
      </w:r>
      <w:r>
        <w:tab/>
      </w:r>
      <w:r>
        <w:rPr>
          <w:u w:color="000000"/>
          <w:bdr w:val="nil"/>
        </w:rPr>
        <w:t>Διαβουλεύσεις με τα ενδιαφερόμενα μέρη</w:t>
      </w:r>
    </w:p>
    <w:p>
      <w:pPr>
        <w:pBdr>
          <w:top w:val="nil"/>
          <w:left w:val="nil"/>
          <w:bottom w:val="nil"/>
          <w:right w:val="nil"/>
          <w:between w:val="nil"/>
          <w:bar w:val="nil"/>
        </w:pBdr>
        <w:spacing w:before="0" w:after="240"/>
        <w:rPr>
          <w:rFonts w:eastAsia="Arial Unicode MS"/>
        </w:rPr>
      </w:pPr>
      <w:r>
        <w:t>Άνευ αντικειμένου.</w:t>
      </w:r>
    </w:p>
    <w:p>
      <w:pPr>
        <w:pStyle w:val="ManualHeading2"/>
        <w:rPr>
          <w:rFonts w:eastAsia="Arial Unicode MS"/>
          <w:u w:color="000000"/>
          <w:bdr w:val="nil"/>
        </w:rPr>
      </w:pPr>
      <w:r>
        <w:rPr>
          <w:u w:color="000000"/>
          <w:bdr w:val="nil"/>
        </w:rPr>
        <w:t>•</w:t>
      </w:r>
      <w:r>
        <w:tab/>
      </w:r>
      <w:r>
        <w:rPr>
          <w:u w:color="000000"/>
          <w:bdr w:val="nil"/>
        </w:rPr>
        <w:t>Συλλογή και χρήση εμπειρογνωσίας</w:t>
      </w:r>
    </w:p>
    <w:p>
      <w:pPr>
        <w:pBdr>
          <w:top w:val="nil"/>
          <w:left w:val="nil"/>
          <w:bottom w:val="nil"/>
          <w:right w:val="nil"/>
          <w:between w:val="nil"/>
          <w:bar w:val="nil"/>
        </w:pBdr>
        <w:spacing w:before="0" w:after="240"/>
        <w:rPr>
          <w:rFonts w:eastAsia="Arial Unicode MS"/>
        </w:rPr>
      </w:pPr>
      <w:r>
        <w:t>Άνευ αντικειμένου.</w:t>
      </w:r>
    </w:p>
    <w:p>
      <w:pPr>
        <w:pStyle w:val="ManualHeading2"/>
        <w:rPr>
          <w:rFonts w:eastAsia="Arial Unicode MS"/>
          <w:u w:color="000000"/>
          <w:bdr w:val="nil"/>
        </w:rPr>
      </w:pPr>
      <w:r>
        <w:rPr>
          <w:u w:color="000000"/>
          <w:bdr w:val="nil"/>
        </w:rPr>
        <w:t>•</w:t>
      </w:r>
      <w:r>
        <w:tab/>
      </w:r>
      <w:r>
        <w:rPr>
          <w:u w:color="000000"/>
          <w:bdr w:val="nil"/>
        </w:rPr>
        <w:t>Εκτίμηση επιπτώσεων</w:t>
      </w:r>
    </w:p>
    <w:p>
      <w:pPr>
        <w:pBdr>
          <w:top w:val="nil"/>
          <w:left w:val="nil"/>
          <w:bottom w:val="nil"/>
          <w:right w:val="nil"/>
          <w:between w:val="nil"/>
          <w:bar w:val="nil"/>
        </w:pBdr>
        <w:spacing w:before="0" w:after="240"/>
        <w:rPr>
          <w:rFonts w:eastAsia="Arial Unicode MS"/>
        </w:rPr>
      </w:pPr>
      <w:r>
        <w:t>Άνευ αντικειμένου.</w:t>
      </w:r>
    </w:p>
    <w:p>
      <w:pPr>
        <w:pStyle w:val="ManualHeading2"/>
        <w:rPr>
          <w:rFonts w:eastAsia="Arial Unicode MS"/>
          <w:u w:color="000000"/>
          <w:bdr w:val="nil"/>
        </w:rPr>
      </w:pPr>
      <w:r>
        <w:rPr>
          <w:u w:color="000000"/>
          <w:bdr w:val="nil"/>
        </w:rPr>
        <w:t>•</w:t>
      </w:r>
      <w:r>
        <w:tab/>
      </w:r>
      <w:r>
        <w:rPr>
          <w:u w:color="000000"/>
          <w:bdr w:val="nil"/>
        </w:rPr>
        <w:t>Καταλληλότητα και απλούστευση του κανονιστικού πλαισίου</w:t>
      </w:r>
    </w:p>
    <w:p>
      <w:pPr>
        <w:pBdr>
          <w:top w:val="nil"/>
          <w:left w:val="nil"/>
          <w:bottom w:val="nil"/>
          <w:right w:val="nil"/>
          <w:between w:val="nil"/>
          <w:bar w:val="nil"/>
        </w:pBdr>
        <w:spacing w:before="0" w:after="240"/>
        <w:rPr>
          <w:rFonts w:eastAsia="Arial Unicode MS"/>
        </w:rPr>
      </w:pPr>
      <w:r>
        <w:t>Άνευ αντικειμένου.</w:t>
      </w:r>
    </w:p>
    <w:p>
      <w:pPr>
        <w:pStyle w:val="ManualHeading2"/>
        <w:rPr>
          <w:rFonts w:eastAsia="Arial Unicode MS"/>
          <w:u w:color="000000"/>
          <w:bdr w:val="nil"/>
        </w:rPr>
      </w:pPr>
      <w:r>
        <w:rPr>
          <w:u w:color="000000"/>
          <w:bdr w:val="nil"/>
        </w:rPr>
        <w:t>•</w:t>
      </w:r>
      <w:r>
        <w:tab/>
      </w:r>
      <w:r>
        <w:rPr>
          <w:u w:color="000000"/>
          <w:bdr w:val="nil"/>
        </w:rPr>
        <w:t>Θεμελιώδη δικαιώματα</w:t>
      </w:r>
    </w:p>
    <w:p>
      <w:pPr>
        <w:pBdr>
          <w:top w:val="nil"/>
          <w:left w:val="nil"/>
          <w:bottom w:val="nil"/>
          <w:right w:val="nil"/>
          <w:between w:val="nil"/>
          <w:bar w:val="nil"/>
        </w:pBdr>
        <w:spacing w:before="0" w:after="240"/>
        <w:rPr>
          <w:rFonts w:eastAsia="Arial Unicode MS"/>
        </w:rPr>
      </w:pPr>
      <w:r>
        <w:t>Άνευ αντικειμένου.</w:t>
      </w:r>
    </w:p>
    <w:p>
      <w:pPr>
        <w:pStyle w:val="ManualHeading1"/>
      </w:pPr>
      <w:r>
        <w:t>4.</w:t>
      </w:r>
      <w:r>
        <w:tab/>
        <w:t>ΔΗΜΟΣΙΟΝΟΜΙΚΕΣ ΕΠΙΠΤΩΣΕΙΣ</w:t>
      </w:r>
    </w:p>
    <w:p>
      <w:pPr>
        <w:pBdr>
          <w:top w:val="nil"/>
          <w:left w:val="nil"/>
          <w:bottom w:val="nil"/>
          <w:right w:val="nil"/>
          <w:between w:val="nil"/>
          <w:bar w:val="nil"/>
        </w:pBdr>
        <w:spacing w:before="0" w:after="240"/>
        <w:rPr>
          <w:rFonts w:eastAsia="Arial Unicode MS"/>
        </w:rPr>
      </w:pPr>
      <w:r>
        <w:t>Η παρούσα πρωτοβουλία δεν έχει δημοσιονομικές επιπτώσεις.</w:t>
      </w:r>
    </w:p>
    <w:p>
      <w:pPr>
        <w:pStyle w:val="ManualHeading1"/>
      </w:pPr>
      <w:r>
        <w:lastRenderedPageBreak/>
        <w:t>5.</w:t>
      </w:r>
      <w:r>
        <w:tab/>
        <w:t>ΛΟΙΠΑ ΣΤΟΙΧΕΙΑ</w:t>
      </w:r>
    </w:p>
    <w:p>
      <w:pPr>
        <w:pStyle w:val="ManualHeading2"/>
        <w:rPr>
          <w:rFonts w:eastAsia="Arial Unicode MS"/>
          <w:u w:color="000000"/>
          <w:bdr w:val="nil"/>
        </w:rPr>
      </w:pPr>
      <w:r>
        <w:rPr>
          <w:u w:color="000000"/>
          <w:bdr w:val="nil"/>
        </w:rPr>
        <w:t>•</w:t>
      </w:r>
      <w:r>
        <w:tab/>
      </w:r>
      <w:r>
        <w:rPr>
          <w:u w:color="000000"/>
          <w:bdr w:val="nil"/>
        </w:rPr>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rPr>
      </w:pPr>
      <w:r>
        <w:t>Άνευ αντικειμένου.</w:t>
      </w:r>
    </w:p>
    <w:p>
      <w:pPr>
        <w:pStyle w:val="ManualHeading2"/>
        <w:rPr>
          <w:rFonts w:eastAsia="Arial Unicode MS"/>
          <w:u w:color="000000"/>
          <w:bdr w:val="nil"/>
        </w:rPr>
      </w:pPr>
      <w:r>
        <w:rPr>
          <w:u w:color="000000"/>
          <w:bdr w:val="nil"/>
        </w:rPr>
        <w:t>•</w:t>
      </w:r>
      <w:r>
        <w:tab/>
      </w:r>
      <w:r>
        <w:rPr>
          <w:u w:color="000000"/>
          <w:bdr w:val="nil"/>
        </w:rPr>
        <w:t>Επεξηγηματικά έγγραφα (για οδηγίες)</w:t>
      </w:r>
    </w:p>
    <w:p>
      <w:pPr>
        <w:pBdr>
          <w:top w:val="nil"/>
          <w:left w:val="nil"/>
          <w:bottom w:val="nil"/>
          <w:right w:val="nil"/>
          <w:between w:val="nil"/>
          <w:bar w:val="nil"/>
        </w:pBdr>
        <w:spacing w:before="0" w:after="240"/>
        <w:rPr>
          <w:rFonts w:eastAsia="Arial Unicode MS"/>
        </w:rPr>
      </w:pPr>
      <w:r>
        <w:t>Άνευ αντικειμένου.</w:t>
      </w:r>
    </w:p>
    <w:p>
      <w:pPr>
        <w:pStyle w:val="ManualHeading2"/>
        <w:rPr>
          <w:rFonts w:eastAsia="Arial Unicode MS"/>
          <w:u w:color="000000"/>
          <w:bdr w:val="nil"/>
        </w:rPr>
      </w:pPr>
      <w:r>
        <w:rPr>
          <w:u w:color="000000"/>
          <w:bdr w:val="nil"/>
        </w:rPr>
        <w:t>•</w:t>
      </w:r>
      <w:r>
        <w:tab/>
      </w:r>
      <w:r>
        <w:rPr>
          <w:u w:color="000000"/>
          <w:bdr w:val="nil"/>
        </w:rPr>
        <w:t>Αναλυτική επεξήγηση των επιμέρους διατάξεων της πρότασης</w:t>
      </w:r>
    </w:p>
    <w:p>
      <w:pPr>
        <w:pBdr>
          <w:top w:val="nil"/>
          <w:left w:val="nil"/>
          <w:bottom w:val="nil"/>
          <w:right w:val="nil"/>
          <w:between w:val="nil"/>
          <w:bar w:val="nil"/>
        </w:pBdr>
        <w:spacing w:before="0" w:after="240"/>
        <w:rPr>
          <w:rFonts w:eastAsia="Arial Unicode MS"/>
        </w:rPr>
      </w:pPr>
      <w:r>
        <w:t>Άνευ αντικειμένου.</w:t>
      </w:r>
    </w:p>
    <w:p>
      <w:p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pPr>
      <w:r>
        <w:lastRenderedPageBreak/>
        <w:t>2020/0158 (NLE)</w:t>
      </w:r>
    </w:p>
    <w:p>
      <w:pPr>
        <w:pStyle w:val="Statut"/>
      </w:pPr>
      <w:r>
        <w:t>Πρόταση</w:t>
      </w:r>
    </w:p>
    <w:p>
      <w:pPr>
        <w:pStyle w:val="Typedudocument"/>
      </w:pPr>
      <w:r>
        <w:t>ΑΠΟΦΑΣΗ ΤΟΥ ΣΥΜΒΟΥΛΙΟΥ</w:t>
      </w:r>
    </w:p>
    <w:p>
      <w:pPr>
        <w:pStyle w:val="Titreobjet"/>
      </w:pPr>
      <w:r>
        <w:t>για την υπογραφή, εξ ονόματος της Ένωσης, της συμφωνίας εθελοντικής εταιρικής σχέσης μεταξύ της Ευρωπαϊκής Ένωσης και της Δημοκρατίας της Ονδούρας σχετικά με την επιβολή της δασικής νομοθεσίας, τη διακυβέρνηση και το εμπόριο προϊόντων ξυλείας προς την Ευρωπαϊκή Ένωση</w:t>
      </w:r>
    </w:p>
    <w:p>
      <w:pPr>
        <w:pStyle w:val="Institutionquiagit"/>
      </w:pPr>
      <w:r>
        <w:t>ΤΟ ΣΥΜΒΟΥΛΙΟ ΤΗΣ ΕΥΡΩΠΑΪΚΗΣ ΕΝΩΣΗΣ,</w:t>
      </w:r>
    </w:p>
    <w:p>
      <w:r>
        <w:t>Έχοντας υπόψη τη Συνθήκη για τη λειτουργία της Ευρωπαϊκής Ένωσης, και ιδίως το άρθρο 207 παράγραφος 4 πρώτο εδάφιο, σε συνδυασμό με το άρθρο 218 παράγραφος 5,</w:t>
      </w:r>
    </w:p>
    <w:p>
      <w:r>
        <w:t>Έχοντας υπόψη την πρόταση της Ευρωπαϊκής Επιτροπής,</w:t>
      </w:r>
    </w:p>
    <w:p>
      <w:r>
        <w:t>Εκτιμώντας τα ακόλουθα:</w:t>
      </w:r>
    </w:p>
    <w:p>
      <w:pPr>
        <w:pStyle w:val="ManualConsidrant"/>
        <w:rPr>
          <w:noProof/>
        </w:rPr>
      </w:pPr>
      <w:r>
        <w:t>1.</w:t>
      </w:r>
      <w:r>
        <w:tab/>
        <w:t>Τον Μάιο του 2003, η Επιτροπή εξέδωσε ανακοίνωση προς το Ευρωπαϊκό Κοινοβούλιο και το Συμβούλιο με τίτλο «Επιβολή της δασικής νομοθεσίας, η διακυβέρνηση και το εμπόριο (FLEGT): πρόταση για σχέδιο δράσης της ΕΕ»</w:t>
      </w:r>
      <w:r>
        <w:rPr>
          <w:rStyle w:val="FootnoteReference"/>
          <w:noProof/>
        </w:rPr>
        <w:footnoteReference w:id="7"/>
      </w:r>
      <w:r>
        <w:t>, με την οποία ζητούσε τη λήψη μέτρων για την αντιμετώπιση της παράνομης υλοτομίας μέσω της σύναψης συμφωνιών εθελοντικής εταιρικής σχέσης με χώρες παραγωγής ξυλείας. Τον Οκτώβριο του 2003 το Συμβούλιο εξέδωσε συμπεράσματα σχετικά με το σχέδιο δράσης</w:t>
      </w:r>
      <w:r>
        <w:rPr>
          <w:rStyle w:val="FootnoteReference"/>
          <w:noProof/>
        </w:rPr>
        <w:footnoteReference w:id="8"/>
      </w:r>
      <w:r>
        <w:t xml:space="preserve"> και στις 11 Ιουλίου 2005 το Ευρωπαϊκό Κοινοβούλιο εξέδωσε ψήφισμα για το θέμα αυτό</w:t>
      </w:r>
      <w:r>
        <w:rPr>
          <w:rStyle w:val="FootnoteReference"/>
          <w:noProof/>
        </w:rPr>
        <w:footnoteReference w:id="9"/>
      </w:r>
      <w:r>
        <w:t xml:space="preserve">. </w:t>
      </w:r>
    </w:p>
    <w:p>
      <w:pPr>
        <w:pStyle w:val="ManualConsidrant"/>
        <w:rPr>
          <w:noProof/>
        </w:rPr>
      </w:pPr>
      <w:r>
        <w:t>2.</w:t>
      </w:r>
      <w:r>
        <w:tab/>
        <w:t>Στις 5 Δεκεμβρίου 2005, το Συμβούλιο εξουσιοδότησε την Επιτροπή να αρχίσει διαπραγματεύσεις με χώρες παραγωγής ξυλείας με αντικείμενο συμφωνίες εταιρικής σχέσης σχετικά με την εφαρμογή του σχεδίου δράσης της ΕΕ για την επιβολή της δασικής νομοθεσίας, τη διακυβέρνηση και το εμπόριο.</w:t>
      </w:r>
    </w:p>
    <w:p>
      <w:pPr>
        <w:pStyle w:val="ManualConsidrant"/>
        <w:rPr>
          <w:noProof/>
        </w:rPr>
      </w:pPr>
      <w:r>
        <w:t>3.</w:t>
      </w:r>
      <w:r>
        <w:tab/>
        <w:t>Στις 20 Δεκεμβρίου 2005, το Συμβούλιο εξέδωσε τον κανονισμό (ΕΚ) αριθ. 2173/2005</w:t>
      </w:r>
      <w:r>
        <w:rPr>
          <w:rStyle w:val="FootnoteReference"/>
          <w:noProof/>
        </w:rPr>
        <w:footnoteReference w:id="10"/>
      </w:r>
      <w:r>
        <w:t>, που θέσπισε ένα σύστημα αδειών FLEGT για τις εισαγωγές στην Ένωση ξυλείας από χώρες με τις οποίες η Ένωση έχει συνάψει συμφωνίες εθελοντικής εταιρικής σχέσης.</w:t>
      </w:r>
    </w:p>
    <w:p>
      <w:pPr>
        <w:pStyle w:val="ManualConsidrant"/>
        <w:rPr>
          <w:noProof/>
        </w:rPr>
      </w:pPr>
      <w:r>
        <w:t>4.</w:t>
      </w:r>
      <w:r>
        <w:tab/>
        <w:t>Οι διαπραγματεύσεις με τη Δημοκρατία της Ονδούρας με σκοπό τη σύναψη συμφωνίας εθελοντικής εταιρικής σχέσης μεταξύ της Ευρωπαϊκής Ένωσης και της Δημοκρατίας της Ονδούρας σχετικά με την επιβολή της δασικής νομοθεσίας, τη διακυβέρνηση και το εμπόριο προϊόντων ξυλείας προς την Ευρωπαϊκή Ένωση (εφεξής «η συμφωνία») ολοκληρώθηκαν επιτυχώς με τη μονογράφηση της συμφωνίας στις 14 Ιουνίου 2018.</w:t>
      </w:r>
    </w:p>
    <w:p>
      <w:pPr>
        <w:pStyle w:val="ManualConsidrant"/>
        <w:rPr>
          <w:noProof/>
        </w:rPr>
      </w:pPr>
      <w:r>
        <w:lastRenderedPageBreak/>
        <w:t>5.</w:t>
      </w:r>
      <w:r>
        <w:tab/>
        <w:t>Επομένως, η συμφωνία θα πρέπει να υπογραφεί εξ ονόματος της Ευρωπαϊκής Ένωσης, με την επιφύλαξη της σύναψής της μεταγενέστερα.</w:t>
      </w:r>
    </w:p>
    <w:p>
      <w:pPr>
        <w:pStyle w:val="Formuledadoption"/>
      </w:pPr>
      <w:r>
        <w:t xml:space="preserve">ΕΞΕΔΩΣΕ ΤΗΝ ΠΑΡΟΥΣΑ ΑΠΟΦΑΣΗ: </w:t>
      </w:r>
    </w:p>
    <w:p>
      <w:pPr>
        <w:pStyle w:val="Titrearticle"/>
        <w:rPr>
          <w:noProof/>
        </w:rPr>
      </w:pPr>
      <w:r>
        <w:t>Άρθρο 1</w:t>
      </w:r>
    </w:p>
    <w:p>
      <w:pPr>
        <w:rPr>
          <w:noProof/>
        </w:rPr>
      </w:pPr>
      <w:r>
        <w:t>Η υπογραφή της συμφωνίας εθελοντικής εταιρικής σχέσης μεταξύ της Ευρωπαϊκής Ένωσης και της Δημοκρατίας της Ονδούρας για την επιβολή της δασικής νομοθεσίας, τη διακυβέρνηση και το εμπόριο ξύλου και προϊόντων ξυλείας με την Ευρωπαϊκή Ένωση (FLEGT) εγκρίνεται εξ ονόματος της Ένωσης, με την επιφύλαξη της σύναψης της εν λόγω συμφωνίας.</w:t>
      </w:r>
    </w:p>
    <w:p>
      <w:pPr>
        <w:rPr>
          <w:noProof/>
        </w:rPr>
      </w:pPr>
      <w:r>
        <w:t xml:space="preserve">Το κείμενο της προς υπογραφή συμφωνίας επισυνάπτεται στην παρούσα απόφαση. </w:t>
      </w:r>
    </w:p>
    <w:p>
      <w:pPr>
        <w:pStyle w:val="Titrearticle"/>
        <w:rPr>
          <w:noProof/>
        </w:rPr>
      </w:pPr>
      <w:r>
        <w:t>Άρθρο 2</w:t>
      </w:r>
    </w:p>
    <w:p>
      <w:pPr>
        <w:rPr>
          <w:noProof/>
        </w:rPr>
      </w:pPr>
      <w:r>
        <w:t>Η Γενική Γραμματεία του Συμβουλίου καταρτίζει την πράξη εξουσιοδότησης του/των προσώπου/-ων που θα ορίσει ο διαπραγματευτής της συμφωνίας για την υπογραφή της συμφωνίας, με την επιφύλαξη της σύναψής της.</w:t>
      </w:r>
    </w:p>
    <w:p>
      <w:pPr>
        <w:pStyle w:val="Titrearticle"/>
        <w:rPr>
          <w:noProof/>
        </w:rPr>
      </w:pPr>
      <w:r>
        <w:t>Άρθρο 3</w:t>
      </w:r>
    </w:p>
    <w:p>
      <w:pPr>
        <w:rPr>
          <w:noProof/>
        </w:rPr>
      </w:pPr>
      <w:r>
        <w:t xml:space="preserve">Η παρούσα απόφαση αρχίζει να ισχύει από την ημέρα της έκδοσής της. </w:t>
      </w:r>
    </w:p>
    <w:p>
      <w:pPr>
        <w:pStyle w:val="Fait"/>
      </w:pPr>
      <w:r>
        <w:t>Βρυξέλλες,</w:t>
      </w:r>
    </w:p>
    <w:p>
      <w:pPr>
        <w:pStyle w:val="Institutionquisigne"/>
      </w:pPr>
      <w:r>
        <w:tab/>
        <w:t>Για το Συμβούλιο</w:t>
      </w:r>
    </w:p>
    <w:p>
      <w:pPr>
        <w:pStyle w:val="Personnequisigne"/>
      </w:pPr>
      <w:r>
        <w:tab/>
        <w:t>Ο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szCs w:val="24"/>
        </w:rPr>
      </w:pPr>
      <w:r>
        <w:rPr>
          <w:rStyle w:val="FootnoteReference"/>
          <w:szCs w:val="24"/>
        </w:rPr>
        <w:footnoteRef/>
      </w:r>
      <w:r>
        <w:tab/>
        <w:t>COM(2003) 251.</w:t>
      </w:r>
    </w:p>
  </w:footnote>
  <w:footnote w:id="3">
    <w:p>
      <w:pPr>
        <w:pStyle w:val="FootnoteText"/>
        <w:rPr>
          <w:szCs w:val="24"/>
        </w:rPr>
      </w:pPr>
      <w:r>
        <w:rPr>
          <w:rStyle w:val="FootnoteReference"/>
          <w:szCs w:val="24"/>
        </w:rPr>
        <w:footnoteRef/>
      </w:r>
      <w:r>
        <w:tab/>
        <w:t>ΕΕ C 268 της 7.11.2003, σ. 1.</w:t>
      </w:r>
    </w:p>
  </w:footnote>
  <w:footnote w:id="4">
    <w:p>
      <w:pPr>
        <w:pStyle w:val="FootnoteText"/>
        <w:rPr>
          <w:szCs w:val="24"/>
        </w:rPr>
      </w:pPr>
      <w:r>
        <w:rPr>
          <w:rStyle w:val="FootnoteReference"/>
          <w:szCs w:val="24"/>
        </w:rPr>
        <w:footnoteRef/>
      </w:r>
      <w:r>
        <w:tab/>
        <w:t>ΕΕ L 347 της 30.12.2005, σ. 1.</w:t>
      </w:r>
    </w:p>
  </w:footnote>
  <w:footnote w:id="5">
    <w:p>
      <w:pPr>
        <w:pStyle w:val="FootnoteText"/>
        <w:rPr>
          <w:szCs w:val="24"/>
        </w:rPr>
      </w:pPr>
      <w:r>
        <w:rPr>
          <w:rStyle w:val="FootnoteReference"/>
          <w:szCs w:val="24"/>
        </w:rPr>
        <w:footnoteRef/>
      </w:r>
      <w:r>
        <w:tab/>
        <w:t>Διαβαθμισμένο έγγραφο του Συμβουλίου αριθ. 10229/2/05 (αποχαρακτηρίστηκε στις 24 Σεπτεμβρίου 2015).</w:t>
      </w:r>
    </w:p>
  </w:footnote>
  <w:footnote w:id="6">
    <w:p>
      <w:pPr>
        <w:pStyle w:val="FootnoteText"/>
      </w:pPr>
      <w:r>
        <w:rPr>
          <w:rStyle w:val="FootnoteReference"/>
        </w:rPr>
        <w:footnoteRef/>
      </w:r>
      <w:r>
        <w:t xml:space="preserve"> </w:t>
      </w:r>
      <w:r>
        <w:tab/>
        <w:t>ΕΕ L 295 της 12.11.2010, σ. 23.</w:t>
      </w:r>
    </w:p>
  </w:footnote>
  <w:footnote w:id="7">
    <w:p>
      <w:pPr>
        <w:pStyle w:val="FootnoteText"/>
        <w:rPr>
          <w:szCs w:val="24"/>
        </w:rPr>
      </w:pPr>
      <w:r>
        <w:rPr>
          <w:rStyle w:val="FootnoteReference"/>
          <w:szCs w:val="24"/>
        </w:rPr>
        <w:footnoteRef/>
      </w:r>
      <w:r>
        <w:tab/>
        <w:t>COM(2003) 251.</w:t>
      </w:r>
    </w:p>
  </w:footnote>
  <w:footnote w:id="8">
    <w:p>
      <w:pPr>
        <w:pStyle w:val="FootnoteText"/>
        <w:rPr>
          <w:szCs w:val="24"/>
        </w:rPr>
      </w:pPr>
      <w:r>
        <w:rPr>
          <w:rStyle w:val="FootnoteReference"/>
          <w:szCs w:val="24"/>
        </w:rPr>
        <w:footnoteRef/>
      </w:r>
      <w:r>
        <w:tab/>
        <w:t>ΕΕ C 268 της 7.11.2003, σ. 1.</w:t>
      </w:r>
    </w:p>
  </w:footnote>
  <w:footnote w:id="9">
    <w:p>
      <w:pPr>
        <w:pStyle w:val="FootnoteText"/>
        <w:rPr>
          <w:szCs w:val="24"/>
        </w:rPr>
      </w:pPr>
      <w:r>
        <w:rPr>
          <w:rStyle w:val="FootnoteReference"/>
          <w:szCs w:val="24"/>
        </w:rPr>
        <w:footnoteRef/>
      </w:r>
      <w:r>
        <w:tab/>
        <w:t>ΕΕ C 157E της 6.7.2006, σ. 482.</w:t>
      </w:r>
    </w:p>
  </w:footnote>
  <w:footnote w:id="10">
    <w:p>
      <w:pPr>
        <w:pStyle w:val="FootnoteText"/>
        <w:rPr>
          <w:szCs w:val="24"/>
        </w:rPr>
      </w:pPr>
      <w:r>
        <w:rPr>
          <w:rStyle w:val="FootnoteReference"/>
          <w:szCs w:val="24"/>
        </w:rPr>
        <w:footnoteRef/>
      </w:r>
      <w:r>
        <w:tab/>
        <w:t>Κανονισμός (ΕΚ) αριθ. 2173/2005 του Συμβουλίου, της 20ής Δεκεμβρίου 2005, περί δημιουργίας εθελοντικού συστήματος αδειών FLEGT για τις εισαγωγές ξυλείας στην Ευρωπαϊκή Κοινότητα (ΕΕ L 347 της 30.12.2005,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CAE1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4CD2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A223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F61B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3741C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A00A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2EA302"/>
    <w:lvl w:ilvl="0">
      <w:start w:val="1"/>
      <w:numFmt w:val="decimal"/>
      <w:pStyle w:val="ListNumber"/>
      <w:lvlText w:val="%1."/>
      <w:lvlJc w:val="left"/>
      <w:pPr>
        <w:tabs>
          <w:tab w:val="num" w:pos="360"/>
        </w:tabs>
        <w:ind w:left="360" w:hanging="360"/>
      </w:pPr>
    </w:lvl>
  </w:abstractNum>
  <w:abstractNum w:abstractNumId="7">
    <w:nsid w:val="FFFFFF89"/>
    <w:multiLevelType w:val="singleLevel"/>
    <w:tmpl w:val="9C4472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s-ES_tradnl" w:vendorID="64" w:dllVersion="131078" w:nlCheck="1" w:checkStyle="0"/>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7-21 09:33: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522A7BD-42DA-4FBF-B91C-BF12E30721E9"/>
    <w:docVar w:name="LW_COVERPAGE_TYPE" w:val="1"/>
    <w:docVar w:name="LW_CROSSREFERENCE" w:val="&lt;UNUSED&gt;"/>
    <w:docVar w:name="LW_DocType" w:val="COM"/>
    <w:docVar w:name="LW_EMISSION" w:val="29.7.2020"/>
    <w:docVar w:name="LW_EMISSION_ISODATE" w:val="2020-07-29"/>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58"/>
    <w:docVar w:name="LW_REF.II.NEW.CP_YEAR" w:val="2020"/>
    <w:docVar w:name="LW_REF.INST.NEW" w:val="COM"/>
    <w:docVar w:name="LW_REF.INST.NEW_ADOPTED" w:val="final"/>
    <w:docVar w:name="LW_REF.INST.NEW_TEXT" w:val="(2020) 3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47?\u953?\u945? \u964?\u951?\u957? \u965?\u960?\u959?\u947?\u961?\u945?\u966?\u942?, \u949?\u958? \u959?\u957?\u972?\u956?\u945?\u964?\u959?\u962? \u964?\u951?\u962? \u904?\u957?\u969?\u963?\u951?\u962?, \u964?\u951?\u962? \u963?\u965?\u956?\u966?\u969?\u957?\u943?\u945?\u962? \u949?\u952?\u949?\u955?\u959?\u957?\u964?\u953?\u954?\u942?\u962? \u949?\u964?\u945?\u953?\u961?\u953?\u954?\u942?\u962? \u963?\u967?\u941?\u963?\u951?\u962? \u956?\u949?\u964?\u945?\u958?\u973? \u964?\u951?\u962? \u917?\u965?\u961?\u969?\u960?\u945?\u970?\u954?\u942?\u962? \u904?\u957?\u969?\u963?\u951?\u962? \u954?\u945?\u953? \u964?\u951?\u962? \u916?\u951?\u956?\u959?\u954?\u961?\u945?\u964?\u943?\u945?\u962? \u964?\u951?\u962? \u927?\u957?\u948?\u959?\u973?\u961?\u945?\u962? \u963?\u967?\u949?\u964?\u953?\u954?\u940? \u956?\u949? \u964?\u951?\u957? \u949?\u960?\u953?\u946?\u959?\u955?\u942? \u964?\u951?\u962? \u948?\u945?\u963?\u953?\u954?\u942?\u962? \u957?\u959?\u956?\u959?\u952?\u949?\u963?\u943?\u945?\u962?, \u964?\u951? \u948?\u953?\u945?\u954?\u965?\u946?\u941?\u961?\u957?\u951?\u963?\u951? \u954?\u945?\u953? \u964?\u959? \u949?\u956?\u960?\u972?\u961?\u953?\u959? \u960?\u961?\u959?\u970?\u972?\u957?\u964?\u969?\u957? \u958?\u965?\u955?\u949?\u943?\u945?\u962? \u960?\u961?\u959?\u962? \u964?\u951?\u957? \u917?\u965?\u961?\u969?\u960?\u945?\u970?\u954?\u942? \u904?\u957?\u969?\u963?\u951?"/>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AFB6CDFF3A49979108D6E8DD600C44"/>
        <w:category>
          <w:name w:val="General"/>
          <w:gallery w:val="placeholder"/>
        </w:category>
        <w:types>
          <w:type w:val="bbPlcHdr"/>
        </w:types>
        <w:behaviors>
          <w:behavior w:val="content"/>
        </w:behaviors>
        <w:guid w:val="{54C988E3-77C4-4495-93C1-164533BF52E7}"/>
      </w:docPartPr>
      <w:docPartBody>
        <w:p>
          <w:pPr>
            <w:pStyle w:val="4EAFB6CDFF3A49979108D6E8DD600C4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8B7"/>
    <w:rPr>
      <w:color w:val="808080"/>
    </w:rPr>
  </w:style>
  <w:style w:type="paragraph" w:customStyle="1" w:styleId="4EAFB6CDFF3A49979108D6E8DD600C44">
    <w:name w:val="4EAFB6CDFF3A49979108D6E8DD600C44"/>
    <w:rsid w:val="004678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8B7"/>
    <w:rPr>
      <w:color w:val="808080"/>
    </w:rPr>
  </w:style>
  <w:style w:type="paragraph" w:customStyle="1" w:styleId="4EAFB6CDFF3A49979108D6E8DD600C44">
    <w:name w:val="4EAFB6CDFF3A49979108D6E8DD600C44"/>
    <w:rsid w:val="00467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85FB-F279-4F06-86CE-B6E2442D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1538</Words>
  <Characters>9017</Characters>
  <Application>Microsoft Office Word</Application>
  <DocSecurity>0</DocSecurity>
  <Lines>180</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2020-05-05T18:05:00Z</dcterms:created>
  <dcterms:modified xsi:type="dcterms:W3CDTF">2020-07-21T07:33:00Z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