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D0815D8-D6A9-4B86-8FC4-E233EA2DC591" style="width:450.7pt;height:484.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2018/0047 (COD)</w:t>
      </w:r>
    </w:p>
    <w:p>
      <w:pPr>
        <w:pStyle w:val="Typedudocument"/>
        <w:rPr>
          <w:noProof/>
        </w:rPr>
      </w:pPr>
      <w:r>
        <w:rPr>
          <w:noProof/>
        </w:rPr>
        <w:t>KOMISSION TIEDONANTO</w:t>
      </w:r>
      <w:r>
        <w:rPr>
          <w:noProof/>
        </w:rPr>
        <w:br/>
        <w:t>EUROOPAN PARLAMENTILLE</w:t>
      </w:r>
      <w:r>
        <w:rPr>
          <w:noProof/>
        </w:rPr>
        <w:br/>
      </w:r>
      <w:r>
        <w:rPr>
          <w:noProof/>
        </w:rPr>
        <w:br/>
        <w:t>Euroopan unionin toiminnasta tehdyn sopimuksen 294 artiklan 6 kohdan mukaisesti</w:t>
      </w:r>
    </w:p>
    <w:p>
      <w:pPr>
        <w:pStyle w:val="Titreobjet"/>
        <w:rPr>
          <w:noProof/>
        </w:rPr>
      </w:pPr>
      <w:r>
        <w:rPr>
          <w:noProof/>
        </w:rPr>
        <w:t xml:space="preserve">neuvoston kannasta Euroopan parlamentin ja neuvoston asetuksen antamiseksi yrityksille suunnatun joukkorahoituspalvelun eurooppalaisista tarjoajista sekä asetuksen (EU) 2017/1129 ja direktiivin (EU) 2019/1937 muuttamisesta ja direktiivin antamiseksi rahoitusvälineiden markkinoista annetun direktiivin 2014/65/EU muuttamisesta </w:t>
      </w:r>
      <w:r>
        <w:rPr>
          <w:noProof/>
        </w:rPr>
        <w:br/>
        <w:t xml:space="preserve"> </w:t>
      </w:r>
      <w:r>
        <w:rPr>
          <w:noProof/>
        </w:rPr>
        <w:br/>
        <w:t xml:space="preserve">Tämä tiedonanto koskee sekä asiakirjaa </w:t>
      </w:r>
      <w:r>
        <w:rPr>
          <w:noProof/>
        </w:rPr>
        <w:br/>
        <w:t xml:space="preserve">COM(2018) 113 final - 2018/0048(COD) että asiakirjaa COM(2018) 99 final - 2018/0047(COD) </w:t>
      </w:r>
      <w:r>
        <w:rPr>
          <w:noProof/>
        </w:rPr>
        <w:br/>
        <w:t xml:space="preserve"> </w:t>
      </w:r>
      <w:r>
        <w:rPr>
          <w:noProof/>
        </w:rPr>
        <w:br/>
      </w:r>
    </w:p>
    <w:p>
      <w:pPr>
        <w:pStyle w:val="ManualHeading1"/>
        <w:rPr>
          <w:noProof/>
          <w:color w:val="000000" w:themeColor="text1"/>
          <w:sz w:val="22"/>
        </w:rPr>
      </w:pPr>
      <w:r>
        <w:rPr>
          <w:noProof/>
          <w:color w:val="000000" w:themeColor="text1"/>
        </w:rPr>
        <w:t>1.</w:t>
      </w:r>
      <w:r>
        <w:rPr>
          <w:noProof/>
        </w:rPr>
        <w:tab/>
      </w:r>
      <w:r>
        <w:rPr>
          <w:noProof/>
          <w:color w:val="000000" w:themeColor="text1"/>
        </w:rPr>
        <w:t>Tausta</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color w:val="000000" w:themeColor="text1"/>
              </w:rPr>
            </w:pPr>
            <w:r>
              <w:rPr>
                <w:noProof/>
                <w:color w:val="000000" w:themeColor="text1"/>
              </w:rPr>
              <w:t xml:space="preserve">Päivä, jona ehdotus on toimitettu Euroopan parlamentille ja neuvostolle </w:t>
            </w:r>
            <w:r>
              <w:rPr>
                <w:noProof/>
              </w:rPr>
              <w:t xml:space="preserve"> </w:t>
            </w:r>
            <w:r>
              <w:rPr>
                <w:noProof/>
              </w:rPr>
              <w:br/>
            </w:r>
            <w:r>
              <w:rPr>
                <w:noProof/>
                <w:color w:val="000000" w:themeColor="text1"/>
              </w:rPr>
              <w:t>(asiakirja COM(</w:t>
            </w:r>
            <w:r>
              <w:rPr>
                <w:noProof/>
              </w:rPr>
              <w:t>2018</w:t>
            </w:r>
            <w:r>
              <w:rPr>
                <w:noProof/>
                <w:color w:val="000000" w:themeColor="text1"/>
              </w:rPr>
              <w:t xml:space="preserve">) </w:t>
            </w:r>
            <w:r>
              <w:rPr>
                <w:noProof/>
              </w:rPr>
              <w:t>[113]</w:t>
            </w:r>
            <w:r>
              <w:rPr>
                <w:noProof/>
                <w:color w:val="000000" w:themeColor="text1"/>
              </w:rPr>
              <w:t xml:space="preserve"> final – </w:t>
            </w:r>
            <w:r>
              <w:rPr>
                <w:noProof/>
              </w:rPr>
              <w:t>2018</w:t>
            </w:r>
            <w:r>
              <w:rPr>
                <w:noProof/>
                <w:color w:val="000000" w:themeColor="text1"/>
              </w:rPr>
              <w:t>/</w:t>
            </w:r>
            <w:r>
              <w:rPr>
                <w:noProof/>
              </w:rPr>
              <w:t xml:space="preserve">0048 </w:t>
            </w:r>
            <w:r>
              <w:rPr>
                <w:noProof/>
                <w:color w:val="000000" w:themeColor="text1"/>
              </w:rPr>
              <w:t>COD; COM(2018) [99] final – 2018/0047 COD):</w:t>
            </w:r>
          </w:p>
        </w:tc>
        <w:tc>
          <w:tcPr>
            <w:tcW w:w="2483" w:type="dxa"/>
          </w:tcPr>
          <w:p>
            <w:pPr>
              <w:jc w:val="left"/>
              <w:rPr>
                <w:noProof/>
                <w:color w:val="000000" w:themeColor="text1"/>
              </w:rPr>
            </w:pPr>
            <w:r>
              <w:rPr>
                <w:noProof/>
              </w:rPr>
              <w:t>8. maaliskuuta 2018.</w:t>
            </w:r>
          </w:p>
        </w:tc>
      </w:tr>
      <w:tr>
        <w:tc>
          <w:tcPr>
            <w:tcW w:w="6804" w:type="dxa"/>
          </w:tcPr>
          <w:p>
            <w:pPr>
              <w:rPr>
                <w:noProof/>
                <w:color w:val="000000" w:themeColor="text1"/>
              </w:rPr>
            </w:pPr>
            <w:r>
              <w:rPr>
                <w:noProof/>
                <w:color w:val="000000" w:themeColor="text1"/>
              </w:rPr>
              <w:t>Päivä, jona Euroopan talous- ja sosiaalikomitea on antanut lausuntonsa:</w:t>
            </w:r>
          </w:p>
        </w:tc>
        <w:tc>
          <w:tcPr>
            <w:tcW w:w="2483" w:type="dxa"/>
          </w:tcPr>
          <w:p>
            <w:pPr>
              <w:jc w:val="left"/>
              <w:rPr>
                <w:noProof/>
                <w:color w:val="000000" w:themeColor="text1"/>
              </w:rPr>
            </w:pPr>
            <w:r>
              <w:rPr>
                <w:noProof/>
              </w:rPr>
              <w:t>11. heinäkuuta 2018.</w:t>
            </w:r>
          </w:p>
        </w:tc>
      </w:tr>
      <w:tr>
        <w:tc>
          <w:tcPr>
            <w:tcW w:w="6804" w:type="dxa"/>
          </w:tcPr>
          <w:p>
            <w:pPr>
              <w:rPr>
                <w:noProof/>
                <w:color w:val="000000" w:themeColor="text1"/>
              </w:rPr>
            </w:pPr>
            <w:r>
              <w:rPr>
                <w:noProof/>
                <w:color w:val="000000" w:themeColor="text1"/>
              </w:rPr>
              <w:t>Päivä, jona Euroopan parlamentti on vahvistanut ensimmäisen käsittelyn kantansa:</w:t>
            </w:r>
          </w:p>
        </w:tc>
        <w:tc>
          <w:tcPr>
            <w:tcW w:w="2483" w:type="dxa"/>
          </w:tcPr>
          <w:p>
            <w:pPr>
              <w:jc w:val="left"/>
              <w:rPr>
                <w:noProof/>
                <w:color w:val="000000" w:themeColor="text1"/>
              </w:rPr>
            </w:pPr>
            <w:r>
              <w:rPr>
                <w:noProof/>
              </w:rPr>
              <w:t>27. maaliskuuta 2019.</w:t>
            </w:r>
          </w:p>
        </w:tc>
      </w:tr>
      <w:tr>
        <w:tc>
          <w:tcPr>
            <w:tcW w:w="6804" w:type="dxa"/>
          </w:tcPr>
          <w:p>
            <w:pPr>
              <w:rPr>
                <w:noProof/>
                <w:color w:val="000000" w:themeColor="text1"/>
              </w:rPr>
            </w:pPr>
            <w:r>
              <w:rPr>
                <w:noProof/>
                <w:color w:val="000000" w:themeColor="text1"/>
              </w:rPr>
              <w:t>Päivä, jona muutettu ehdotus on toimitettu:</w:t>
            </w:r>
          </w:p>
        </w:tc>
        <w:tc>
          <w:tcPr>
            <w:tcW w:w="2483" w:type="dxa"/>
          </w:tcPr>
          <w:p>
            <w:pPr>
              <w:jc w:val="left"/>
              <w:rPr>
                <w:noProof/>
                <w:color w:val="000000" w:themeColor="text1"/>
              </w:rPr>
            </w:pPr>
            <w:r>
              <w:rPr>
                <w:noProof/>
              </w:rPr>
              <w:t>Ei sovelleta.</w:t>
            </w:r>
          </w:p>
        </w:tc>
      </w:tr>
      <w:tr>
        <w:tc>
          <w:tcPr>
            <w:tcW w:w="6804" w:type="dxa"/>
          </w:tcPr>
          <w:p>
            <w:pPr>
              <w:rPr>
                <w:noProof/>
                <w:color w:val="000000" w:themeColor="text1"/>
              </w:rPr>
            </w:pPr>
            <w:r>
              <w:rPr>
                <w:noProof/>
                <w:color w:val="000000" w:themeColor="text1"/>
              </w:rPr>
              <w:t xml:space="preserve">Päivä, jona neuvoston kanta on vahvistettu: </w:t>
            </w:r>
          </w:p>
        </w:tc>
        <w:tc>
          <w:tcPr>
            <w:tcW w:w="2483" w:type="dxa"/>
          </w:tcPr>
          <w:p>
            <w:pPr>
              <w:jc w:val="left"/>
              <w:rPr>
                <w:noProof/>
                <w:color w:val="000000" w:themeColor="text1"/>
              </w:rPr>
            </w:pPr>
            <w:r>
              <w:rPr>
                <w:noProof/>
                <w:color w:val="000000" w:themeColor="text1"/>
              </w:rPr>
              <w:t>20. heinäkuuta 2020.</w:t>
            </w:r>
          </w:p>
        </w:tc>
      </w:tr>
    </w:tbl>
    <w:p>
      <w:pPr>
        <w:pStyle w:val="ManualHeading1"/>
        <w:rPr>
          <w:noProof/>
        </w:rPr>
      </w:pPr>
      <w:r>
        <w:rPr>
          <w:noProof/>
        </w:rPr>
        <w:t>2.</w:t>
      </w:r>
      <w:r>
        <w:rPr>
          <w:noProof/>
        </w:rPr>
        <w:tab/>
        <w:t>Komission ehdotuksen tavoite</w:t>
      </w:r>
    </w:p>
    <w:p>
      <w:pPr>
        <w:rPr>
          <w:noProof/>
        </w:rPr>
      </w:pPr>
      <w:r>
        <w:rPr>
          <w:noProof/>
        </w:rPr>
        <w:t>Osana pääomamarkkinaunionia koskevaa toimintasuunnitelmaa ja FinTech-toimintasuunnitelmaa Euroopan komissio on esittänyt ehdotuksen asetukseksi joukkorahoituspalvelun tarjoajista. Ehdotuksen tavoitteena on tarjota joukkorahoitusalustoille sääntelykehys, joka mahdollistaa pääsyn koko sisämarkkinoille yhtenäisiin sääntöihin perustuvan yhden toimiluvan avulla. Ehdotuksessa otetaan myös käyttöön sijoittajansuojaa koskevia vaatimuksia, jotka on räätälöity lainsäädäntötoimen kattaman palvelun tyypin mukaan. Kaiken kaikkiaan lainsäädännöllä pyritään helpottamaan näiden rahoituspalvelujen rajatylittävää tarjontaa EU:ssa. Koska joukkorahoituksen markkinat EU:ssa ovat alikehittyneet, uusilla säännöillä voidaan huomattavasti parantaa pienten ja keskisuurten yritysten, erityisesti startup-yritysten, mahdollisuuksia saada innovatiivisia rahoitusmuotoja pääomamarkkinaunionin puitteissa ja auttaa EU:n taloutta kasvamaan nopeammin.</w:t>
      </w:r>
    </w:p>
    <w:p>
      <w:pPr>
        <w:pStyle w:val="ManualHeading1"/>
        <w:rPr>
          <w:noProof/>
        </w:rPr>
      </w:pPr>
      <w:r>
        <w:rPr>
          <w:noProof/>
        </w:rPr>
        <w:lastRenderedPageBreak/>
        <w:t>3.</w:t>
      </w:r>
      <w:r>
        <w:rPr>
          <w:noProof/>
        </w:rPr>
        <w:tab/>
        <w:t>Euroopan parlamentin kantaa koskevat huomautukset</w:t>
      </w:r>
    </w:p>
    <w:p>
      <w:pPr>
        <w:rPr>
          <w:noProof/>
        </w:rPr>
      </w:pPr>
      <w:r>
        <w:rPr>
          <w:noProof/>
        </w:rPr>
        <w:t>Euroopan parlamentin ensimmäisen käsittelyn kannassa, joka vahvistettiin 27. maaliskuuta 2019, ehdotettiin erityisesti seuraavia tarkistuksia komission ehdotukseen:</w:t>
      </w:r>
    </w:p>
    <w:p>
      <w:pPr>
        <w:pStyle w:val="Bullet1"/>
        <w:numPr>
          <w:ilvl w:val="0"/>
          <w:numId w:val="9"/>
        </w:numPr>
        <w:rPr>
          <w:noProof/>
        </w:rPr>
      </w:pPr>
      <w:r>
        <w:rPr>
          <w:noProof/>
        </w:rPr>
        <w:t>valtuutetaan kansalliset toimivaltaiset viranomaiset myöntämään toimiluvat joukkorahoituspalvelun tarjoajille ja valvomaan niitä komission ehdottaman Euroopan arvopaperimarkkinaviranomaisen sijaan;</w:t>
      </w:r>
    </w:p>
    <w:p>
      <w:pPr>
        <w:pStyle w:val="Bullet1"/>
        <w:rPr>
          <w:noProof/>
        </w:rPr>
      </w:pPr>
      <w:r>
        <w:rPr>
          <w:noProof/>
        </w:rPr>
        <w:t>laajennetaan sallitut palvelut kattamaan sijoitusneuvonta ja salkunhoito;</w:t>
      </w:r>
    </w:p>
    <w:p>
      <w:pPr>
        <w:pStyle w:val="Bullet1"/>
        <w:rPr>
          <w:noProof/>
        </w:rPr>
      </w:pPr>
      <w:r>
        <w:rPr>
          <w:noProof/>
        </w:rPr>
        <w:t>nostetaan joukkorahoitustarjousten liikkeeseenlaskun raja-arvo 8 000 000 euroon.</w:t>
      </w:r>
    </w:p>
    <w:p>
      <w:pPr>
        <w:rPr>
          <w:noProof/>
          <w:color w:val="000000" w:themeColor="text1"/>
        </w:rPr>
      </w:pPr>
      <w:r>
        <w:rPr>
          <w:noProof/>
        </w:rPr>
        <w:t>Neuvoston vahvistettua ensimmäisen käsittelyn kantansa 20. heinäkuuta 2020 Euroopan parlamentin odotetaan hyväksyvän virallisesti toimielinten välisessä menettelyssä saavutetun poliittisen yhteisymmärryksen.</w:t>
      </w:r>
    </w:p>
    <w:p>
      <w:pPr>
        <w:pStyle w:val="ManualHeading1"/>
        <w:rPr>
          <w:noProof/>
        </w:rPr>
      </w:pPr>
      <w:r>
        <w:rPr>
          <w:noProof/>
        </w:rPr>
        <w:t>4.</w:t>
      </w:r>
      <w:r>
        <w:rPr>
          <w:noProof/>
        </w:rPr>
        <w:tab/>
        <w:t>Neuvoston kantaa koskevat huomautukset</w:t>
      </w:r>
    </w:p>
    <w:p>
      <w:pPr>
        <w:widowControl w:val="0"/>
        <w:rPr>
          <w:noProof/>
        </w:rPr>
      </w:pPr>
      <w:r>
        <w:rPr>
          <w:noProof/>
        </w:rPr>
        <w:t xml:space="preserve">Poliittisen yhteisymmärryksen mukaisesti neuvoston ensimmäisen käsittelyn kannassa esitetään luettelo komission ehdotukseen tehtävistä muutoksista, joita ovat muun muassa seuraavat: </w:t>
      </w:r>
    </w:p>
    <w:p>
      <w:pPr>
        <w:pStyle w:val="Bullet1"/>
        <w:rPr>
          <w:noProof/>
        </w:rPr>
      </w:pPr>
      <w:r>
        <w:rPr>
          <w:noProof/>
        </w:rPr>
        <w:t>luodaan joukkorahoituspalvelun tarjoajien tarjoamille joukkorahoituspalveluille yhdenmukaistettu EU:n laajuinen sääntelykehys, jossa kansalliset toimivaltaiset viranomaiset vastaavat toimilupien myöntämisestä ja valvonnasta, komission alun perin ehdottaman valinnaisen EU:n järjestelmän sijaan. Euroopan arvopaperimarkkinaviranomaiselle jätetään joitakin valikoituja tehtäviä, kuten täytäntöönpanotoimenpiteiden valmistelu, sitova sovittelu ja tiedonkeruu;</w:t>
      </w:r>
    </w:p>
    <w:p>
      <w:pPr>
        <w:pStyle w:val="Bullet1"/>
        <w:rPr>
          <w:noProof/>
        </w:rPr>
      </w:pPr>
      <w:r>
        <w:rPr>
          <w:noProof/>
        </w:rPr>
        <w:t>nostetaan liikkeeseenlaskun raja-arvo 5 miljoonaan euroon ja myönnetään väliaikainen 24 kuukauden poikkeus jäsenvaltioille, joissa esitettä koskeva raja-arvo on alle 5 miljoonaa euroa;</w:t>
      </w:r>
    </w:p>
    <w:p>
      <w:pPr>
        <w:pStyle w:val="Bullet1"/>
        <w:rPr>
          <w:noProof/>
        </w:rPr>
      </w:pPr>
      <w:r>
        <w:rPr>
          <w:noProof/>
        </w:rPr>
        <w:t>laajennetaan soveltamisala kattamaan joukkorahoitukseen käytettävät kaupankäynnin kohteeksi otetut välineet (osakeyhtiöiden osakkeet);</w:t>
      </w:r>
    </w:p>
    <w:p>
      <w:pPr>
        <w:pStyle w:val="Bullet1"/>
        <w:rPr>
          <w:noProof/>
        </w:rPr>
      </w:pPr>
      <w:r>
        <w:rPr>
          <w:noProof/>
        </w:rPr>
        <w:t>laajennetaan palvelut kattamaan yksilöllinen lainasalkunhoito;</w:t>
      </w:r>
    </w:p>
    <w:p>
      <w:pPr>
        <w:pStyle w:val="Bullet1"/>
        <w:rPr>
          <w:noProof/>
        </w:rPr>
      </w:pPr>
      <w:r>
        <w:rPr>
          <w:noProof/>
        </w:rPr>
        <w:t>erotetaan toisistaan ammattimaiset ja ei-ammattimaiset sijoittajat ja otetaan käyttöön ei-ammattimaisia sijoittajia koskevia ylimääräisiä sijoittajansuojatoimenpiteitä.</w:t>
      </w:r>
    </w:p>
    <w:p>
      <w:pPr>
        <w:widowControl w:val="0"/>
        <w:rPr>
          <w:noProof/>
          <w:color w:val="000000" w:themeColor="text1"/>
        </w:rPr>
      </w:pPr>
      <w:r>
        <w:rPr>
          <w:noProof/>
        </w:rPr>
        <w:t xml:space="preserve">Neuvoston kanta vastaa täysin Euroopan parlamentin ja neuvoston 18. joulukuuta 2019 saavuttamaa poliittista yhteisymmärrystä. Komissio katsoo, että nämä ehdotukseen tehdyt muutokset eivät vaaranna sen alkuperäisiä poliittisia tavoitteita. Näin ollen komissio voi hyväksyä neuvoston kannan. </w:t>
      </w:r>
    </w:p>
    <w:p>
      <w:pPr>
        <w:pStyle w:val="ManualHeading1"/>
        <w:rPr>
          <w:noProof/>
        </w:rPr>
      </w:pPr>
      <w:r>
        <w:rPr>
          <w:noProof/>
        </w:rPr>
        <w:lastRenderedPageBreak/>
        <w:t>5.</w:t>
      </w:r>
      <w:r>
        <w:rPr>
          <w:noProof/>
        </w:rPr>
        <w:tab/>
        <w:t>Päätelmät</w:t>
      </w:r>
    </w:p>
    <w:p>
      <w:pPr>
        <w:keepNext/>
        <w:keepLines/>
        <w:rPr>
          <w:noProof/>
        </w:rPr>
      </w:pPr>
      <w:r>
        <w:rPr>
          <w:noProof/>
        </w:rPr>
        <w:t xml:space="preserve">Vaikka alkuperäisestä ehdotuksesta poiketaan merkittävästi, komissio antaa myönteisen lausunnon neuvoston ensimmäisessä käsittelyssä vahvistamasta kannasta, koska teksti on edelleen ehdotuksen alkuperäisten tavoitteiden mukainen. Lisäksi kanta kuvastaa täysin toimielinten välisissä neuvotteluissa, jotka huipentuivat poliittiseen yhteisymmärrykseen 18. joulukuuta 2019, saavutettuja tuloksia. </w:t>
      </w:r>
    </w:p>
    <w:p>
      <w:pPr>
        <w:keepNext/>
        <w:rPr>
          <w:noProof/>
        </w:rPr>
      </w:pPr>
      <w:r>
        <w:rPr>
          <w:noProof/>
        </w:rPr>
        <w:t>Hyväksytyn tekstin vahvistaminen Euroopan parlamentin toisessa käsittelyssä muodostaa tärkeän virstanpylvään pyrkimyksissä saavuttaa yhteiset tavoitteet, jotka koskevat pienten ja keskisuurten yritysten, myös startup- ja scaleup-yritysten, rahoituksen saannin parantamista. Näin EU:n talous voisi toipua nykyistä nopeammin tämänhetkisestä talous- ja terveyskriisistä.</w:t>
      </w:r>
    </w:p>
    <w:p>
      <w:pPr>
        <w:rPr>
          <w:noProof/>
          <w:color w:val="000000" w:themeColor="text1"/>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7089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4847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2C634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71202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D685F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4022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8F04A2A"/>
    <w:lvl w:ilvl="0">
      <w:start w:val="1"/>
      <w:numFmt w:val="decimal"/>
      <w:pStyle w:val="ListNumber"/>
      <w:lvlText w:val="%1."/>
      <w:lvlJc w:val="left"/>
      <w:pPr>
        <w:tabs>
          <w:tab w:val="num" w:pos="360"/>
        </w:tabs>
        <w:ind w:left="360" w:hanging="360"/>
      </w:pPr>
    </w:lvl>
  </w:abstractNum>
  <w:abstractNum w:abstractNumId="7">
    <w:nsid w:val="FFFFFF89"/>
    <w:multiLevelType w:val="singleLevel"/>
    <w:tmpl w:val="8E7246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9 12:26: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D0815D8-D6A9-4B86-8FC4-E233EA2DC591"/>
    <w:docVar w:name="LW_COVERPAGE_TYPE" w:val="1"/>
    <w:docVar w:name="LW_CROSSREFERENCE" w:val="&lt;UNUSED&gt;"/>
    <w:docVar w:name="LW_DocType" w:val="COM"/>
    <w:docVar w:name="LW_EMISSION" w:val="29.7.2020"/>
    <w:docVar w:name="LW_EMISSION_ISODATE" w:val="2020-07-29"/>
    <w:docVar w:name="LW_EMISSION_LOCATION" w:val="BRX"/>
    <w:docVar w:name="LW_EMISSION_PREFIX" w:val="Bryssel "/>
    <w:docVar w:name="LW_EMISSION_SUFFIX" w:val=" "/>
    <w:docVar w:name="LW_ID_DOCMODEL" w:val="SJ-028"/>
    <w:docVar w:name="LW_ID_DOCSTRUCTURE" w:val="COM/PL/CODEC"/>
    <w:docVar w:name="LW_ID_DOCTYPE" w:val="SJ-028"/>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20) 3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euvoston kannasta Euroopan parlamentin ja neuvoston asetuksen antamiseksi yrityksille suunnatun joukkorahoituspalvelun eurooppalaisista tarjoajista sekä asetuksen (EU) 2017/1129 ja direktiivin (EU) 2019/1937 muuttamisesta ja direktiivin antamiseksi rahoitusvälineiden markkinoista annetun direktiivin 2014/65/EU muuttamisesta _x000b_ _x000b_Tämä tiedonanto koskee sekä asiakirjaa _x000b_COM(2018) 113 final - 2018/0048(COD) että asiakirjaa COM(2018) 99 final - 2018/0047(COD) _x000b_ _x000b_"/>
    <w:docVar w:name="LW_TYPE.DOC.CP" w:val="KOMISSION TIEDONANTO_x000b_EUROOPAN PARLAMENTILLE_x000b__x000b_Euroopan unionin toiminnasta tehdyn sopimuksen 294 artiklan 6 kohdan mukaisest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FFCA-877C-443F-AF75-4B703625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518</Words>
  <Characters>4651</Characters>
  <Application>Microsoft Office Word</Application>
  <DocSecurity>0</DocSecurity>
  <Lines>93</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2020-07-29T09:00:00Z</dcterms:created>
  <dcterms:modified xsi:type="dcterms:W3CDTF">2020-07-29T10:26:00Z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