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E3B723C-7CFA-4FBA-99FE-BD17F824C5D5" style="width:450.7pt;height:471.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2018/0047 (COD)</w:t>
      </w:r>
    </w:p>
    <w:p>
      <w:pPr>
        <w:pStyle w:val="Typedudocument"/>
        <w:rPr>
          <w:noProof/>
        </w:rPr>
      </w:pPr>
      <w:r>
        <w:rPr>
          <w:noProof/>
        </w:rPr>
        <w:t>SDĚLENÍ KOMISE EVROPSKÉMU PARLAMENTU</w:t>
      </w:r>
      <w:r>
        <w:rPr>
          <w:noProof/>
        </w:rPr>
        <w:br/>
      </w:r>
      <w:r>
        <w:rPr>
          <w:noProof/>
        </w:rPr>
        <w:br/>
        <w:t>podle čl. 294 odst. 6 Smlouvy o fungování Evropské unie</w:t>
      </w:r>
      <w:r>
        <w:rPr>
          <w:noProof/>
        </w:rPr>
        <w:br/>
      </w:r>
      <w:r>
        <w:rPr>
          <w:noProof/>
        </w:rPr>
        <w:br/>
        <w:t>týkající se</w:t>
      </w:r>
    </w:p>
    <w:p>
      <w:pPr>
        <w:pStyle w:val="Titreobjet"/>
        <w:rPr>
          <w:noProof/>
        </w:rPr>
      </w:pPr>
      <w:r>
        <w:rPr>
          <w:noProof/>
        </w:rPr>
        <w:t xml:space="preserve">postoje Rady k přijetí nařízení Evropského parlamentu a Rady o evropských poskytovatelích služeb skupinového financování pro podniky a o změně nařízení (EU) 2017/1129 a o změně směrnice 2019/1937 a směrnice, kterou se mění směrnice 2014/65/EU o trzích finančních nástrojů </w:t>
      </w:r>
      <w:r>
        <w:rPr>
          <w:noProof/>
        </w:rPr>
        <w:br/>
        <w:t xml:space="preserve"> </w:t>
      </w:r>
      <w:r>
        <w:rPr>
          <w:noProof/>
        </w:rPr>
        <w:br/>
        <w:t xml:space="preserve">Toto sdělení se týká </w:t>
      </w:r>
      <w:r>
        <w:rPr>
          <w:noProof/>
        </w:rPr>
        <w:br/>
        <w:t xml:space="preserve">COM(2018) 113 final – 2018/0048(COD) a COM(2018) 99 final – 2018/0047(COD) </w:t>
      </w:r>
      <w:r>
        <w:rPr>
          <w:noProof/>
        </w:rPr>
        <w:br/>
        <w:t xml:space="preserve"> </w:t>
      </w:r>
      <w:r>
        <w:rPr>
          <w:noProof/>
        </w:rPr>
        <w:br/>
      </w:r>
    </w:p>
    <w:p>
      <w:pPr>
        <w:pStyle w:val="ManualHeading1"/>
        <w:rPr>
          <w:noProof/>
          <w:color w:val="000000" w:themeColor="text1"/>
          <w:sz w:val="22"/>
        </w:rPr>
      </w:pPr>
      <w:r>
        <w:rPr>
          <w:noProof/>
          <w:color w:val="000000" w:themeColor="text1"/>
        </w:rPr>
        <w:t>1.</w:t>
      </w:r>
      <w:r>
        <w:rPr>
          <w:noProof/>
        </w:rPr>
        <w:tab/>
      </w:r>
      <w:r>
        <w:rPr>
          <w:noProof/>
          <w:color w:val="000000" w:themeColor="text1"/>
        </w:rPr>
        <w:t>Souvislosti</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color w:val="000000" w:themeColor="text1"/>
              </w:rPr>
            </w:pPr>
            <w:r>
              <w:rPr>
                <w:noProof/>
                <w:color w:val="000000" w:themeColor="text1"/>
              </w:rPr>
              <w:t>Datum předání návrhu Evropskému parlamentu a Radě:</w:t>
            </w:r>
            <w:r>
              <w:rPr>
                <w:noProof/>
              </w:rPr>
              <w:t xml:space="preserve"> </w:t>
            </w:r>
            <w:r>
              <w:rPr>
                <w:noProof/>
              </w:rPr>
              <w:br/>
            </w:r>
            <w:r>
              <w:rPr>
                <w:noProof/>
                <w:color w:val="000000" w:themeColor="text1"/>
              </w:rPr>
              <w:t>(dokumenty COM(</w:t>
            </w:r>
            <w:r>
              <w:rPr>
                <w:noProof/>
              </w:rPr>
              <w:t>2018</w:t>
            </w:r>
            <w:r>
              <w:rPr>
                <w:noProof/>
                <w:color w:val="000000" w:themeColor="text1"/>
              </w:rPr>
              <w:t xml:space="preserve">) </w:t>
            </w:r>
            <w:r>
              <w:rPr>
                <w:noProof/>
              </w:rPr>
              <w:t>[113]</w:t>
            </w:r>
            <w:r>
              <w:rPr>
                <w:noProof/>
                <w:color w:val="000000" w:themeColor="text1"/>
              </w:rPr>
              <w:t xml:space="preserve"> final – </w:t>
            </w:r>
            <w:r>
              <w:rPr>
                <w:noProof/>
              </w:rPr>
              <w:t>2018</w:t>
            </w:r>
            <w:r>
              <w:rPr>
                <w:noProof/>
                <w:color w:val="000000" w:themeColor="text1"/>
              </w:rPr>
              <w:t>/</w:t>
            </w:r>
            <w:r>
              <w:rPr>
                <w:noProof/>
              </w:rPr>
              <w:t xml:space="preserve">0048 </w:t>
            </w:r>
            <w:r>
              <w:rPr>
                <w:noProof/>
                <w:color w:val="000000" w:themeColor="text1"/>
              </w:rPr>
              <w:t>COD; COM(2018) [99] final – 2018/0047 COD):</w:t>
            </w:r>
          </w:p>
        </w:tc>
        <w:tc>
          <w:tcPr>
            <w:tcW w:w="2483" w:type="dxa"/>
          </w:tcPr>
          <w:p>
            <w:pPr>
              <w:jc w:val="left"/>
              <w:rPr>
                <w:noProof/>
                <w:color w:val="000000" w:themeColor="text1"/>
              </w:rPr>
            </w:pPr>
            <w:r>
              <w:rPr>
                <w:noProof/>
              </w:rPr>
              <w:t>8. března 2018</w:t>
            </w:r>
            <w:r>
              <w:rPr>
                <w:noProof/>
                <w:color w:val="000000" w:themeColor="text1"/>
              </w:rPr>
              <w:t>.</w:t>
            </w:r>
          </w:p>
        </w:tc>
      </w:tr>
      <w:tr>
        <w:tc>
          <w:tcPr>
            <w:tcW w:w="6804" w:type="dxa"/>
          </w:tcPr>
          <w:p>
            <w:pPr>
              <w:rPr>
                <w:noProof/>
                <w:color w:val="000000" w:themeColor="text1"/>
              </w:rPr>
            </w:pPr>
            <w:r>
              <w:rPr>
                <w:noProof/>
                <w:color w:val="000000" w:themeColor="text1"/>
              </w:rPr>
              <w:t>Datum vydání stanoviska Evropského hospodářského a sociálního výboru:</w:t>
            </w:r>
          </w:p>
        </w:tc>
        <w:tc>
          <w:tcPr>
            <w:tcW w:w="2483" w:type="dxa"/>
          </w:tcPr>
          <w:p>
            <w:pPr>
              <w:jc w:val="left"/>
              <w:rPr>
                <w:noProof/>
                <w:color w:val="000000" w:themeColor="text1"/>
              </w:rPr>
            </w:pPr>
            <w:r>
              <w:rPr>
                <w:noProof/>
              </w:rPr>
              <w:t>11. července 2018</w:t>
            </w:r>
            <w:r>
              <w:rPr>
                <w:noProof/>
                <w:color w:val="000000" w:themeColor="text1"/>
              </w:rPr>
              <w:t>.</w:t>
            </w:r>
          </w:p>
        </w:tc>
      </w:tr>
      <w:tr>
        <w:tc>
          <w:tcPr>
            <w:tcW w:w="6804" w:type="dxa"/>
          </w:tcPr>
          <w:p>
            <w:pPr>
              <w:rPr>
                <w:noProof/>
                <w:color w:val="000000" w:themeColor="text1"/>
              </w:rPr>
            </w:pPr>
            <w:r>
              <w:rPr>
                <w:noProof/>
                <w:color w:val="000000" w:themeColor="text1"/>
              </w:rPr>
              <w:t>Datum přijetí postoje Evropského parlamentu v prvním čtení:</w:t>
            </w:r>
          </w:p>
        </w:tc>
        <w:tc>
          <w:tcPr>
            <w:tcW w:w="2483" w:type="dxa"/>
          </w:tcPr>
          <w:p>
            <w:pPr>
              <w:jc w:val="left"/>
              <w:rPr>
                <w:noProof/>
                <w:color w:val="000000" w:themeColor="text1"/>
              </w:rPr>
            </w:pPr>
            <w:r>
              <w:rPr>
                <w:noProof/>
              </w:rPr>
              <w:t>27. března 2019</w:t>
            </w:r>
            <w:r>
              <w:rPr>
                <w:noProof/>
                <w:color w:val="000000" w:themeColor="text1"/>
              </w:rPr>
              <w:t>.</w:t>
            </w:r>
          </w:p>
        </w:tc>
      </w:tr>
      <w:tr>
        <w:tc>
          <w:tcPr>
            <w:tcW w:w="6804" w:type="dxa"/>
          </w:tcPr>
          <w:p>
            <w:pPr>
              <w:rPr>
                <w:noProof/>
                <w:color w:val="000000" w:themeColor="text1"/>
              </w:rPr>
            </w:pPr>
            <w:r>
              <w:rPr>
                <w:noProof/>
                <w:color w:val="000000" w:themeColor="text1"/>
              </w:rPr>
              <w:t>Datum předání pozměněného návrhu:</w:t>
            </w:r>
          </w:p>
        </w:tc>
        <w:tc>
          <w:tcPr>
            <w:tcW w:w="2483" w:type="dxa"/>
          </w:tcPr>
          <w:p>
            <w:pPr>
              <w:jc w:val="left"/>
              <w:rPr>
                <w:noProof/>
                <w:color w:val="000000" w:themeColor="text1"/>
              </w:rPr>
            </w:pPr>
            <w:r>
              <w:rPr>
                <w:noProof/>
              </w:rPr>
              <w:t>nepoužije se</w:t>
            </w:r>
            <w:r>
              <w:rPr>
                <w:noProof/>
                <w:color w:val="000000" w:themeColor="text1"/>
              </w:rPr>
              <w:t>.</w:t>
            </w:r>
          </w:p>
        </w:tc>
      </w:tr>
      <w:tr>
        <w:tc>
          <w:tcPr>
            <w:tcW w:w="6804" w:type="dxa"/>
          </w:tcPr>
          <w:p>
            <w:pPr>
              <w:rPr>
                <w:noProof/>
                <w:color w:val="000000" w:themeColor="text1"/>
              </w:rPr>
            </w:pPr>
            <w:r>
              <w:rPr>
                <w:noProof/>
                <w:color w:val="000000" w:themeColor="text1"/>
              </w:rPr>
              <w:t xml:space="preserve">Datum přijetí postoje Rady: </w:t>
            </w:r>
          </w:p>
        </w:tc>
        <w:tc>
          <w:tcPr>
            <w:tcW w:w="2483" w:type="dxa"/>
          </w:tcPr>
          <w:p>
            <w:pPr>
              <w:jc w:val="left"/>
              <w:rPr>
                <w:noProof/>
                <w:color w:val="000000" w:themeColor="text1"/>
              </w:rPr>
            </w:pPr>
            <w:r>
              <w:rPr>
                <w:noProof/>
                <w:color w:val="000000" w:themeColor="text1"/>
              </w:rPr>
              <w:t>20. července 2020.</w:t>
            </w:r>
          </w:p>
        </w:tc>
      </w:tr>
    </w:tbl>
    <w:p>
      <w:pPr>
        <w:pStyle w:val="ManualHeading1"/>
        <w:rPr>
          <w:noProof/>
        </w:rPr>
      </w:pPr>
      <w:r>
        <w:rPr>
          <w:noProof/>
        </w:rPr>
        <w:t>2.</w:t>
      </w:r>
      <w:r>
        <w:rPr>
          <w:noProof/>
        </w:rPr>
        <w:tab/>
        <w:t>Cíl návrhu Komise</w:t>
      </w:r>
    </w:p>
    <w:p>
      <w:pPr>
        <w:rPr>
          <w:noProof/>
        </w:rPr>
      </w:pPr>
      <w:r>
        <w:rPr>
          <w:noProof/>
        </w:rPr>
        <w:t>Evropská komise předložila jako součást unie kapitálových trhů a akčních plánů v oblasti finančních technologií návrh nařízení o poskytovatelích služeb skupinového financování. Cílem návrhu je poskytnout platformám skupinového financování vhodný regulační rámec, který prostřednictvím jediného povolení založeného na jednotném souboru pravidel umožní přístup na celý jednotný trh. Návrh zavádí rovněž požadavky na ochranu investorů přizpůsobené druhu služby, na kterou se vztahuje legislativní opatření. Cílem právních předpisů je usnadnit přeshraniční nabídku těchto finančních služeb v celé EU. Vzhledem k tomu, že trh EU pro skupinové financování není dostatečně rozvinutý, mají nová pravidla velký potenciál zlepšit přístup k inovativním formám financování pro malé a střední podniky a zejména pro začínající podniky v kontextu unie kapitálových trhů a napomoci růstu ekonomiky EU.</w:t>
      </w:r>
    </w:p>
    <w:p>
      <w:pPr>
        <w:pStyle w:val="ManualHeading1"/>
        <w:rPr>
          <w:noProof/>
        </w:rPr>
      </w:pPr>
      <w:r>
        <w:rPr>
          <w:noProof/>
        </w:rPr>
        <w:lastRenderedPageBreak/>
        <w:t>3.</w:t>
      </w:r>
      <w:r>
        <w:rPr>
          <w:noProof/>
        </w:rPr>
        <w:tab/>
        <w:t>Připomínky k postoji Evropského parlamentu</w:t>
      </w:r>
    </w:p>
    <w:p>
      <w:pPr>
        <w:rPr>
          <w:noProof/>
        </w:rPr>
      </w:pPr>
      <w:r>
        <w:rPr>
          <w:noProof/>
        </w:rPr>
        <w:t>V postoji Evropského parlamentu v prvním čtení přijatém dne 27. března 2019 byly navrženy změny návrhu Komise, a to zejména:</w:t>
      </w:r>
    </w:p>
    <w:p>
      <w:pPr>
        <w:pStyle w:val="Bullet1"/>
        <w:numPr>
          <w:ilvl w:val="0"/>
          <w:numId w:val="9"/>
        </w:numPr>
        <w:rPr>
          <w:noProof/>
        </w:rPr>
      </w:pPr>
      <w:r>
        <w:rPr>
          <w:noProof/>
        </w:rPr>
        <w:t>namísto Evropského orgánu pro cenné papíry a trhy navrženého Komisí zmocnit příslušné vnitrostátní orgány, aby povolovaly a dozorovaly poskytovatele služeb skupinového financování,</w:t>
      </w:r>
    </w:p>
    <w:p>
      <w:pPr>
        <w:pStyle w:val="Bullet1"/>
        <w:rPr>
          <w:noProof/>
        </w:rPr>
      </w:pPr>
      <w:r>
        <w:rPr>
          <w:noProof/>
        </w:rPr>
        <w:t>rozšířit rozsah povolených služeb na investiční poradenství a správu portfolia,</w:t>
      </w:r>
    </w:p>
    <w:p>
      <w:pPr>
        <w:pStyle w:val="Bullet1"/>
        <w:rPr>
          <w:noProof/>
        </w:rPr>
      </w:pPr>
      <w:r>
        <w:rPr>
          <w:noProof/>
        </w:rPr>
        <w:t>zvýšit prahovou hodnotu pro emise skupinového financování na 8 000 000 EUR.</w:t>
      </w:r>
    </w:p>
    <w:p>
      <w:pPr>
        <w:rPr>
          <w:noProof/>
          <w:color w:val="000000" w:themeColor="text1"/>
        </w:rPr>
      </w:pPr>
      <w:r>
        <w:rPr>
          <w:noProof/>
        </w:rPr>
        <w:t>Poté, co Rada dne 20. července 2020 přijala postoj v prvním čtení, se očekává, že Evropský parlament formálně potvrdí politickou dohodu, které bylo dosaženo v rámci interinstitucionálního postupu.</w:t>
      </w:r>
    </w:p>
    <w:p>
      <w:pPr>
        <w:pStyle w:val="ManualHeading1"/>
        <w:rPr>
          <w:noProof/>
        </w:rPr>
      </w:pPr>
      <w:r>
        <w:rPr>
          <w:noProof/>
        </w:rPr>
        <w:t>4.</w:t>
      </w:r>
      <w:r>
        <w:rPr>
          <w:noProof/>
        </w:rPr>
        <w:tab/>
        <w:t>Připomínky k postoji Rady</w:t>
      </w:r>
    </w:p>
    <w:p>
      <w:pPr>
        <w:widowControl w:val="0"/>
        <w:rPr>
          <w:noProof/>
        </w:rPr>
      </w:pPr>
      <w:r>
        <w:rPr>
          <w:noProof/>
        </w:rPr>
        <w:t xml:space="preserve">V souladu s politickou dohodou zavádí postoj Rady v prvním čtení seznam změn k návrhu Komise, mimo jiné: </w:t>
      </w:r>
    </w:p>
    <w:p>
      <w:pPr>
        <w:pStyle w:val="Bullet1"/>
        <w:rPr>
          <w:noProof/>
        </w:rPr>
      </w:pPr>
      <w:r>
        <w:rPr>
          <w:noProof/>
        </w:rPr>
        <w:t>Vytvoření harmonizovaného celounijního rámce, který by podléhal udělování licencí a dohledu ze strany příslušných vnitrostátních orgánů a nahradil by původní volitelný režim EU pro služby skupinového financování nabízené poskytovateli služeb skupinového financování navrhovaný Komisí. Několik vybraných úkolů je ponecháno na Evropském orgánu pro cenné papíry a trhy, mimo jiné příprava prováděcích opatření, závazné zprostředkování a sběr údajů.</w:t>
      </w:r>
    </w:p>
    <w:p>
      <w:pPr>
        <w:pStyle w:val="Bullet1"/>
        <w:rPr>
          <w:noProof/>
        </w:rPr>
      </w:pPr>
      <w:r>
        <w:rPr>
          <w:noProof/>
        </w:rPr>
        <w:t>Zvýšení prahové hodnoty pro emise na 5 milionů EUR, s dočasnou odchylkou na 24 měsíců pro členské státy, jejichž prahová hodnota pro prospekt je nižší než 5 milionů EUR.</w:t>
      </w:r>
    </w:p>
    <w:p>
      <w:pPr>
        <w:pStyle w:val="Bullet1"/>
        <w:rPr>
          <w:noProof/>
        </w:rPr>
      </w:pPr>
      <w:r>
        <w:rPr>
          <w:noProof/>
        </w:rPr>
        <w:t>Rozšíření oblasti působnosti tak, aby zahrnoval přijaté nástroje pro účely skupinového financování (akcie společností s ručením omezeným).</w:t>
      </w:r>
    </w:p>
    <w:p>
      <w:pPr>
        <w:pStyle w:val="Bullet1"/>
        <w:rPr>
          <w:noProof/>
        </w:rPr>
      </w:pPr>
      <w:r>
        <w:rPr>
          <w:noProof/>
        </w:rPr>
        <w:t>Rozšíření rozsahu služeb tak, aby zahrnovaly individuální správu portfolia úvěrů.</w:t>
      </w:r>
    </w:p>
    <w:p>
      <w:pPr>
        <w:pStyle w:val="Bullet1"/>
        <w:rPr>
          <w:noProof/>
        </w:rPr>
      </w:pPr>
      <w:r>
        <w:rPr>
          <w:noProof/>
        </w:rPr>
        <w:t>Rozlišit mezi profesionálními a neprofesionálními investory, jakož i další opatření na ochranu neprofesionálních investorů.</w:t>
      </w:r>
    </w:p>
    <w:p>
      <w:pPr>
        <w:widowControl w:val="0"/>
        <w:rPr>
          <w:noProof/>
          <w:color w:val="000000" w:themeColor="text1"/>
        </w:rPr>
      </w:pPr>
      <w:r>
        <w:rPr>
          <w:noProof/>
        </w:rPr>
        <w:t xml:space="preserve">Postoj Rady plně odráží politickou dohodu, ke které dospěly Evropský parlament a Rada dne 18. prosince 2019. Komise se domnívá, že tyto změny návrhu nenarušují jeho původní politické cíle. Komise proto může postoj Rady potvrdit. </w:t>
      </w:r>
    </w:p>
    <w:p>
      <w:pPr>
        <w:pStyle w:val="ManualHeading1"/>
        <w:rPr>
          <w:noProof/>
        </w:rPr>
      </w:pPr>
      <w:r>
        <w:rPr>
          <w:noProof/>
        </w:rPr>
        <w:t>5.</w:t>
      </w:r>
      <w:r>
        <w:rPr>
          <w:noProof/>
        </w:rPr>
        <w:tab/>
        <w:t>Závěr</w:t>
      </w:r>
    </w:p>
    <w:p>
      <w:pPr>
        <w:keepNext/>
        <w:keepLines/>
        <w:rPr>
          <w:noProof/>
        </w:rPr>
      </w:pPr>
      <w:r>
        <w:rPr>
          <w:noProof/>
        </w:rPr>
        <w:t xml:space="preserve">I když existují významné odchylky od původního návrhu, Komise vyjadřuje kladné stanovisko k postoji přijatému Radou v prvním čtení, neboť znění zůstává v souladu s původními cíli návrhu. Tento postoj navíc plně odráží výsledek interinstitucionálních jednání, která vyvrcholila uzavřením politické dohody dne 18. prosince 2019. </w:t>
      </w:r>
    </w:p>
    <w:p>
      <w:pPr>
        <w:keepNext/>
        <w:rPr>
          <w:noProof/>
        </w:rPr>
      </w:pPr>
      <w:r>
        <w:rPr>
          <w:noProof/>
        </w:rPr>
        <w:t xml:space="preserve">Přijetí dohodnutého znění ve druhém čtení Evropským parlamentem bude představovat důležitý milník na cestě k dosažení společných cílů spočívajících ve zlepšení přístupu malých </w:t>
      </w:r>
      <w:r>
        <w:rPr>
          <w:noProof/>
        </w:rPr>
        <w:lastRenderedPageBreak/>
        <w:t>a středních podniků, včetně začínajících a rychle se rozvíjejících podniků, k financování. To by mělo hospodářství EU pomoci ještě rychleji překonat současnou hospodářskou a zdravotní krizi.</w:t>
      </w:r>
    </w:p>
    <w:p>
      <w:pPr>
        <w:rPr>
          <w:noProof/>
          <w:color w:val="000000" w:themeColor="text1"/>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7089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4847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2C634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71202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D685F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4022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8F04A2A"/>
    <w:lvl w:ilvl="0">
      <w:start w:val="1"/>
      <w:numFmt w:val="decimal"/>
      <w:pStyle w:val="ListNumber"/>
      <w:lvlText w:val="%1."/>
      <w:lvlJc w:val="left"/>
      <w:pPr>
        <w:tabs>
          <w:tab w:val="num" w:pos="360"/>
        </w:tabs>
        <w:ind w:left="360" w:hanging="360"/>
      </w:pPr>
    </w:lvl>
  </w:abstractNum>
  <w:abstractNum w:abstractNumId="7">
    <w:nsid w:val="FFFFFF89"/>
    <w:multiLevelType w:val="singleLevel"/>
    <w:tmpl w:val="8E7246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9 12:26: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E3B723C-7CFA-4FBA-99FE-BD17F824C5D5"/>
    <w:docVar w:name="LW_COVERPAGE_TYPE" w:val="1"/>
    <w:docVar w:name="LW_CROSSREFERENCE" w:val="&lt;UNUSED&gt;"/>
    <w:docVar w:name="LW_DocType" w:val="COM"/>
    <w:docVar w:name="LW_EMISSION" w:val="29.7.2020"/>
    <w:docVar w:name="LW_EMISSION_ISODATE" w:val="2020-07-29"/>
    <w:docVar w:name="LW_EMISSION_LOCATION" w:val="BRX"/>
    <w:docVar w:name="LW_EMISSION_PREFIX" w:val="V Bruselu dne "/>
    <w:docVar w:name="LW_EMISSION_SUFFIX" w:val=" "/>
    <w:docVar w:name="LW_ID_DOCMODEL" w:val="SJ-028"/>
    <w:docVar w:name="LW_ID_DOCSTRUCTURE" w:val="COM/PL/CODEC"/>
    <w:docVar w:name="LW_ID_DOCTYPE" w:val="SJ-028"/>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20) 3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toje Rady k p\u345?ijetí na\u345?ízení Evropského parlamentu a Rady o evropských poskytovatelích slu\u382?eb skupinového financování pro podniky a o zm\u283?n\u283? na\u345?ízení (EU) 2017/1129 a o zm\u283?n\u283? sm\u283?rnice 2019/1937 a sm\u283?rnice, kterou se m\u283?ní sm\u283?rnice 2014/65/EU o trzích finan\u269?ních nástroj\u367? _x000b_ _x000b_Toto sd\u283?lení se týká _x000b_COM(2018) 113 final \u8211? 2018/0048(COD) a COM(2018) 99 final \u8211? 2018/0047(COD) _x000b_ _x000b_"/>
    <w:docVar w:name="LW_TYPE.DOC.CP" w:val="SD\u282?LENÍ KOMISE EVROPSKÉMU PARLAMENTU_x000b__x000b_podle \u269?l. 294 odst. 6 Smlouvy o fungování Evropské unie_x000b__x000b_týkající 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8760-7600-4AB3-93E2-A33A3EB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633</Words>
  <Characters>3951</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2020-07-29T06:31:00Z</dcterms:created>
  <dcterms:modified xsi:type="dcterms:W3CDTF">2020-07-29T10:26:00Z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