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81D39316-F31B-41C5-8A24-57ECDC838B96" style="width:450.7pt;height:484.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2018/0047 (COD)</w:t>
      </w:r>
    </w:p>
    <w:p>
      <w:pPr>
        <w:pStyle w:val="Typedudocument"/>
        <w:rPr>
          <w:noProof/>
        </w:rPr>
      </w:pPr>
      <w:r>
        <w:rPr>
          <w:noProof/>
        </w:rPr>
        <w:t>SPOROČILO KOMISIJE</w:t>
      </w:r>
      <w:r>
        <w:rPr>
          <w:noProof/>
        </w:rPr>
        <w:br/>
        <w:t>EVROPSKEMU PARLAMENTU</w:t>
      </w:r>
      <w:r>
        <w:rPr>
          <w:noProof/>
        </w:rPr>
        <w:br/>
      </w:r>
      <w:r>
        <w:rPr>
          <w:noProof/>
        </w:rPr>
        <w:br/>
        <w:t xml:space="preserve">v skladu s členom 294(6) Pogodbe o delovanju Evropske unije </w:t>
      </w:r>
      <w:r>
        <w:rPr>
          <w:noProof/>
        </w:rPr>
        <w:br/>
      </w:r>
      <w:r>
        <w:rPr>
          <w:noProof/>
        </w:rPr>
        <w:br/>
        <w:t>v zvezi s</w:t>
      </w:r>
    </w:p>
    <w:p>
      <w:pPr>
        <w:pStyle w:val="Titreobjet"/>
        <w:rPr>
          <w:noProof/>
        </w:rPr>
      </w:pPr>
      <w:r>
        <w:rPr>
          <w:noProof/>
        </w:rPr>
        <w:t xml:space="preserve">stališčem Sveta o sprejetju uredbe Evropskega parlamenta in Sveta o evropskih ponudnikih storitev množičnega financiranja za podjetja in spremembi Uredbe (EU) 2017/1129 in Direktive (EU) 2019/1937 ter o sprejetju direktive o spremembi Direktive 2014/65/EU o trgih finančnih instrumentov </w:t>
      </w:r>
      <w:r>
        <w:rPr>
          <w:noProof/>
        </w:rPr>
        <w:br/>
        <w:t xml:space="preserve"> </w:t>
      </w:r>
      <w:r>
        <w:rPr>
          <w:noProof/>
        </w:rPr>
        <w:br/>
        <w:t xml:space="preserve">To sporočilo se nanaša na predloga </w:t>
      </w:r>
      <w:r>
        <w:rPr>
          <w:noProof/>
        </w:rPr>
        <w:br/>
        <w:t xml:space="preserve">COM(2018) 113 final – 2018/0048(COD) in COM(2018) 99 final – 2018/0047(COD) </w:t>
      </w:r>
      <w:r>
        <w:rPr>
          <w:noProof/>
        </w:rPr>
        <w:br/>
        <w:t xml:space="preserve"> </w:t>
      </w:r>
      <w:r>
        <w:rPr>
          <w:noProof/>
        </w:rPr>
        <w:br/>
      </w:r>
    </w:p>
    <w:p>
      <w:pPr>
        <w:pStyle w:val="ManualHeading1"/>
        <w:rPr>
          <w:noProof/>
          <w:color w:val="000000" w:themeColor="text1"/>
          <w:sz w:val="22"/>
        </w:rPr>
      </w:pPr>
      <w:r>
        <w:rPr>
          <w:noProof/>
          <w:color w:val="000000" w:themeColor="text1"/>
        </w:rPr>
        <w:t>1.</w:t>
      </w:r>
      <w:r>
        <w:rPr>
          <w:noProof/>
        </w:rPr>
        <w:tab/>
      </w:r>
      <w:r>
        <w:rPr>
          <w:noProof/>
          <w:color w:val="000000" w:themeColor="text1"/>
        </w:rPr>
        <w:t>Ozadje</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color w:val="000000" w:themeColor="text1"/>
              </w:rPr>
            </w:pPr>
            <w:r>
              <w:rPr>
                <w:noProof/>
                <w:color w:val="000000" w:themeColor="text1"/>
              </w:rPr>
              <w:t>Datum predložitve predlogov Evropskemu parlamentu in Svetu</w:t>
            </w:r>
            <w:r>
              <w:rPr>
                <w:noProof/>
              </w:rPr>
              <w:t xml:space="preserve"> </w:t>
            </w:r>
            <w:r>
              <w:rPr>
                <w:noProof/>
              </w:rPr>
              <w:br/>
            </w:r>
            <w:r>
              <w:rPr>
                <w:noProof/>
                <w:color w:val="000000" w:themeColor="text1"/>
              </w:rPr>
              <w:t>(dokument COM(</w:t>
            </w:r>
            <w:r>
              <w:rPr>
                <w:noProof/>
              </w:rPr>
              <w:t>2018</w:t>
            </w:r>
            <w:r>
              <w:rPr>
                <w:noProof/>
                <w:color w:val="000000" w:themeColor="text1"/>
              </w:rPr>
              <w:t xml:space="preserve">) </w:t>
            </w:r>
            <w:r>
              <w:rPr>
                <w:noProof/>
              </w:rPr>
              <w:t>[113]</w:t>
            </w:r>
            <w:r>
              <w:rPr>
                <w:noProof/>
                <w:color w:val="000000" w:themeColor="text1"/>
              </w:rPr>
              <w:t xml:space="preserve"> final – </w:t>
            </w:r>
            <w:r>
              <w:rPr>
                <w:noProof/>
              </w:rPr>
              <w:t>2018</w:t>
            </w:r>
            <w:r>
              <w:rPr>
                <w:noProof/>
                <w:color w:val="000000" w:themeColor="text1"/>
              </w:rPr>
              <w:t>/</w:t>
            </w:r>
            <w:r>
              <w:rPr>
                <w:noProof/>
              </w:rPr>
              <w:t xml:space="preserve">0048 </w:t>
            </w:r>
            <w:r>
              <w:rPr>
                <w:noProof/>
                <w:color w:val="000000" w:themeColor="text1"/>
              </w:rPr>
              <w:t>COD; COM(2018) [99] final – 2018/0047 COD):</w:t>
            </w:r>
          </w:p>
        </w:tc>
        <w:tc>
          <w:tcPr>
            <w:tcW w:w="2483" w:type="dxa"/>
          </w:tcPr>
          <w:p>
            <w:pPr>
              <w:jc w:val="left"/>
              <w:rPr>
                <w:noProof/>
                <w:color w:val="000000" w:themeColor="text1"/>
              </w:rPr>
            </w:pPr>
            <w:r>
              <w:rPr>
                <w:noProof/>
              </w:rPr>
              <w:t>8. marec 2018</w:t>
            </w:r>
            <w:r>
              <w:rPr>
                <w:noProof/>
                <w:color w:val="000000" w:themeColor="text1"/>
              </w:rPr>
              <w:t>.</w:t>
            </w:r>
          </w:p>
        </w:tc>
      </w:tr>
      <w:tr>
        <w:tc>
          <w:tcPr>
            <w:tcW w:w="6804" w:type="dxa"/>
          </w:tcPr>
          <w:p>
            <w:pPr>
              <w:rPr>
                <w:noProof/>
                <w:color w:val="000000" w:themeColor="text1"/>
              </w:rPr>
            </w:pPr>
            <w:r>
              <w:rPr>
                <w:noProof/>
                <w:color w:val="000000" w:themeColor="text1"/>
              </w:rPr>
              <w:t>Datum mnenja Evropskega ekonomsko-socialnega odbora:</w:t>
            </w:r>
          </w:p>
        </w:tc>
        <w:tc>
          <w:tcPr>
            <w:tcW w:w="2483" w:type="dxa"/>
          </w:tcPr>
          <w:p>
            <w:pPr>
              <w:jc w:val="left"/>
              <w:rPr>
                <w:noProof/>
                <w:color w:val="000000" w:themeColor="text1"/>
              </w:rPr>
            </w:pPr>
            <w:r>
              <w:rPr>
                <w:noProof/>
              </w:rPr>
              <w:t>11. julij 2018</w:t>
            </w:r>
            <w:r>
              <w:rPr>
                <w:noProof/>
                <w:color w:val="000000" w:themeColor="text1"/>
              </w:rPr>
              <w:t>.</w:t>
            </w:r>
          </w:p>
        </w:tc>
      </w:tr>
      <w:tr>
        <w:tc>
          <w:tcPr>
            <w:tcW w:w="6804" w:type="dxa"/>
          </w:tcPr>
          <w:p>
            <w:pPr>
              <w:rPr>
                <w:noProof/>
                <w:color w:val="000000" w:themeColor="text1"/>
              </w:rPr>
            </w:pPr>
            <w:r>
              <w:rPr>
                <w:noProof/>
                <w:color w:val="000000" w:themeColor="text1"/>
              </w:rPr>
              <w:t>Datum stališča Evropskega parlamenta, prva obravnava:</w:t>
            </w:r>
          </w:p>
        </w:tc>
        <w:tc>
          <w:tcPr>
            <w:tcW w:w="2483" w:type="dxa"/>
          </w:tcPr>
          <w:p>
            <w:pPr>
              <w:jc w:val="left"/>
              <w:rPr>
                <w:noProof/>
                <w:color w:val="000000" w:themeColor="text1"/>
              </w:rPr>
            </w:pPr>
            <w:r>
              <w:rPr>
                <w:noProof/>
              </w:rPr>
              <w:t>27. marec 2019</w:t>
            </w:r>
            <w:r>
              <w:rPr>
                <w:noProof/>
                <w:color w:val="000000" w:themeColor="text1"/>
              </w:rPr>
              <w:t>.</w:t>
            </w:r>
          </w:p>
        </w:tc>
      </w:tr>
      <w:tr>
        <w:tc>
          <w:tcPr>
            <w:tcW w:w="6804" w:type="dxa"/>
          </w:tcPr>
          <w:p>
            <w:pPr>
              <w:rPr>
                <w:noProof/>
                <w:color w:val="000000" w:themeColor="text1"/>
              </w:rPr>
            </w:pPr>
            <w:r>
              <w:rPr>
                <w:noProof/>
                <w:color w:val="000000" w:themeColor="text1"/>
              </w:rPr>
              <w:t>Datum predložitve spremenjenega predloga:</w:t>
            </w:r>
          </w:p>
        </w:tc>
        <w:tc>
          <w:tcPr>
            <w:tcW w:w="2483" w:type="dxa"/>
          </w:tcPr>
          <w:p>
            <w:pPr>
              <w:jc w:val="left"/>
              <w:rPr>
                <w:noProof/>
                <w:color w:val="000000" w:themeColor="text1"/>
              </w:rPr>
            </w:pPr>
            <w:r>
              <w:rPr>
                <w:noProof/>
              </w:rPr>
              <w:t>Ni na voljo</w:t>
            </w:r>
            <w:r>
              <w:rPr>
                <w:noProof/>
                <w:color w:val="000000" w:themeColor="text1"/>
              </w:rPr>
              <w:t>.</w:t>
            </w:r>
          </w:p>
        </w:tc>
      </w:tr>
      <w:tr>
        <w:tc>
          <w:tcPr>
            <w:tcW w:w="6804" w:type="dxa"/>
          </w:tcPr>
          <w:p>
            <w:pPr>
              <w:rPr>
                <w:noProof/>
                <w:color w:val="000000" w:themeColor="text1"/>
              </w:rPr>
            </w:pPr>
            <w:r>
              <w:rPr>
                <w:noProof/>
                <w:color w:val="000000" w:themeColor="text1"/>
              </w:rPr>
              <w:t xml:space="preserve">Datum sprejetja stališča Sveta: </w:t>
            </w:r>
          </w:p>
        </w:tc>
        <w:tc>
          <w:tcPr>
            <w:tcW w:w="2483" w:type="dxa"/>
          </w:tcPr>
          <w:p>
            <w:pPr>
              <w:jc w:val="left"/>
              <w:rPr>
                <w:noProof/>
                <w:color w:val="000000" w:themeColor="text1"/>
              </w:rPr>
            </w:pPr>
            <w:r>
              <w:rPr>
                <w:noProof/>
                <w:color w:val="000000" w:themeColor="text1"/>
              </w:rPr>
              <w:t>20. julij 2020.</w:t>
            </w:r>
          </w:p>
        </w:tc>
      </w:tr>
    </w:tbl>
    <w:p>
      <w:pPr>
        <w:pStyle w:val="ManualHeading1"/>
        <w:rPr>
          <w:noProof/>
        </w:rPr>
      </w:pPr>
      <w:r>
        <w:rPr>
          <w:noProof/>
        </w:rPr>
        <w:t>2.</w:t>
      </w:r>
      <w:r>
        <w:rPr>
          <w:noProof/>
        </w:rPr>
        <w:tab/>
        <w:t>Cilj predloga Komisije</w:t>
      </w:r>
    </w:p>
    <w:p>
      <w:pPr>
        <w:rPr>
          <w:noProof/>
        </w:rPr>
      </w:pPr>
      <w:r>
        <w:rPr>
          <w:noProof/>
        </w:rPr>
        <w:t>Evropska komisija je kot del unije kapitalskih trgov in akcijskih načrtov za finančno tehnologijo predstavila predlog uredbe o evropskih ponudnikih storitev množičnega financiranja. Cilj predloga je platformam za množično financiranje zagotoviti učinkovit regulativni okvir, ki omogoča dostop do celotnega enotnega trga z enotnim dovoljenjem, ki temelji na enotnem sklopu pravil. Predlog uvaja tudi zahteve glede zaščite vlagateljev, ki so prilagojene vrsti storitve, ki je zajeta v zakonodajnem ukrepu. Splošen cilj zakonodaje je olajšati čezmejno ponudbo teh finančnih storitev po vsej EU. Ker je trg množičnega financiranja v EU premalo razvit, imajo nova pravila velik potencial za povečanje dostopa do inovativnih oblik financiranja za mala in srednja podjetja, zlasti zagonska, v okviru unije kapitalskih trgov in za omogočanje hitrejše rasti gospodarstva EU.</w:t>
      </w:r>
    </w:p>
    <w:p>
      <w:pPr>
        <w:pStyle w:val="ManualHeading1"/>
        <w:rPr>
          <w:noProof/>
        </w:rPr>
      </w:pPr>
      <w:r>
        <w:rPr>
          <w:noProof/>
        </w:rPr>
        <w:t>3.</w:t>
      </w:r>
      <w:r>
        <w:rPr>
          <w:noProof/>
        </w:rPr>
        <w:tab/>
        <w:t>Pripombe k stališču Evropskega parlamenta</w:t>
      </w:r>
    </w:p>
    <w:p>
      <w:pPr>
        <w:rPr>
          <w:noProof/>
        </w:rPr>
      </w:pPr>
      <w:r>
        <w:rPr>
          <w:noProof/>
        </w:rPr>
        <w:t>Evropski parlament je v svojem stališču v prvi obravnavi, sprejetem 27. marca 2019, predlagal spremembe predloga Komisije, zlasti da:</w:t>
      </w:r>
    </w:p>
    <w:p>
      <w:pPr>
        <w:pStyle w:val="Bullet1"/>
        <w:numPr>
          <w:ilvl w:val="0"/>
          <w:numId w:val="9"/>
        </w:numPr>
        <w:rPr>
          <w:noProof/>
        </w:rPr>
      </w:pPr>
      <w:r>
        <w:rPr>
          <w:noProof/>
        </w:rPr>
        <w:lastRenderedPageBreak/>
        <w:t>se za izdajanje dovoljenj evropskim ponudnikom storitev množičnega financiranja in nadzor nad njimi pooblastijo pristojni nacionalni organi in ne Evropski organ za vrednostne papirje in trge, kakor je predlagala Komisija,</w:t>
      </w:r>
    </w:p>
    <w:p>
      <w:pPr>
        <w:pStyle w:val="Bullet1"/>
        <w:rPr>
          <w:noProof/>
        </w:rPr>
      </w:pPr>
      <w:r>
        <w:rPr>
          <w:noProof/>
        </w:rPr>
        <w:t>se razširi obseg dovoljenih storitev na investicijsko svetovanje in upravljanje portfeljev,</w:t>
      </w:r>
    </w:p>
    <w:p>
      <w:pPr>
        <w:pStyle w:val="Bullet1"/>
        <w:rPr>
          <w:noProof/>
        </w:rPr>
      </w:pPr>
      <w:r>
        <w:rPr>
          <w:noProof/>
        </w:rPr>
        <w:t>se prag za izdajanje ponudb za množično financiranje dvigne na 8 000 000 EUR.</w:t>
      </w:r>
    </w:p>
    <w:p>
      <w:pPr>
        <w:rPr>
          <w:noProof/>
          <w:color w:val="000000" w:themeColor="text1"/>
        </w:rPr>
      </w:pPr>
      <w:r>
        <w:rPr>
          <w:noProof/>
        </w:rPr>
        <w:t>Potem ko je Svet 20. julija 2020 sprejel svoje stališče v prvi obravnavi, se pričakuje, da bo Evropski parlament uradno potrdil politični dogovor, dosežen v medinstitucionalnem postopku.</w:t>
      </w:r>
    </w:p>
    <w:p>
      <w:pPr>
        <w:pStyle w:val="ManualHeading1"/>
        <w:rPr>
          <w:noProof/>
        </w:rPr>
      </w:pPr>
      <w:r>
        <w:rPr>
          <w:noProof/>
        </w:rPr>
        <w:t>4.</w:t>
      </w:r>
      <w:r>
        <w:rPr>
          <w:noProof/>
        </w:rPr>
        <w:tab/>
        <w:t>Pripombe k stališču Sveta</w:t>
      </w:r>
    </w:p>
    <w:p>
      <w:pPr>
        <w:widowControl w:val="0"/>
        <w:rPr>
          <w:noProof/>
        </w:rPr>
      </w:pPr>
      <w:r>
        <w:rPr>
          <w:noProof/>
        </w:rPr>
        <w:t xml:space="preserve">V skladu s političnim dogovorom stališče Sveta v prvi obravnavi vsebuje seznam sprememb predloga Komisije, ki vključujejo: </w:t>
      </w:r>
    </w:p>
    <w:p>
      <w:pPr>
        <w:pStyle w:val="Bullet1"/>
        <w:rPr>
          <w:noProof/>
        </w:rPr>
      </w:pPr>
      <w:r>
        <w:rPr>
          <w:noProof/>
        </w:rPr>
        <w:t>vzpostavitev usklajenega vseevropskega okvira, ki pristojnim nacionalnim organom omogoča izdajanje dovoljenj in nadzor, pri čemer ta okvir nadomešča prvotno neobvezno ureditev EU, ki jo je predlagala Komisija za storitve množičnega financiranja, ki jih zagotavljajo evropski ponudniki storitev množičnega financiranja. Nekaj izbranih nalog je prepuščeno Evropskemu organu za vrednostne papirje in trge, med drugim priprava izvedbenih ukrepov, zavezujoče posredovanje in zbiranje podatkov,</w:t>
      </w:r>
    </w:p>
    <w:p>
      <w:pPr>
        <w:pStyle w:val="Bullet1"/>
        <w:rPr>
          <w:noProof/>
        </w:rPr>
      </w:pPr>
      <w:r>
        <w:rPr>
          <w:noProof/>
        </w:rPr>
        <w:t>povečanje praga za izdajo ponudb na 5 milijonov EUR z začasnim 24-mesečnim odstopanjem za države članice, katerih prag za izdajo prospekta je nižji od 5 milijonov EUR,</w:t>
      </w:r>
    </w:p>
    <w:p>
      <w:pPr>
        <w:pStyle w:val="Bullet1"/>
        <w:rPr>
          <w:noProof/>
        </w:rPr>
      </w:pPr>
      <w:r>
        <w:rPr>
          <w:noProof/>
        </w:rPr>
        <w:t>razširitev področja uporabe na sprejete instrumente za namene množičnega financiranja (delnice družb z omejeno odgovornostjo),</w:t>
      </w:r>
    </w:p>
    <w:p>
      <w:pPr>
        <w:pStyle w:val="Bullet1"/>
        <w:rPr>
          <w:noProof/>
        </w:rPr>
      </w:pPr>
      <w:r>
        <w:rPr>
          <w:noProof/>
        </w:rPr>
        <w:t>razširitev obsega storitev na individualno upravljanje premoženja posojil,</w:t>
      </w:r>
    </w:p>
    <w:p>
      <w:pPr>
        <w:pStyle w:val="Bullet1"/>
        <w:rPr>
          <w:noProof/>
        </w:rPr>
      </w:pPr>
      <w:r>
        <w:rPr>
          <w:noProof/>
        </w:rPr>
        <w:t>razlikovanje med profesionalnimi in neizkušenimi vlagatelji ter dodatni ukrepi za zaščito vlagateljev za neizkušene vlagatelje.</w:t>
      </w:r>
    </w:p>
    <w:p>
      <w:pPr>
        <w:widowControl w:val="0"/>
        <w:rPr>
          <w:noProof/>
          <w:color w:val="000000" w:themeColor="text1"/>
        </w:rPr>
      </w:pPr>
      <w:r>
        <w:rPr>
          <w:noProof/>
        </w:rPr>
        <w:t xml:space="preserve">Stališče Sveta v celoti odraža politični dogovor, ki je bil dosežen 18. decembra 2019 med Evropskim parlamentom in Svetom. Komisija meni, da te spremembe predloga ne ogrožajo prvotnih ciljev politike. Zato lahko Komisija potrdi stališče Sveta. </w:t>
      </w:r>
    </w:p>
    <w:p>
      <w:pPr>
        <w:pStyle w:val="ManualHeading1"/>
        <w:rPr>
          <w:noProof/>
        </w:rPr>
      </w:pPr>
      <w:r>
        <w:rPr>
          <w:noProof/>
        </w:rPr>
        <w:t>5.</w:t>
      </w:r>
      <w:r>
        <w:rPr>
          <w:noProof/>
        </w:rPr>
        <w:tab/>
        <w:t>Zaključek</w:t>
      </w:r>
    </w:p>
    <w:p>
      <w:pPr>
        <w:rPr>
          <w:noProof/>
        </w:rPr>
      </w:pPr>
      <w:r>
        <w:rPr>
          <w:noProof/>
        </w:rPr>
        <w:t xml:space="preserve">Čeprav gre za pomembna odstopanja od prvotnega predloga, Komisija izraža pozitivno mnenje o stališču, ki ga je Svet sprejel v prvi obravnavi, saj besedilo ostaja skladno s prvotnimi cilji predloga. Poleg tega stališče v celoti odraža izid medinstitucionalnih pogajanj, ki so bila 18. decembra 2019 zaključena s političnim dogovorom. </w:t>
      </w:r>
    </w:p>
    <w:p>
      <w:pPr>
        <w:keepNext/>
        <w:rPr>
          <w:noProof/>
        </w:rPr>
      </w:pPr>
      <w:r>
        <w:rPr>
          <w:noProof/>
        </w:rPr>
        <w:t>Sprejetje dogovorjenega besedila s strani Evropskega parlamenta v drugi obravnavi bo pomemben mejnik pri uresničevanju skupnih ciljev glede izboljšanja dostopa do financiranja za mala in srednja podjetja, vključno z zagonskimi podjetji in podjetji v fazi širitve. To bi moralo gospodarstvu EU pomagati, da bo še hitreje okrevalo po sedanji gospodarski in zdravstveni krizi.</w:t>
      </w:r>
    </w:p>
    <w:p>
      <w:pPr>
        <w:rPr>
          <w:noProof/>
          <w:color w:val="000000" w:themeColor="text1"/>
        </w:rPr>
      </w:pPr>
    </w:p>
    <w:sectPr>
      <w:footerReference w:type="default" r:id="rId11"/>
      <w:footerReference w:type="first" r:id="rId1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57089F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6484754"/>
    <w:lvl w:ilvl="0">
      <w:start w:val="1"/>
      <w:numFmt w:val="decimal"/>
      <w:pStyle w:val="ListNumber3"/>
      <w:lvlText w:val="%1."/>
      <w:lvlJc w:val="left"/>
      <w:pPr>
        <w:tabs>
          <w:tab w:val="num" w:pos="926"/>
        </w:tabs>
        <w:ind w:left="926" w:hanging="360"/>
      </w:pPr>
    </w:lvl>
  </w:abstractNum>
  <w:abstractNum w:abstractNumId="2">
    <w:nsid w:val="FFFFFF7F"/>
    <w:multiLevelType w:val="singleLevel"/>
    <w:tmpl w:val="A2C63426"/>
    <w:lvl w:ilvl="0">
      <w:start w:val="1"/>
      <w:numFmt w:val="decimal"/>
      <w:pStyle w:val="ListNumber2"/>
      <w:lvlText w:val="%1."/>
      <w:lvlJc w:val="left"/>
      <w:pPr>
        <w:tabs>
          <w:tab w:val="num" w:pos="643"/>
        </w:tabs>
        <w:ind w:left="643" w:hanging="360"/>
      </w:pPr>
    </w:lvl>
  </w:abstractNum>
  <w:abstractNum w:abstractNumId="3">
    <w:nsid w:val="FFFFFF81"/>
    <w:multiLevelType w:val="singleLevel"/>
    <w:tmpl w:val="F712024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D685F5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04022B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8F04A2A"/>
    <w:lvl w:ilvl="0">
      <w:start w:val="1"/>
      <w:numFmt w:val="decimal"/>
      <w:pStyle w:val="ListNumber"/>
      <w:lvlText w:val="%1."/>
      <w:lvlJc w:val="left"/>
      <w:pPr>
        <w:tabs>
          <w:tab w:val="num" w:pos="360"/>
        </w:tabs>
        <w:ind w:left="360" w:hanging="360"/>
      </w:pPr>
    </w:lvl>
  </w:abstractNum>
  <w:abstractNum w:abstractNumId="7">
    <w:nsid w:val="FFFFFF89"/>
    <w:multiLevelType w:val="singleLevel"/>
    <w:tmpl w:val="8E7246C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6"/>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29 12:26: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1D39316-F31B-41C5-8A24-57ECDC838B96"/>
    <w:docVar w:name="LW_COVERPAGE_TYPE" w:val="1"/>
    <w:docVar w:name="LW_CROSSREFERENCE" w:val="&lt;UNUSED&gt;"/>
    <w:docVar w:name="LW_DocType" w:val="COM"/>
    <w:docVar w:name="LW_EMISSION" w:val="29.7.2020"/>
    <w:docVar w:name="LW_EMISSION_ISODATE" w:val="2020-07-29"/>
    <w:docVar w:name="LW_EMISSION_LOCATION" w:val="BRX"/>
    <w:docVar w:name="LW_EMISSION_PREFIX" w:val="Bruselj, "/>
    <w:docVar w:name="LW_EMISSION_SUFFIX" w:val=" "/>
    <w:docVar w:name="LW_ID_DOCMODEL" w:val="SJ-028"/>
    <w:docVar w:name="LW_ID_DOCSTRUCTURE" w:val="COM/PL/CODEC"/>
    <w:docVar w:name="LW_ID_DOCTYPE" w:val="SJ-028"/>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047"/>
    <w:docVar w:name="LW_REF.II.NEW.CP_YEAR" w:val="2018"/>
    <w:docVar w:name="LW_REF.INST.NEW" w:val="COM"/>
    <w:docVar w:name="LW_REF.INST.NEW_ADOPTED" w:val="final"/>
    <w:docVar w:name="LW_REF.INST.NEW_TEXT" w:val="(2020) 3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tali\u353?\u269?em Sveta o sprejetju uredbe Evropskega parlamenta in Sveta o evropskih ponudnikih storitev mno\u382?i\u269?nega financiranja za podjetja in spremembi Uredbe (EU) 2017/1129 in Direktive (EU) 2019/1937 ter o sprejetju direktive o spremembi Direktive 2014/65/EU o trgih finan\u269?nih instrumentov _x000b_ _x000b_To sporo\u269?ilo se nana\u353?a na predloga _x000b_COM(2018) 113 final \u8211? 2018/0048(COD) in COM(2018) 99 final \u8211? 2018/0047(COD) _x000b_ _x000b_"/>
    <w:docVar w:name="LW_TYPE.DOC.CP" w:val="SPORO\u268?ILO KOMISIJE_x000b_EVROPSKEMU PARLAMENTU_x000b__x000b_v skladu s \u269?lenom 294(6) Pogodbe o delovanju Evropske unije _x000b__x000b_v zvezi 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89635-0868-4EF3-9B07-652FAF4F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Pages>
  <Words>649</Words>
  <Characters>4068</Characters>
  <Application>Microsoft Office Word</Application>
  <DocSecurity>0</DocSecurity>
  <Lines>86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2020-07-28T12:53:00Z</dcterms:created>
  <dcterms:modified xsi:type="dcterms:W3CDTF">2020-07-29T10:26:00Z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SJ-028</vt:lpwstr>
  </property>
  <property fmtid="{D5CDD505-2E9C-101B-9397-08002B2CF9AE}" pid="10" name="DQCStatus">
    <vt:lpwstr>Green (DQC version 03)</vt:lpwstr>
  </property>
</Properties>
</file>