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50" w:rsidRDefault="00B13FB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84776E4-FC2F-4547-8255-007EDB26ADAC" style="width:450.6pt;height:348.6pt">
            <v:imagedata r:id="rId8" o:title=""/>
          </v:shape>
        </w:pict>
      </w:r>
    </w:p>
    <w:bookmarkEnd w:id="0"/>
    <w:p w:rsidR="00A46550" w:rsidRDefault="00A46550">
      <w:pPr>
        <w:rPr>
          <w:noProof/>
        </w:rPr>
        <w:sectPr w:rsidR="00A4655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A46550" w:rsidRDefault="00A46550">
      <w:pPr>
        <w:pStyle w:val="TOCHeading"/>
        <w:rPr>
          <w:rFonts w:eastAsiaTheme="minorHAnsi" w:cstheme="minorBidi"/>
          <w:b w:val="0"/>
          <w:smallCaps w:val="0"/>
          <w:noProof/>
          <w:color w:val="auto"/>
          <w:sz w:val="24"/>
          <w:szCs w:val="22"/>
          <w:lang w:val="en-GB"/>
        </w:rPr>
      </w:pPr>
    </w:p>
    <w:sdt>
      <w:sdtPr>
        <w:rPr>
          <w:rFonts w:eastAsiaTheme="minorHAnsi" w:cstheme="minorBidi"/>
          <w:b w:val="0"/>
          <w:smallCaps w:val="0"/>
          <w:noProof/>
          <w:color w:val="auto"/>
          <w:sz w:val="24"/>
          <w:szCs w:val="22"/>
        </w:rPr>
        <w:id w:val="-255520447"/>
        <w:docPartObj>
          <w:docPartGallery w:val="Table of Contents"/>
          <w:docPartUnique/>
        </w:docPartObj>
      </w:sdtPr>
      <w:sdtEndPr>
        <w:rPr>
          <w:bCs/>
        </w:rPr>
      </w:sdtEndPr>
      <w:sdtContent>
        <w:p w:rsidR="00A46550" w:rsidRDefault="00B13FBE">
          <w:pPr>
            <w:pStyle w:val="TOCHeading"/>
            <w:rPr>
              <w:noProof/>
            </w:rPr>
          </w:pPr>
          <w:r>
            <w:rPr>
              <w:noProof/>
            </w:rPr>
            <w:t>Sisältö</w:t>
          </w:r>
        </w:p>
        <w:p w:rsidR="00A46550" w:rsidRDefault="00B13FBE">
          <w:pPr>
            <w:pStyle w:val="TOC1"/>
            <w:tabs>
              <w:tab w:val="right" w:leader="dot" w:pos="9062"/>
            </w:tabs>
            <w:rPr>
              <w:rFonts w:asciiTheme="minorHAnsi" w:eastAsiaTheme="minorEastAsia" w:hAnsiTheme="minorHAnsi"/>
              <w:noProof/>
              <w:sz w:val="22"/>
              <w:lang w:val="en-US"/>
            </w:rPr>
          </w:pPr>
          <w:r>
            <w:rPr>
              <w:noProof/>
            </w:rPr>
            <w:fldChar w:fldCharType="begin"/>
          </w:r>
          <w:r>
            <w:rPr>
              <w:noProof/>
            </w:rPr>
            <w:instrText xml:space="preserve"> TOC \o "1-3" \h \z \u </w:instrText>
          </w:r>
          <w:r>
            <w:rPr>
              <w:noProof/>
            </w:rPr>
            <w:fldChar w:fldCharType="separate"/>
          </w:r>
          <w:hyperlink w:anchor="_Toc46996391" w:history="1">
            <w:r>
              <w:rPr>
                <w:rStyle w:val="Hyperlink"/>
                <w:noProof/>
              </w:rPr>
              <w:t>1. Johdanto</w:t>
            </w:r>
            <w:r>
              <w:rPr>
                <w:noProof/>
                <w:webHidden/>
              </w:rPr>
              <w:tab/>
            </w:r>
            <w:r>
              <w:rPr>
                <w:noProof/>
                <w:webHidden/>
              </w:rPr>
              <w:fldChar w:fldCharType="begin"/>
            </w:r>
            <w:r>
              <w:rPr>
                <w:noProof/>
                <w:webHidden/>
              </w:rPr>
              <w:instrText xml:space="preserve"> PAGEREF _Toc46996391 \h </w:instrText>
            </w:r>
            <w:r>
              <w:rPr>
                <w:noProof/>
                <w:webHidden/>
              </w:rPr>
            </w:r>
            <w:r>
              <w:rPr>
                <w:noProof/>
                <w:webHidden/>
              </w:rPr>
              <w:fldChar w:fldCharType="separate"/>
            </w:r>
            <w:r>
              <w:rPr>
                <w:noProof/>
                <w:webHidden/>
              </w:rPr>
              <w:t>2</w:t>
            </w:r>
            <w:r>
              <w:rPr>
                <w:noProof/>
                <w:webHidden/>
              </w:rPr>
              <w:fldChar w:fldCharType="end"/>
            </w:r>
          </w:hyperlink>
        </w:p>
        <w:p w:rsidR="00A46550" w:rsidRDefault="00B13FBE">
          <w:pPr>
            <w:pStyle w:val="TOC1"/>
            <w:tabs>
              <w:tab w:val="right" w:leader="dot" w:pos="9062"/>
            </w:tabs>
            <w:rPr>
              <w:rFonts w:asciiTheme="minorHAnsi" w:eastAsiaTheme="minorEastAsia" w:hAnsiTheme="minorHAnsi"/>
              <w:noProof/>
              <w:sz w:val="22"/>
              <w:lang w:val="en-US"/>
            </w:rPr>
          </w:pPr>
          <w:hyperlink w:anchor="_Toc46996392" w:history="1">
            <w:r>
              <w:rPr>
                <w:rStyle w:val="Hyperlink"/>
                <w:noProof/>
              </w:rPr>
              <w:t>2. Toiminnallinen asiayhteys</w:t>
            </w:r>
            <w:r>
              <w:rPr>
                <w:noProof/>
                <w:webHidden/>
              </w:rPr>
              <w:tab/>
            </w:r>
            <w:r>
              <w:rPr>
                <w:noProof/>
                <w:webHidden/>
              </w:rPr>
              <w:fldChar w:fldCharType="begin"/>
            </w:r>
            <w:r>
              <w:rPr>
                <w:noProof/>
                <w:webHidden/>
              </w:rPr>
              <w:instrText xml:space="preserve"> PAGEREF _Toc46996392 \h </w:instrText>
            </w:r>
            <w:r>
              <w:rPr>
                <w:noProof/>
                <w:webHidden/>
              </w:rPr>
            </w:r>
            <w:r>
              <w:rPr>
                <w:noProof/>
                <w:webHidden/>
              </w:rPr>
              <w:fldChar w:fldCharType="separate"/>
            </w:r>
            <w:r>
              <w:rPr>
                <w:noProof/>
                <w:webHidden/>
              </w:rPr>
              <w:t>2</w:t>
            </w:r>
            <w:r>
              <w:rPr>
                <w:noProof/>
                <w:webHidden/>
              </w:rPr>
              <w:fldChar w:fldCharType="end"/>
            </w:r>
          </w:hyperlink>
        </w:p>
        <w:p w:rsidR="00A46550" w:rsidRDefault="00B13FBE">
          <w:pPr>
            <w:pStyle w:val="TOC1"/>
            <w:tabs>
              <w:tab w:val="right" w:leader="dot" w:pos="9062"/>
            </w:tabs>
            <w:rPr>
              <w:rFonts w:asciiTheme="minorHAnsi" w:eastAsiaTheme="minorEastAsia" w:hAnsiTheme="minorHAnsi"/>
              <w:noProof/>
              <w:sz w:val="22"/>
              <w:lang w:val="en-US"/>
            </w:rPr>
          </w:pPr>
          <w:hyperlink w:anchor="_Toc46996393" w:history="1">
            <w:r>
              <w:rPr>
                <w:rStyle w:val="Hyperlink"/>
                <w:noProof/>
              </w:rPr>
              <w:t>3. EKK</w:t>
            </w:r>
            <w:r>
              <w:rPr>
                <w:rStyle w:val="Hyperlink"/>
                <w:noProof/>
              </w:rPr>
              <w:t>R-takuurahaston hallinnointi vuonna 2019</w:t>
            </w:r>
            <w:r>
              <w:rPr>
                <w:noProof/>
                <w:webHidden/>
              </w:rPr>
              <w:tab/>
            </w:r>
            <w:r>
              <w:rPr>
                <w:noProof/>
                <w:webHidden/>
              </w:rPr>
              <w:fldChar w:fldCharType="begin"/>
            </w:r>
            <w:r>
              <w:rPr>
                <w:noProof/>
                <w:webHidden/>
              </w:rPr>
              <w:instrText xml:space="preserve"> PAGEREF _Toc46996393 \h </w:instrText>
            </w:r>
            <w:r>
              <w:rPr>
                <w:noProof/>
                <w:webHidden/>
              </w:rPr>
            </w:r>
            <w:r>
              <w:rPr>
                <w:noProof/>
                <w:webHidden/>
              </w:rPr>
              <w:fldChar w:fldCharType="separate"/>
            </w:r>
            <w:r>
              <w:rPr>
                <w:noProof/>
                <w:webHidden/>
              </w:rPr>
              <w:t>3</w:t>
            </w:r>
            <w:r>
              <w:rPr>
                <w:noProof/>
                <w:webHidden/>
              </w:rPr>
              <w:fldChar w:fldCharType="end"/>
            </w:r>
          </w:hyperlink>
        </w:p>
        <w:p w:rsidR="00A46550" w:rsidRDefault="00B13FBE">
          <w:pPr>
            <w:pStyle w:val="TOC2"/>
            <w:tabs>
              <w:tab w:val="right" w:leader="dot" w:pos="9062"/>
            </w:tabs>
            <w:rPr>
              <w:rFonts w:asciiTheme="minorHAnsi" w:eastAsiaTheme="minorEastAsia" w:hAnsiTheme="minorHAnsi"/>
              <w:noProof/>
              <w:sz w:val="22"/>
              <w:lang w:val="en-US"/>
            </w:rPr>
          </w:pPr>
          <w:hyperlink w:anchor="_Toc46996394" w:history="1">
            <w:r>
              <w:rPr>
                <w:rStyle w:val="Hyperlink"/>
                <w:noProof/>
              </w:rPr>
              <w:t>3.1. Var</w:t>
            </w:r>
            <w:bookmarkStart w:id="1" w:name="_GoBack"/>
            <w:bookmarkEnd w:id="1"/>
            <w:r>
              <w:rPr>
                <w:rStyle w:val="Hyperlink"/>
                <w:noProof/>
              </w:rPr>
              <w:t>ainhoito</w:t>
            </w:r>
            <w:r>
              <w:rPr>
                <w:noProof/>
                <w:webHidden/>
              </w:rPr>
              <w:tab/>
            </w:r>
            <w:r>
              <w:rPr>
                <w:noProof/>
                <w:webHidden/>
              </w:rPr>
              <w:fldChar w:fldCharType="begin"/>
            </w:r>
            <w:r>
              <w:rPr>
                <w:noProof/>
                <w:webHidden/>
              </w:rPr>
              <w:instrText xml:space="preserve"> PAGEREF _Toc46996394 \h </w:instrText>
            </w:r>
            <w:r>
              <w:rPr>
                <w:noProof/>
                <w:webHidden/>
              </w:rPr>
            </w:r>
            <w:r>
              <w:rPr>
                <w:noProof/>
                <w:webHidden/>
              </w:rPr>
              <w:fldChar w:fldCharType="separate"/>
            </w:r>
            <w:r>
              <w:rPr>
                <w:noProof/>
                <w:webHidden/>
              </w:rPr>
              <w:t>3</w:t>
            </w:r>
            <w:r>
              <w:rPr>
                <w:noProof/>
                <w:webHidden/>
              </w:rPr>
              <w:fldChar w:fldCharType="end"/>
            </w:r>
          </w:hyperlink>
        </w:p>
        <w:p w:rsidR="00A46550" w:rsidRDefault="00B13FBE">
          <w:pPr>
            <w:pStyle w:val="TOC2"/>
            <w:tabs>
              <w:tab w:val="right" w:leader="dot" w:pos="9062"/>
            </w:tabs>
            <w:rPr>
              <w:rFonts w:asciiTheme="minorHAnsi" w:eastAsiaTheme="minorEastAsia" w:hAnsiTheme="minorHAnsi"/>
              <w:noProof/>
              <w:sz w:val="22"/>
              <w:lang w:val="en-US"/>
            </w:rPr>
          </w:pPr>
          <w:hyperlink w:anchor="_Toc46996395" w:history="1">
            <w:r>
              <w:rPr>
                <w:rStyle w:val="Hyperlink"/>
                <w:noProof/>
              </w:rPr>
              <w:t>3.2. Salkun koostumus ja keskeiset ominaisuudet</w:t>
            </w:r>
            <w:r>
              <w:rPr>
                <w:noProof/>
                <w:webHidden/>
              </w:rPr>
              <w:tab/>
            </w:r>
            <w:r>
              <w:rPr>
                <w:noProof/>
                <w:webHidden/>
              </w:rPr>
              <w:fldChar w:fldCharType="begin"/>
            </w:r>
            <w:r>
              <w:rPr>
                <w:noProof/>
                <w:webHidden/>
              </w:rPr>
              <w:instrText xml:space="preserve"> PAGEREF _Toc46996395 \h </w:instrText>
            </w:r>
            <w:r>
              <w:rPr>
                <w:noProof/>
                <w:webHidden/>
              </w:rPr>
            </w:r>
            <w:r>
              <w:rPr>
                <w:noProof/>
                <w:webHidden/>
              </w:rPr>
              <w:fldChar w:fldCharType="separate"/>
            </w:r>
            <w:r>
              <w:rPr>
                <w:noProof/>
                <w:webHidden/>
              </w:rPr>
              <w:t>3</w:t>
            </w:r>
            <w:r>
              <w:rPr>
                <w:noProof/>
                <w:webHidden/>
              </w:rPr>
              <w:fldChar w:fldCharType="end"/>
            </w:r>
          </w:hyperlink>
        </w:p>
        <w:p w:rsidR="00A46550" w:rsidRDefault="00B13FBE">
          <w:pPr>
            <w:pStyle w:val="TOC2"/>
            <w:tabs>
              <w:tab w:val="right" w:leader="dot" w:pos="9062"/>
            </w:tabs>
            <w:rPr>
              <w:rFonts w:asciiTheme="minorHAnsi" w:eastAsiaTheme="minorEastAsia" w:hAnsiTheme="minorHAnsi"/>
              <w:noProof/>
              <w:sz w:val="22"/>
              <w:lang w:val="en-US"/>
            </w:rPr>
          </w:pPr>
          <w:hyperlink w:anchor="_Toc46996396" w:history="1">
            <w:r>
              <w:rPr>
                <w:rStyle w:val="Hyperlink"/>
                <w:noProof/>
              </w:rPr>
              <w:t>3.3. Tulos</w:t>
            </w:r>
            <w:r>
              <w:rPr>
                <w:noProof/>
                <w:webHidden/>
              </w:rPr>
              <w:tab/>
            </w:r>
            <w:r>
              <w:rPr>
                <w:noProof/>
                <w:webHidden/>
              </w:rPr>
              <w:fldChar w:fldCharType="begin"/>
            </w:r>
            <w:r>
              <w:rPr>
                <w:noProof/>
                <w:webHidden/>
              </w:rPr>
              <w:instrText xml:space="preserve"> PAGEREF _Toc46996396 \h </w:instrText>
            </w:r>
            <w:r>
              <w:rPr>
                <w:noProof/>
                <w:webHidden/>
              </w:rPr>
            </w:r>
            <w:r>
              <w:rPr>
                <w:noProof/>
                <w:webHidden/>
              </w:rPr>
              <w:fldChar w:fldCharType="separate"/>
            </w:r>
            <w:r>
              <w:rPr>
                <w:noProof/>
                <w:webHidden/>
              </w:rPr>
              <w:t>4</w:t>
            </w:r>
            <w:r>
              <w:rPr>
                <w:noProof/>
                <w:webHidden/>
              </w:rPr>
              <w:fldChar w:fldCharType="end"/>
            </w:r>
          </w:hyperlink>
        </w:p>
        <w:p w:rsidR="00A46550" w:rsidRDefault="00B13FBE">
          <w:pPr>
            <w:pStyle w:val="TOC1"/>
            <w:tabs>
              <w:tab w:val="right" w:leader="dot" w:pos="9062"/>
            </w:tabs>
            <w:rPr>
              <w:rFonts w:asciiTheme="minorHAnsi" w:eastAsiaTheme="minorEastAsia" w:hAnsiTheme="minorHAnsi"/>
              <w:noProof/>
              <w:sz w:val="22"/>
              <w:lang w:val="en-US"/>
            </w:rPr>
          </w:pPr>
          <w:hyperlink w:anchor="_Toc46996397" w:history="1">
            <w:r>
              <w:rPr>
                <w:rStyle w:val="Hyperlink"/>
                <w:noProof/>
              </w:rPr>
              <w:t>4. Tilinpito</w:t>
            </w:r>
            <w:r>
              <w:rPr>
                <w:noProof/>
                <w:webHidden/>
              </w:rPr>
              <w:tab/>
            </w:r>
            <w:r>
              <w:rPr>
                <w:noProof/>
                <w:webHidden/>
              </w:rPr>
              <w:fldChar w:fldCharType="begin"/>
            </w:r>
            <w:r>
              <w:rPr>
                <w:noProof/>
                <w:webHidden/>
              </w:rPr>
              <w:instrText xml:space="preserve"> PAGEREF _Toc46996397 \h </w:instrText>
            </w:r>
            <w:r>
              <w:rPr>
                <w:noProof/>
                <w:webHidden/>
              </w:rPr>
            </w:r>
            <w:r>
              <w:rPr>
                <w:noProof/>
                <w:webHidden/>
              </w:rPr>
              <w:fldChar w:fldCharType="separate"/>
            </w:r>
            <w:r>
              <w:rPr>
                <w:noProof/>
                <w:webHidden/>
              </w:rPr>
              <w:t>4</w:t>
            </w:r>
            <w:r>
              <w:rPr>
                <w:noProof/>
                <w:webHidden/>
              </w:rPr>
              <w:fldChar w:fldCharType="end"/>
            </w:r>
          </w:hyperlink>
        </w:p>
        <w:p w:rsidR="00A46550" w:rsidRDefault="00B13FBE">
          <w:pPr>
            <w:pStyle w:val="TOC2"/>
            <w:tabs>
              <w:tab w:val="right" w:leader="dot" w:pos="9062"/>
            </w:tabs>
            <w:rPr>
              <w:rFonts w:asciiTheme="minorHAnsi" w:eastAsiaTheme="minorEastAsia" w:hAnsiTheme="minorHAnsi"/>
              <w:noProof/>
              <w:sz w:val="22"/>
              <w:lang w:val="en-US"/>
            </w:rPr>
          </w:pPr>
          <w:hyperlink w:anchor="_Toc46996398" w:history="1">
            <w:r>
              <w:rPr>
                <w:rStyle w:val="Hyperlink"/>
                <w:noProof/>
              </w:rPr>
              <w:t>4.1. EKKR-takuurahaston tilinpäätös 31. joulukuuta 2019</w:t>
            </w:r>
            <w:r>
              <w:rPr>
                <w:noProof/>
                <w:webHidden/>
              </w:rPr>
              <w:tab/>
            </w:r>
            <w:r>
              <w:rPr>
                <w:noProof/>
                <w:webHidden/>
              </w:rPr>
              <w:fldChar w:fldCharType="begin"/>
            </w:r>
            <w:r>
              <w:rPr>
                <w:noProof/>
                <w:webHidden/>
              </w:rPr>
              <w:instrText xml:space="preserve"> PAGEREF _Toc46996398 \h </w:instrText>
            </w:r>
            <w:r>
              <w:rPr>
                <w:noProof/>
                <w:webHidden/>
              </w:rPr>
            </w:r>
            <w:r>
              <w:rPr>
                <w:noProof/>
                <w:webHidden/>
              </w:rPr>
              <w:fldChar w:fldCharType="separate"/>
            </w:r>
            <w:r>
              <w:rPr>
                <w:noProof/>
                <w:webHidden/>
              </w:rPr>
              <w:t>4</w:t>
            </w:r>
            <w:r>
              <w:rPr>
                <w:noProof/>
                <w:webHidden/>
              </w:rPr>
              <w:fldChar w:fldCharType="end"/>
            </w:r>
          </w:hyperlink>
        </w:p>
        <w:p w:rsidR="00A46550" w:rsidRDefault="00B13FBE">
          <w:pPr>
            <w:pStyle w:val="TOC2"/>
            <w:tabs>
              <w:tab w:val="right" w:leader="dot" w:pos="9062"/>
            </w:tabs>
            <w:rPr>
              <w:rFonts w:asciiTheme="minorHAnsi" w:eastAsiaTheme="minorEastAsia" w:hAnsiTheme="minorHAnsi"/>
              <w:noProof/>
              <w:sz w:val="22"/>
              <w:lang w:val="en-US"/>
            </w:rPr>
          </w:pPr>
          <w:hyperlink w:anchor="_Toc46996399" w:history="1">
            <w:r>
              <w:rPr>
                <w:rStyle w:val="Hyperlink"/>
                <w:noProof/>
              </w:rPr>
              <w:t>4.2. Takuurahaston rahoittaminen</w:t>
            </w:r>
            <w:r>
              <w:rPr>
                <w:noProof/>
                <w:webHidden/>
              </w:rPr>
              <w:tab/>
            </w:r>
            <w:r>
              <w:rPr>
                <w:noProof/>
                <w:webHidden/>
              </w:rPr>
              <w:fldChar w:fldCharType="begin"/>
            </w:r>
            <w:r>
              <w:rPr>
                <w:noProof/>
                <w:webHidden/>
              </w:rPr>
              <w:instrText xml:space="preserve"> PAGEREF </w:instrText>
            </w:r>
            <w:r>
              <w:rPr>
                <w:noProof/>
                <w:webHidden/>
              </w:rPr>
              <w:instrText xml:space="preserve">_Toc46996399 \h </w:instrText>
            </w:r>
            <w:r>
              <w:rPr>
                <w:noProof/>
                <w:webHidden/>
              </w:rPr>
            </w:r>
            <w:r>
              <w:rPr>
                <w:noProof/>
                <w:webHidden/>
              </w:rPr>
              <w:fldChar w:fldCharType="separate"/>
            </w:r>
            <w:r>
              <w:rPr>
                <w:noProof/>
                <w:webHidden/>
              </w:rPr>
              <w:t>7</w:t>
            </w:r>
            <w:r>
              <w:rPr>
                <w:noProof/>
                <w:webHidden/>
              </w:rPr>
              <w:fldChar w:fldCharType="end"/>
            </w:r>
          </w:hyperlink>
        </w:p>
        <w:p w:rsidR="00A46550" w:rsidRDefault="00B13FBE">
          <w:pPr>
            <w:pStyle w:val="TOC1"/>
            <w:tabs>
              <w:tab w:val="right" w:leader="dot" w:pos="9062"/>
            </w:tabs>
            <w:rPr>
              <w:rFonts w:asciiTheme="minorHAnsi" w:eastAsiaTheme="minorEastAsia" w:hAnsiTheme="minorHAnsi"/>
              <w:noProof/>
              <w:sz w:val="22"/>
              <w:lang w:val="en-US"/>
            </w:rPr>
          </w:pPr>
          <w:hyperlink w:anchor="_Toc46996400" w:history="1">
            <w:r>
              <w:rPr>
                <w:rStyle w:val="Hyperlink"/>
                <w:noProof/>
              </w:rPr>
              <w:t>5. Arvio tavoitesumman riittävyydestä ja EKKR-takuurahaston varojen määrästä</w:t>
            </w:r>
            <w:r>
              <w:rPr>
                <w:noProof/>
                <w:webHidden/>
              </w:rPr>
              <w:tab/>
            </w:r>
            <w:r>
              <w:rPr>
                <w:noProof/>
                <w:webHidden/>
              </w:rPr>
              <w:fldChar w:fldCharType="begin"/>
            </w:r>
            <w:r>
              <w:rPr>
                <w:noProof/>
                <w:webHidden/>
              </w:rPr>
              <w:instrText xml:space="preserve"> PAGEREF _Toc46996400 \h </w:instrText>
            </w:r>
            <w:r>
              <w:rPr>
                <w:noProof/>
                <w:webHidden/>
              </w:rPr>
            </w:r>
            <w:r>
              <w:rPr>
                <w:noProof/>
                <w:webHidden/>
              </w:rPr>
              <w:fldChar w:fldCharType="separate"/>
            </w:r>
            <w:r>
              <w:rPr>
                <w:noProof/>
                <w:webHidden/>
              </w:rPr>
              <w:t>7</w:t>
            </w:r>
            <w:r>
              <w:rPr>
                <w:noProof/>
                <w:webHidden/>
              </w:rPr>
              <w:fldChar w:fldCharType="end"/>
            </w:r>
          </w:hyperlink>
        </w:p>
        <w:p w:rsidR="00A46550" w:rsidRDefault="00B13FBE">
          <w:pPr>
            <w:rPr>
              <w:noProof/>
            </w:rPr>
          </w:pPr>
          <w:r>
            <w:rPr>
              <w:b/>
              <w:bCs/>
              <w:noProof/>
            </w:rPr>
            <w:fldChar w:fldCharType="end"/>
          </w:r>
        </w:p>
      </w:sdtContent>
    </w:sdt>
    <w:p w:rsidR="00A46550" w:rsidRDefault="00B13FBE">
      <w:pPr>
        <w:rPr>
          <w:noProof/>
        </w:rPr>
      </w:pPr>
      <w:r>
        <w:rPr>
          <w:noProof/>
        </w:rPr>
        <w:br w:type="page"/>
      </w:r>
    </w:p>
    <w:p w:rsidR="00A46550" w:rsidRDefault="00B13FBE">
      <w:pPr>
        <w:pStyle w:val="Heading1"/>
        <w:rPr>
          <w:noProof/>
        </w:rPr>
      </w:pPr>
      <w:bookmarkStart w:id="2" w:name="_Toc38891111"/>
      <w:bookmarkStart w:id="3" w:name="_Toc46996391"/>
      <w:r>
        <w:rPr>
          <w:noProof/>
        </w:rPr>
        <w:t>1. Johdanto</w:t>
      </w:r>
      <w:bookmarkEnd w:id="2"/>
      <w:bookmarkEnd w:id="3"/>
    </w:p>
    <w:p w:rsidR="00A46550" w:rsidRDefault="00B13FBE">
      <w:pPr>
        <w:jc w:val="both"/>
        <w:rPr>
          <w:noProof/>
        </w:rPr>
      </w:pPr>
      <w:r>
        <w:rPr>
          <w:noProof/>
        </w:rPr>
        <w:t>Tämän kertomuksen oikeusperusta on asetus (EU) 2017/1601</w:t>
      </w:r>
      <w:r>
        <w:rPr>
          <w:rStyle w:val="FootnoteReference"/>
          <w:noProof/>
        </w:rPr>
        <w:footnoteReference w:id="2"/>
      </w:r>
      <w:r>
        <w:rPr>
          <w:noProof/>
        </w:rPr>
        <w:t xml:space="preserve"> (EKKR-asetus). EKKR-asetuksen 16 artiklan 3 kohdassa säädetään, että komissio toimittaa Euroopan parlamentille, ne</w:t>
      </w:r>
      <w:r>
        <w:rPr>
          <w:noProof/>
        </w:rPr>
        <w:t>uvostolle ja tilintarkastustuomioistuimelle kertomuksen, joka koskee Euroopan kestävän kehityksen rahaston (EKKR) takuurahaston hallinnointia edellisenä kalenterivuonna ja johon sisältyy arvio rahoituksen riittävyydestä, EKKR-takuurahaston tasosta ja takuu</w:t>
      </w:r>
      <w:r>
        <w:rPr>
          <w:noProof/>
        </w:rPr>
        <w:t>rahaston lisärahoitustarpeesta.</w:t>
      </w:r>
    </w:p>
    <w:p w:rsidR="00A46550" w:rsidRDefault="00B13FBE">
      <w:pPr>
        <w:pStyle w:val="Heading1"/>
        <w:rPr>
          <w:noProof/>
        </w:rPr>
      </w:pPr>
      <w:bookmarkStart w:id="4" w:name="_Toc38891112"/>
      <w:bookmarkStart w:id="5" w:name="_Toc46996392"/>
      <w:r>
        <w:rPr>
          <w:noProof/>
        </w:rPr>
        <w:t>2. Toiminnallinen asiayhteys</w:t>
      </w:r>
      <w:bookmarkEnd w:id="4"/>
      <w:bookmarkEnd w:id="5"/>
    </w:p>
    <w:p w:rsidR="00A46550" w:rsidRDefault="00B13FBE">
      <w:pPr>
        <w:jc w:val="both"/>
        <w:rPr>
          <w:noProof/>
          <w:szCs w:val="24"/>
        </w:rPr>
      </w:pPr>
      <w:r>
        <w:rPr>
          <w:noProof/>
        </w:rPr>
        <w:t>EKKR kattaa Afrikassa ja EU:n naapuruuspolitiikan piiriin kuuluvissa maissa toteutettavien toimien rahoituksen. Siihen kuuluvat sekä rahoitusta yhdistävät toimet että EKKR-takuu. EKKR-takuu on ke</w:t>
      </w:r>
      <w:r>
        <w:rPr>
          <w:noProof/>
        </w:rPr>
        <w:t>skeinen innovatiivinen väline, jonka avulla vähennetään kestävään kehitykseen tehtäviin investointeihin liittyviä riskejä kumppanimaissa ja lisätään näin investointeja, edistetään kestävää ja osallistavaa taloudellista ja sosiaalista kehitystä, maksimoidaa</w:t>
      </w:r>
      <w:r>
        <w:rPr>
          <w:noProof/>
        </w:rPr>
        <w:t>n täydentävyys sekä houkutellaan yksityisen sektorin varoja. Takuun tarkoituksena on toimia riskejä vähentävänä mekanismina, joka houkuttelee yksityiseltä sektorilta rahoitusta ja auttaa välttämään markkinoiden vääristymistä.</w:t>
      </w:r>
    </w:p>
    <w:p w:rsidR="00A46550" w:rsidRDefault="00B13FBE">
      <w:pPr>
        <w:jc w:val="both"/>
        <w:rPr>
          <w:noProof/>
          <w:szCs w:val="24"/>
        </w:rPr>
      </w:pPr>
      <w:r>
        <w:rPr>
          <w:noProof/>
        </w:rPr>
        <w:t>EKKR-takuun kokonaismääräksi o</w:t>
      </w:r>
      <w:r>
        <w:rPr>
          <w:noProof/>
        </w:rPr>
        <w:t>n vahvistettu 1,5 miljardia euroa. Se katetaan yleisestä talousarviosta. Vuoden 2019 loppuun mennessä EKKR-takuurahastoon saatuja muita rahoitusosuuksia ovat Bill ja Melinda Gatesin säätiön 50 miljoonan Yhdysvaltain dollarin osuus, Tanskan 9,6 miljoonan eu</w:t>
      </w:r>
      <w:r>
        <w:rPr>
          <w:noProof/>
        </w:rPr>
        <w:t>ron osuus, Tšekin 300 000 euron osuus ja Viron 100 000 euron osuus.</w:t>
      </w:r>
    </w:p>
    <w:p w:rsidR="00A46550" w:rsidRDefault="00B13FBE">
      <w:pPr>
        <w:jc w:val="both"/>
        <w:rPr>
          <w:noProof/>
        </w:rPr>
      </w:pPr>
      <w:r>
        <w:rPr>
          <w:noProof/>
        </w:rPr>
        <w:t>EKKR-asetuksen 14 artiklassa perustetaan EKKR-takuurahasto likviditeettipuskuriksi, josta tukikelpoiset vastapuolet saavat maksun siinä tapauksessa, että EKKR-takuuseen vedotaan. Unioni on</w:t>
      </w:r>
      <w:r>
        <w:rPr>
          <w:noProof/>
        </w:rPr>
        <w:t xml:space="preserve"> osoittanut 750 miljoonaa euroa rahoitusvastuidensa kattamiseen, mikä on 50 prosenttia EU:n takuuvelvoitteista. </w:t>
      </w:r>
    </w:p>
    <w:p w:rsidR="00A46550" w:rsidRDefault="00B13FBE">
      <w:pPr>
        <w:jc w:val="both"/>
        <w:rPr>
          <w:noProof/>
        </w:rPr>
      </w:pPr>
      <w:r>
        <w:rPr>
          <w:noProof/>
        </w:rPr>
        <w:t xml:space="preserve">EKKR-takuurahasto perustettiin vuonna 2018. Rahastoon on maksettu 600,1 miljoonaa euroa (tilanne 31. joulukuuta 2019). </w:t>
      </w:r>
    </w:p>
    <w:p w:rsidR="00A46550" w:rsidRDefault="00B13FBE">
      <w:pPr>
        <w:jc w:val="both"/>
        <w:rPr>
          <w:noProof/>
          <w:szCs w:val="24"/>
        </w:rPr>
      </w:pPr>
      <w:r>
        <w:rPr>
          <w:noProof/>
        </w:rPr>
        <w:t>Komission äskettäin Eur</w:t>
      </w:r>
      <w:r>
        <w:rPr>
          <w:noProof/>
        </w:rPr>
        <w:t>oopan parlamentille ja neuvostolle antamassa kertomuksessa</w:t>
      </w:r>
      <w:r>
        <w:rPr>
          <w:rStyle w:val="FootnoteReference"/>
          <w:noProof/>
        </w:rPr>
        <w:footnoteReference w:id="3"/>
      </w:r>
      <w:r>
        <w:rPr>
          <w:noProof/>
        </w:rPr>
        <w:t xml:space="preserve"> esitettiin tietoja EKKR:n täytäntöönpanosta. Raportti perustuu riippumattoman ulkopuolisen arvioinnin tuloksiin. Siinä todetaan, että EKKR on erittäin merkityksellinen uuden globaalin kehitysrahoi</w:t>
      </w:r>
      <w:r>
        <w:rPr>
          <w:noProof/>
        </w:rPr>
        <w:t xml:space="preserve">tusmallin tarpeen näkökulmasta ja Saharan eteläpuolisen Afrikan ja EU:n naapuruuspolitiikan piiriin kuuluvien alueiden investointitarpeiden kannalta. </w:t>
      </w:r>
    </w:p>
    <w:p w:rsidR="00A46550" w:rsidRDefault="00B13FBE">
      <w:pPr>
        <w:pStyle w:val="Heading1"/>
        <w:rPr>
          <w:noProof/>
          <w:szCs w:val="24"/>
        </w:rPr>
      </w:pPr>
      <w:bookmarkStart w:id="6" w:name="_Toc38891113"/>
      <w:bookmarkStart w:id="7" w:name="_Toc46996393"/>
      <w:r>
        <w:rPr>
          <w:noProof/>
        </w:rPr>
        <w:t>3. EKKR-takuurahaston hallinnointi vuonna 2019</w:t>
      </w:r>
      <w:bookmarkEnd w:id="6"/>
      <w:bookmarkEnd w:id="7"/>
    </w:p>
    <w:p w:rsidR="00A46550" w:rsidRDefault="00B13FBE">
      <w:pPr>
        <w:pStyle w:val="Heading2"/>
        <w:rPr>
          <w:noProof/>
        </w:rPr>
      </w:pPr>
      <w:bookmarkStart w:id="8" w:name="_Toc38891114"/>
      <w:bookmarkStart w:id="9" w:name="_Toc46996394"/>
      <w:r>
        <w:rPr>
          <w:noProof/>
        </w:rPr>
        <w:t>3.1. Varainhoito</w:t>
      </w:r>
      <w:bookmarkEnd w:id="8"/>
      <w:bookmarkEnd w:id="9"/>
      <w:r>
        <w:rPr>
          <w:noProof/>
        </w:rPr>
        <w:t xml:space="preserve"> </w:t>
      </w:r>
    </w:p>
    <w:p w:rsidR="00A46550" w:rsidRDefault="00B13FBE">
      <w:pPr>
        <w:jc w:val="both"/>
        <w:rPr>
          <w:noProof/>
        </w:rPr>
      </w:pPr>
      <w:r>
        <w:rPr>
          <w:noProof/>
        </w:rPr>
        <w:t xml:space="preserve">EKKR-takuurahaston sijoitussalkku on sijoitettu EKKR-takuurahaston varainhoidon suuntaviivoista 22. marraskuuta 2017 annetussa komission päätöksessä </w:t>
      </w:r>
      <w:hyperlink r:id="rId15" w:history="1">
        <w:r>
          <w:rPr>
            <w:noProof/>
          </w:rPr>
          <w:t>C(2017)7693</w:t>
        </w:r>
      </w:hyperlink>
      <w:r>
        <w:rPr>
          <w:noProof/>
        </w:rPr>
        <w:t xml:space="preserve"> vahvistettujen varainhoidon periaatteiden mukaisesti.</w:t>
      </w:r>
    </w:p>
    <w:p w:rsidR="00A46550" w:rsidRDefault="00B13FBE">
      <w:pPr>
        <w:jc w:val="both"/>
        <w:rPr>
          <w:noProof/>
        </w:rPr>
      </w:pPr>
      <w:r>
        <w:rPr>
          <w:noProof/>
        </w:rPr>
        <w:t>Suuntaviivoissa edellytetään, että sijoitussalkun varoilla on oltava riittävä likviditeetti sellaisten tapausten varalta, joissa EU:n takaukseen vedotaan. Samalla on kuitenkin pyrittävä optimoimaan tuo</w:t>
      </w:r>
      <w:r>
        <w:rPr>
          <w:noProof/>
        </w:rPr>
        <w:t>tto ja riskitaso siten, että turvallisuus ja vakaus säilyvät korkealla tasolla.</w:t>
      </w:r>
    </w:p>
    <w:p w:rsidR="00A46550" w:rsidRDefault="00B13FBE">
      <w:pPr>
        <w:jc w:val="both"/>
        <w:rPr>
          <w:noProof/>
        </w:rPr>
      </w:pPr>
      <w:r>
        <w:rPr>
          <w:noProof/>
        </w:rPr>
        <w:t>Rahastoa varten hyväksyttiin sijoitus- ja riskinhallintastrategiat, joissa on otettu huomioon sijoitustavoitteet ja markkinoiden näkymät. Rahaston sijoituspolitiikalla pyrittii</w:t>
      </w:r>
      <w:r>
        <w:rPr>
          <w:noProof/>
        </w:rPr>
        <w:t>n lisäämään hajauttamista erilaisiin kiinteätuottoisiin omaisuusluokkiin.</w:t>
      </w:r>
    </w:p>
    <w:p w:rsidR="00A46550" w:rsidRDefault="00B13FBE">
      <w:pPr>
        <w:pStyle w:val="Heading2"/>
        <w:rPr>
          <w:noProof/>
        </w:rPr>
      </w:pPr>
      <w:bookmarkStart w:id="10" w:name="_Toc38891115"/>
      <w:bookmarkStart w:id="11" w:name="_Toc46996395"/>
      <w:r>
        <w:rPr>
          <w:noProof/>
        </w:rPr>
        <w:t xml:space="preserve">3.2. </w:t>
      </w:r>
      <w:bookmarkStart w:id="12" w:name="_Toc38891116"/>
      <w:bookmarkEnd w:id="10"/>
      <w:r>
        <w:rPr>
          <w:noProof/>
        </w:rPr>
        <w:t>Salkun koostumus ja keskeiset ominaisuudet</w:t>
      </w:r>
      <w:bookmarkEnd w:id="12"/>
      <w:bookmarkEnd w:id="11"/>
    </w:p>
    <w:p w:rsidR="00A46550" w:rsidRDefault="00B13FBE">
      <w:pPr>
        <w:jc w:val="both"/>
        <w:rPr>
          <w:noProof/>
        </w:rPr>
      </w:pPr>
      <w:r>
        <w:rPr>
          <w:noProof/>
        </w:rPr>
        <w:t>EKKR-takuurahaston sijoitussalkun varojen hoitoa ohjataan sijoitusstrategialla, jolla on tarkoitus saavuttaa tietyt sijoitustavoitteet</w:t>
      </w:r>
      <w:r>
        <w:rPr>
          <w:noProof/>
        </w:rPr>
        <w:t>. Sijoitusstrategia ilmaistaan vertailuarvona, jossa salkkuun kuuluville hyväksyttäville omaisuusluokille vahvistetaan ohjeelliset tavoiteosuudet.</w:t>
      </w:r>
    </w:p>
    <w:p w:rsidR="00A46550" w:rsidRDefault="00B13FBE">
      <w:pPr>
        <w:jc w:val="both"/>
        <w:rPr>
          <w:noProof/>
        </w:rPr>
      </w:pPr>
      <w:r>
        <w:rPr>
          <w:noProof/>
        </w:rPr>
        <w:t>Sijoitussalkku muodostui 31. joulukuuta 2019 pääasiassa valtioiden, valtiotasoa alempien hallintotasojen, yli</w:t>
      </w:r>
      <w:r>
        <w:rPr>
          <w:noProof/>
        </w:rPr>
        <w:t>kansallisten elinten, valtiosidonnaisten laitosten ja EU:n ulkopuolisten maiden liikkeeseen laskemista arvopapereista (45 % markkina-arvosta, kun vertailuarvo on 52 %), yritysten ja rahoituslaitosten liikkeeseen laskemista vakuudettomista joukkovelkakirjoi</w:t>
      </w:r>
      <w:r>
        <w:rPr>
          <w:noProof/>
        </w:rPr>
        <w:t xml:space="preserve">sta (22 % markkina-arvosta, kun vertailuarvo on 18 %) ja katetuista joukkolainoista (14 % markkina-arvosta, kun vertailuarvo on 0 %). Loput varat sijoitettiin pääasiassa rahamarkkinarahastoihin. </w:t>
      </w:r>
    </w:p>
    <w:p w:rsidR="00A46550" w:rsidRDefault="00B13FBE">
      <w:pPr>
        <w:jc w:val="both"/>
        <w:rPr>
          <w:noProof/>
        </w:rPr>
      </w:pPr>
      <w:r>
        <w:rPr>
          <w:noProof/>
        </w:rPr>
        <w:t xml:space="preserve">Vuoden 2019 lopussa salkussa oli ympäristöön, yhteiskuntaan </w:t>
      </w:r>
      <w:r>
        <w:rPr>
          <w:noProof/>
        </w:rPr>
        <w:t xml:space="preserve">ja hyvään hallintotapaan liittyvät kriteerit täyttäviä joukkovelkakirjoja yli kaksi kertaa tavoitteen verran. </w:t>
      </w:r>
    </w:p>
    <w:p w:rsidR="00A46550" w:rsidRDefault="00B13FBE">
      <w:pPr>
        <w:jc w:val="both"/>
        <w:rPr>
          <w:noProof/>
        </w:rPr>
      </w:pPr>
      <w:r>
        <w:rPr>
          <w:noProof/>
        </w:rPr>
        <w:t>Salkun duraatio oli vuoden 2019 lopussa 2,51 vuotta. EKKR:n arvopapereiden luottoluokitukset jakautuivat seuraavasti:</w:t>
      </w:r>
      <w:r>
        <w:rPr>
          <w:noProof/>
          <w:color w:val="1F497D"/>
        </w:rPr>
        <w:t xml:space="preserve"> </w:t>
      </w:r>
    </w:p>
    <w:p w:rsidR="00A46550" w:rsidRDefault="00B13FBE">
      <w:pPr>
        <w:pStyle w:val="Default"/>
        <w:jc w:val="center"/>
        <w:rPr>
          <w:rFonts w:ascii="Calibri" w:hAnsi="Calibri" w:cs="Calibri"/>
          <w:noProof/>
          <w:color w:val="1F497D"/>
          <w:sz w:val="22"/>
          <w:szCs w:val="22"/>
        </w:rPr>
      </w:pPr>
      <w:r>
        <w:rPr>
          <w:noProof/>
          <w:lang w:val="fr-BE" w:eastAsia="fr-BE"/>
        </w:rPr>
        <w:drawing>
          <wp:inline distT="0" distB="0" distL="0" distR="0">
            <wp:extent cx="3321268" cy="1929162"/>
            <wp:effectExtent l="0" t="0" r="0" b="0"/>
            <wp:docPr id="2" name="Picture 2" descr="cid:image001.jpg@01D6134B.2AD5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34B.2AD5AD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63512" cy="1953700"/>
                    </a:xfrm>
                    <a:prstGeom prst="rect">
                      <a:avLst/>
                    </a:prstGeom>
                    <a:noFill/>
                    <a:ln>
                      <a:noFill/>
                    </a:ln>
                  </pic:spPr>
                </pic:pic>
              </a:graphicData>
            </a:graphic>
          </wp:inline>
        </w:drawing>
      </w:r>
    </w:p>
    <w:p w:rsidR="00A46550" w:rsidRDefault="00B13FBE">
      <w:pPr>
        <w:jc w:val="both"/>
        <w:rPr>
          <w:noProof/>
        </w:rPr>
      </w:pPr>
      <w:r>
        <w:rPr>
          <w:noProof/>
        </w:rPr>
        <w:t>Suurin osa salkusta on s</w:t>
      </w:r>
      <w:r>
        <w:rPr>
          <w:noProof/>
        </w:rPr>
        <w:t xml:space="preserve">ijoitettu likvideihin arvopapereihin, ja riittävä osuus (14 % salkun kokonaisarvosta) erääntyy alle 12 kuukauden kuluessa. </w:t>
      </w:r>
    </w:p>
    <w:p w:rsidR="00A46550" w:rsidRDefault="00B13FBE">
      <w:pPr>
        <w:jc w:val="both"/>
        <w:rPr>
          <w:noProof/>
        </w:rPr>
      </w:pPr>
      <w:r>
        <w:rPr>
          <w:noProof/>
        </w:rPr>
        <w:t>Salkun profiili (duraatio, luottoriski ja likviditeetti) on kalibroitu EU:n takuun kattamista EKKR-toimista aiheutuvien ennakoitujen</w:t>
      </w:r>
      <w:r>
        <w:rPr>
          <w:noProof/>
        </w:rPr>
        <w:t xml:space="preserve"> rahavirtojen mukaisesti (esim. arvioidut EU:n takaukseen perustuvat maksut ja tulot).</w:t>
      </w:r>
    </w:p>
    <w:p w:rsidR="00A46550" w:rsidRDefault="00B13FBE">
      <w:pPr>
        <w:pStyle w:val="Heading2"/>
        <w:rPr>
          <w:noProof/>
        </w:rPr>
      </w:pPr>
      <w:bookmarkStart w:id="13" w:name="_Toc38891117"/>
      <w:bookmarkStart w:id="14" w:name="_Toc46996396"/>
      <w:r>
        <w:rPr>
          <w:noProof/>
        </w:rPr>
        <w:t>3.3. Tulos</w:t>
      </w:r>
      <w:bookmarkEnd w:id="13"/>
      <w:bookmarkEnd w:id="14"/>
    </w:p>
    <w:p w:rsidR="00A46550" w:rsidRDefault="00B13FBE">
      <w:pPr>
        <w:jc w:val="both"/>
        <w:rPr>
          <w:noProof/>
        </w:rPr>
      </w:pPr>
      <w:r>
        <w:rPr>
          <w:noProof/>
        </w:rPr>
        <w:t xml:space="preserve">Vuositulos on laskettu aikapainotettuna, jotta salkun koko (joka kasvoi huomattavasti vuoden aikana) ei vaikuttaisi siihen. </w:t>
      </w:r>
    </w:p>
    <w:p w:rsidR="00A46550" w:rsidRDefault="00B13FBE">
      <w:pPr>
        <w:jc w:val="both"/>
        <w:rPr>
          <w:noProof/>
        </w:rPr>
      </w:pPr>
      <w:r>
        <w:rPr>
          <w:noProof/>
        </w:rPr>
        <w:t>Hyvin haastavassa markkinaympäristössä, jolle oli ominaista yleisesti negatiivinen tai ennätyksellisen alhainen sijoitusten tuotto sekä markkinoiden huomattava volatiliteetti ja epävarmuustekijät, rahaston absoluuttinen tulos vuonna 2019 oli 0,242 % (ajall</w:t>
      </w:r>
      <w:r>
        <w:rPr>
          <w:noProof/>
        </w:rPr>
        <w:t>isesti painotettu tulos ennen kustannuksia ja palkkioita). Tämä tuotto vastaa EKKR-takuurahaston vuositulokselle asetettua viitearvoa (0,149 %), ja se saavutettiin tilanteessa, jossa korot olivat euroalueella negatiivisia (etenkin markkinoiden ”luottoriski</w:t>
      </w:r>
      <w:r>
        <w:rPr>
          <w:noProof/>
        </w:rPr>
        <w:t xml:space="preserve">ttöminä” ja likvideinä pitämien eurooppalaisten arvopapereiden korot). </w:t>
      </w:r>
    </w:p>
    <w:p w:rsidR="00A46550" w:rsidRDefault="00B13FBE">
      <w:pPr>
        <w:pStyle w:val="Heading1"/>
        <w:rPr>
          <w:noProof/>
        </w:rPr>
      </w:pPr>
      <w:bookmarkStart w:id="15" w:name="_Toc38891118"/>
      <w:bookmarkStart w:id="16" w:name="_Toc46996397"/>
      <w:r>
        <w:rPr>
          <w:noProof/>
        </w:rPr>
        <w:t>4. Tilinpito</w:t>
      </w:r>
      <w:bookmarkEnd w:id="15"/>
      <w:bookmarkEnd w:id="16"/>
    </w:p>
    <w:p w:rsidR="00A46550" w:rsidRDefault="00B13FBE">
      <w:pPr>
        <w:rPr>
          <w:noProof/>
          <w:szCs w:val="24"/>
        </w:rPr>
      </w:pPr>
      <w:r>
        <w:rPr>
          <w:noProof/>
        </w:rPr>
        <w:t>EKKR-takuurahastoa koskevat taloudelliset tiedot esitetään jäljempänä. EKKR-takuuta ei käytetty vuonna 2019.</w:t>
      </w:r>
    </w:p>
    <w:p w:rsidR="00A46550" w:rsidRDefault="00B13FBE">
      <w:pPr>
        <w:pStyle w:val="Heading2"/>
        <w:jc w:val="both"/>
        <w:rPr>
          <w:noProof/>
        </w:rPr>
      </w:pPr>
      <w:bookmarkStart w:id="17" w:name="_Toc38891119"/>
      <w:bookmarkStart w:id="18" w:name="_Toc46996398"/>
      <w:r>
        <w:rPr>
          <w:noProof/>
        </w:rPr>
        <w:t>4.1. EKKR-takuurahaston tilinpäätös 31. joulukuuta 2019</w:t>
      </w:r>
      <w:bookmarkEnd w:id="17"/>
      <w:bookmarkEnd w:id="18"/>
      <w:r>
        <w:rPr>
          <w:noProof/>
        </w:rPr>
        <w:t xml:space="preserve"> </w:t>
      </w:r>
    </w:p>
    <w:p w:rsidR="00A46550" w:rsidRDefault="00B13FBE">
      <w:pPr>
        <w:jc w:val="both"/>
        <w:rPr>
          <w:noProof/>
        </w:rPr>
      </w:pPr>
      <w:bookmarkStart w:id="19" w:name="_Toc475538090"/>
      <w:r>
        <w:rPr>
          <w:noProof/>
        </w:rPr>
        <w:t>Posit</w:t>
      </w:r>
      <w:r>
        <w:rPr>
          <w:noProof/>
        </w:rPr>
        <w:t>iivinen markkinakehitys ja euroalueen tuottokäyrän lasku sekä edellä 3.3 kohdassa kuvatut useimpien kiinteätuottoisten instrumenttien hyvät tulokset ovat pitäneet EKKR-takuurahaston kokonaisvarat hyvin lähellä rahoitusosuuksien 600,1 miljoonan euron enimmä</w:t>
      </w:r>
      <w:r>
        <w:rPr>
          <w:noProof/>
        </w:rPr>
        <w:t>ismäärää. Rahaston kokonaisvarat olivat 31. joulukuuta 2019 negatiivisista koroista huolimatta 599,59 miljoonaa euroa. Varat koostuivat sijoitussalkun myytävissä oleviksi luokitelluista arvopapereista (594,71 miljoonaa euroa) ja käteisvaroista (4,88 miljoo</w:t>
      </w:r>
      <w:r>
        <w:rPr>
          <w:noProof/>
        </w:rPr>
        <w:t>naa euroa).</w:t>
      </w:r>
    </w:p>
    <w:p w:rsidR="00A46550" w:rsidRDefault="00B13FBE">
      <w:pPr>
        <w:jc w:val="both"/>
        <w:rPr>
          <w:noProof/>
        </w:rPr>
      </w:pPr>
      <w:r>
        <w:rPr>
          <w:noProof/>
        </w:rPr>
        <w:t>Vuoden 2019 tuloslaskelman mukaan EKKR-takuurahaston varainhoitovuoden taloudellinen tulos oli hieman negatiivinen eli –0,26 miljoonaa euroa</w:t>
      </w:r>
      <w:r>
        <w:rPr>
          <w:rStyle w:val="FootnoteReference"/>
          <w:noProof/>
          <w:lang w:val="en-IE"/>
        </w:rPr>
        <w:footnoteReference w:id="4"/>
      </w:r>
      <w:r>
        <w:rPr>
          <w:noProof/>
        </w:rPr>
        <w:t>. Pääasiallisena syynä tähän ovat käteisvarojen ja arvopapereiden negatiivisista koroista johtuneet kul</w:t>
      </w:r>
      <w:r>
        <w:rPr>
          <w:noProof/>
        </w:rPr>
        <w:t xml:space="preserve">ut (–0,45 miljoonaa euroa), jotka olivat suurelta osin seurausta negatiivisesta korkoympäristöstä ja jotka kompensoituivat vain osittain arvopaperien myynnistä ja antolainauksesta saaduilla toteutuneilla voitoilla (0,19 miljoonaa euroa). </w:t>
      </w:r>
    </w:p>
    <w:p w:rsidR="00A46550" w:rsidRDefault="00A46550">
      <w:pPr>
        <w:rPr>
          <w:b/>
          <w:noProof/>
        </w:rPr>
      </w:pPr>
    </w:p>
    <w:p w:rsidR="00A46550" w:rsidRDefault="00B13FBE">
      <w:pPr>
        <w:rPr>
          <w:b/>
          <w:noProof/>
        </w:rPr>
      </w:pPr>
      <w:r>
        <w:rPr>
          <w:b/>
          <w:noProof/>
        </w:rPr>
        <w:t>Tase 31. jouluku</w:t>
      </w:r>
      <w:r>
        <w:rPr>
          <w:b/>
          <w:noProof/>
        </w:rPr>
        <w:t>uta 201</w:t>
      </w:r>
      <w:bookmarkEnd w:id="19"/>
      <w:r>
        <w:rPr>
          <w:b/>
          <w:noProof/>
        </w:rPr>
        <w:t>9</w:t>
      </w:r>
    </w:p>
    <w:p w:rsidR="00A46550" w:rsidRDefault="00B13FBE">
      <w:pPr>
        <w:spacing w:after="0" w:line="240" w:lineRule="auto"/>
        <w:ind w:left="-284" w:firstLine="284"/>
        <w:rPr>
          <w:rFonts w:cs="Arial"/>
          <w:b/>
          <w:bCs/>
          <w:noProof/>
          <w:sz w:val="20"/>
        </w:rPr>
      </w:pPr>
      <w:r>
        <w:rPr>
          <w:noProof/>
          <w:sz w:val="20"/>
        </w:rPr>
        <w:t>(Määrät ilmaistu euroina)</w:t>
      </w:r>
    </w:p>
    <w:p w:rsidR="00A46550" w:rsidRDefault="00A46550">
      <w:pPr>
        <w:spacing w:after="0" w:line="240" w:lineRule="auto"/>
        <w:ind w:left="-284"/>
        <w:rPr>
          <w:rFonts w:cs="Arial"/>
          <w:noProof/>
          <w:sz w:val="20"/>
        </w:rPr>
      </w:pPr>
    </w:p>
    <w:tbl>
      <w:tblPr>
        <w:tblW w:w="8505" w:type="dxa"/>
        <w:tblLayout w:type="fixed"/>
        <w:tblCellMar>
          <w:left w:w="0" w:type="dxa"/>
          <w:right w:w="0" w:type="dxa"/>
        </w:tblCellMar>
        <w:tblLook w:val="04A0" w:firstRow="1" w:lastRow="0" w:firstColumn="1" w:lastColumn="0" w:noHBand="0" w:noVBand="1"/>
      </w:tblPr>
      <w:tblGrid>
        <w:gridCol w:w="4678"/>
        <w:gridCol w:w="1985"/>
        <w:gridCol w:w="1842"/>
      </w:tblGrid>
      <w:tr w:rsidR="00A46550">
        <w:trPr>
          <w:trHeight w:hRule="exact" w:val="283"/>
        </w:trPr>
        <w:tc>
          <w:tcPr>
            <w:tcW w:w="4678" w:type="dxa"/>
            <w:noWrap/>
            <w:vAlign w:val="bottom"/>
            <w:hideMark/>
          </w:tcPr>
          <w:p w:rsidR="00A46550" w:rsidRDefault="00B13FBE">
            <w:pPr>
              <w:rPr>
                <w:rFonts w:eastAsia="Arial Unicode MS" w:cs="Arial"/>
                <w:b/>
                <w:noProof/>
                <w:sz w:val="20"/>
                <w:u w:val="single"/>
              </w:rPr>
            </w:pPr>
            <w:r>
              <w:rPr>
                <w:b/>
                <w:noProof/>
                <w:sz w:val="20"/>
                <w:u w:val="single"/>
              </w:rPr>
              <w:t>VARAT</w:t>
            </w:r>
          </w:p>
        </w:tc>
        <w:tc>
          <w:tcPr>
            <w:tcW w:w="1985" w:type="dxa"/>
            <w:noWrap/>
            <w:vAlign w:val="bottom"/>
          </w:tcPr>
          <w:p w:rsidR="00A46550" w:rsidRDefault="00A46550">
            <w:pPr>
              <w:rPr>
                <w:rFonts w:eastAsia="Arial Unicode MS" w:cs="Arial"/>
                <w:noProof/>
                <w:sz w:val="20"/>
              </w:rPr>
            </w:pPr>
          </w:p>
        </w:tc>
        <w:tc>
          <w:tcPr>
            <w:tcW w:w="1842" w:type="dxa"/>
            <w:noWrap/>
            <w:vAlign w:val="bottom"/>
          </w:tcPr>
          <w:p w:rsidR="00A46550" w:rsidRDefault="00A46550">
            <w:pPr>
              <w:rPr>
                <w:rFonts w:eastAsia="Arial Unicode MS" w:cs="Arial"/>
                <w:noProof/>
                <w:sz w:val="20"/>
              </w:rPr>
            </w:pPr>
          </w:p>
        </w:tc>
      </w:tr>
      <w:tr w:rsidR="00A46550">
        <w:trPr>
          <w:trHeight w:hRule="exact" w:val="283"/>
        </w:trPr>
        <w:tc>
          <w:tcPr>
            <w:tcW w:w="4678" w:type="dxa"/>
            <w:tcBorders>
              <w:top w:val="nil"/>
              <w:left w:val="nil"/>
              <w:bottom w:val="single" w:sz="4" w:space="0" w:color="auto"/>
              <w:right w:val="nil"/>
            </w:tcBorders>
            <w:noWrap/>
            <w:vAlign w:val="bottom"/>
          </w:tcPr>
          <w:p w:rsidR="00A46550" w:rsidRDefault="00A46550">
            <w:pPr>
              <w:rPr>
                <w:rFonts w:eastAsia="Arial Unicode MS" w:cs="Arial"/>
                <w:noProof/>
                <w:sz w:val="20"/>
                <w:u w:val="single"/>
              </w:rPr>
            </w:pPr>
          </w:p>
        </w:tc>
        <w:tc>
          <w:tcPr>
            <w:tcW w:w="1985" w:type="dxa"/>
            <w:tcBorders>
              <w:top w:val="nil"/>
              <w:left w:val="nil"/>
              <w:bottom w:val="single" w:sz="4" w:space="0" w:color="auto"/>
              <w:right w:val="nil"/>
            </w:tcBorders>
            <w:noWrap/>
            <w:vAlign w:val="bottom"/>
          </w:tcPr>
          <w:p w:rsidR="00A46550" w:rsidRDefault="00A46550">
            <w:pPr>
              <w:rPr>
                <w:rFonts w:eastAsia="Arial Unicode MS" w:cs="Arial"/>
                <w:noProof/>
                <w:sz w:val="20"/>
              </w:rPr>
            </w:pPr>
          </w:p>
        </w:tc>
        <w:tc>
          <w:tcPr>
            <w:tcW w:w="1842" w:type="dxa"/>
            <w:tcBorders>
              <w:top w:val="nil"/>
              <w:left w:val="nil"/>
              <w:bottom w:val="single" w:sz="4" w:space="0" w:color="auto"/>
              <w:right w:val="nil"/>
            </w:tcBorders>
            <w:noWrap/>
            <w:vAlign w:val="bottom"/>
          </w:tcPr>
          <w:p w:rsidR="00A46550" w:rsidRDefault="00A46550">
            <w:pPr>
              <w:rPr>
                <w:rFonts w:eastAsia="Arial Unicode MS" w:cs="Arial"/>
                <w:noProof/>
                <w:sz w:val="20"/>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rPr>
                <w:rFonts w:eastAsia="Arial Unicode MS" w:cs="Arial"/>
                <w:noProof/>
                <w:sz w:val="20"/>
              </w:rPr>
            </w:pP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jc w:val="center"/>
              <w:rPr>
                <w:rFonts w:eastAsia="Arial Unicode MS" w:cs="Arial"/>
                <w:b/>
                <w:bCs/>
                <w:noProof/>
                <w:sz w:val="20"/>
              </w:rPr>
            </w:pPr>
            <w:r>
              <w:rPr>
                <w:b/>
                <w:bCs/>
                <w:noProof/>
                <w:sz w:val="20"/>
              </w:rPr>
              <w:t>31. joulukuuta 2019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jc w:val="center"/>
              <w:rPr>
                <w:rFonts w:eastAsia="Arial Unicode MS" w:cs="Arial"/>
                <w:b/>
                <w:bCs/>
                <w:noProof/>
                <w:sz w:val="20"/>
              </w:rPr>
            </w:pPr>
            <w:r>
              <w:rPr>
                <w:b/>
                <w:bCs/>
                <w:noProof/>
                <w:sz w:val="20"/>
              </w:rPr>
              <w:t>31. joulukuuta 2018</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jc w:val="center"/>
              <w:rPr>
                <w:rFonts w:cs="Arial"/>
                <w:b/>
                <w:bCs/>
                <w:noProof/>
                <w:sz w:val="20"/>
              </w:rPr>
            </w:pPr>
            <w:r>
              <w:rPr>
                <w:b/>
                <w:bCs/>
                <w:noProof/>
                <w:sz w:val="20"/>
              </w:rPr>
              <w:t>euroa</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jc w:val="center"/>
              <w:rPr>
                <w:rFonts w:cs="Arial"/>
                <w:b/>
                <w:bCs/>
                <w:noProof/>
                <w:sz w:val="20"/>
              </w:rPr>
            </w:pPr>
            <w:r>
              <w:rPr>
                <w:b/>
                <w:bCs/>
                <w:noProof/>
                <w:sz w:val="20"/>
              </w:rPr>
              <w:t>euroa</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cs="Arial"/>
                <w:b/>
                <w:bCs/>
                <w:noProof/>
                <w:sz w:val="20"/>
              </w:rPr>
            </w:pPr>
            <w:r>
              <w:rPr>
                <w:b/>
                <w:bCs/>
                <w:noProof/>
                <w:sz w:val="20"/>
              </w:rPr>
              <w:t>PYSYVÄT VASTAAVAT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
                <w:noProof/>
                <w:sz w:val="20"/>
              </w:rPr>
            </w:pPr>
            <w:r>
              <w:rPr>
                <w:b/>
                <w:noProof/>
                <w:sz w:val="20"/>
              </w:rPr>
              <w:t>348 061 980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
                <w:noProof/>
                <w:sz w:val="20"/>
              </w:rPr>
            </w:pPr>
            <w:r>
              <w:rPr>
                <w:b/>
                <w:noProof/>
                <w:sz w:val="20"/>
              </w:rPr>
              <w:t>3 577 001</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cs="Arial"/>
                <w:b/>
                <w:noProof/>
                <w:sz w:val="20"/>
                <w:lang w:eastAsia="ko-KR"/>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cs="Arial"/>
                <w:bCs/>
                <w:noProof/>
                <w:sz w:val="20"/>
              </w:rPr>
            </w:pPr>
            <w:r>
              <w:rPr>
                <w:bCs/>
                <w:noProof/>
                <w:sz w:val="20"/>
              </w:rPr>
              <w:t>Myytävissä olevat rahoitusvarat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noProof/>
                <w:sz w:val="20"/>
              </w:rPr>
            </w:pPr>
            <w:r>
              <w:rPr>
                <w:noProof/>
                <w:sz w:val="20"/>
              </w:rPr>
              <w:t>348 061 980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noProof/>
                <w:sz w:val="20"/>
              </w:rPr>
            </w:pPr>
            <w:r>
              <w:rPr>
                <w:noProof/>
                <w:sz w:val="20"/>
              </w:rPr>
              <w:t>3 577 001</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cs="Arial"/>
                <w:b/>
                <w:bCs/>
                <w:noProof/>
                <w:sz w:val="2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cs="Arial"/>
                <w:b/>
                <w:noProof/>
                <w:sz w:val="20"/>
                <w:lang w:eastAsia="ko-KR"/>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b/>
                <w:bCs/>
                <w:noProof/>
                <w:sz w:val="20"/>
              </w:rPr>
            </w:pPr>
            <w:r>
              <w:rPr>
                <w:b/>
                <w:bCs/>
                <w:noProof/>
                <w:sz w:val="20"/>
              </w:rPr>
              <w:t>VAIHTUVAT VASTAAVAT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Times New Roman" w:cs="Arial"/>
                <w:b/>
                <w:noProof/>
                <w:sz w:val="20"/>
              </w:rPr>
            </w:pPr>
            <w:r>
              <w:rPr>
                <w:b/>
                <w:noProof/>
                <w:sz w:val="20"/>
              </w:rPr>
              <w:t>251 527 281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
                <w:noProof/>
                <w:sz w:val="20"/>
              </w:rPr>
            </w:pPr>
            <w:r>
              <w:rPr>
                <w:b/>
                <w:noProof/>
                <w:sz w:val="20"/>
              </w:rPr>
              <w:t>271 469 460</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line="240" w:lineRule="auto"/>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line="240" w:lineRule="auto"/>
              <w:jc w:val="right"/>
              <w:rPr>
                <w:rFonts w:cs="Arial"/>
                <w:b/>
                <w:noProof/>
                <w:sz w:val="20"/>
                <w:lang w:eastAsia="ko-KR"/>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bCs/>
                <w:noProof/>
                <w:sz w:val="20"/>
              </w:rPr>
            </w:pPr>
            <w:r>
              <w:rPr>
                <w:bCs/>
                <w:noProof/>
                <w:sz w:val="20"/>
              </w:rPr>
              <w:t>Myytävissä olevat rahoitusvarat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noProof/>
                <w:sz w:val="20"/>
              </w:rPr>
            </w:pPr>
            <w:r>
              <w:rPr>
                <w:noProof/>
                <w:sz w:val="20"/>
              </w:rPr>
              <w:t>246 643 539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noProof/>
                <w:sz w:val="20"/>
              </w:rPr>
            </w:pPr>
            <w:r>
              <w:rPr>
                <w:noProof/>
                <w:sz w:val="20"/>
              </w:rPr>
              <w:t>5 795 882</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A46550" w:rsidRDefault="00A46550">
            <w:pPr>
              <w:spacing w:after="0"/>
              <w:rPr>
                <w:rFonts w:eastAsia="Times New Roman"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Times New Roman" w:cs="Arial"/>
                <w:noProof/>
                <w:sz w:val="20"/>
                <w:highlight w:val="yellow"/>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cs="Arial"/>
                <w:noProof/>
                <w:sz w:val="20"/>
                <w:highlight w:val="yellow"/>
                <w:lang w:eastAsia="ko-KR"/>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550" w:rsidRDefault="00B13FBE">
            <w:pPr>
              <w:spacing w:after="0"/>
              <w:rPr>
                <w:rFonts w:cs="Arial"/>
                <w:bCs/>
                <w:noProof/>
                <w:sz w:val="20"/>
              </w:rPr>
            </w:pPr>
            <w:r>
              <w:rPr>
                <w:bCs/>
                <w:noProof/>
                <w:sz w:val="20"/>
              </w:rPr>
              <w:t>Saamiset (eli arvopaperien antolainauksesta perittävät palkkio)</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noProof/>
                <w:sz w:val="20"/>
              </w:rPr>
            </w:pPr>
            <w:r>
              <w:rPr>
                <w:noProof/>
                <w:sz w:val="20"/>
              </w:rPr>
              <w:t>1 595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noProof/>
                <w:sz w:val="20"/>
              </w:rPr>
            </w:pPr>
            <w:r>
              <w:rPr>
                <w:noProof/>
                <w:sz w:val="20"/>
              </w:rPr>
              <w:t>–</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A46550" w:rsidRDefault="00A46550">
            <w:pPr>
              <w:spacing w:after="0"/>
              <w:rPr>
                <w:rFonts w:eastAsia="Times New Roman"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Times New Roman" w:cs="Arial"/>
                <w:noProof/>
                <w:sz w:val="20"/>
                <w:highlight w:val="yellow"/>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cs="Arial"/>
                <w:noProof/>
                <w:sz w:val="20"/>
                <w:highlight w:val="yellow"/>
                <w:lang w:eastAsia="ko-KR"/>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A46550" w:rsidRDefault="00A46550">
            <w:pPr>
              <w:spacing w:after="0"/>
              <w:rPr>
                <w:rFonts w:eastAsia="Arial Unicode M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Arial Unicode MS" w:cs="Arial"/>
                <w:noProof/>
                <w:sz w:val="20"/>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550" w:rsidRDefault="00B13FBE">
            <w:pPr>
              <w:spacing w:after="0"/>
              <w:rPr>
                <w:rFonts w:eastAsia="Arial Unicode MS" w:cs="Arial"/>
                <w:b/>
                <w:bCs/>
                <w:noProof/>
                <w:sz w:val="20"/>
              </w:rPr>
            </w:pPr>
            <w:r>
              <w:rPr>
                <w:b/>
                <w:bCs/>
                <w:noProof/>
                <w:sz w:val="20"/>
              </w:rPr>
              <w:t>Käteisvarat ja muut rahavarat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noProof/>
                <w:sz w:val="20"/>
              </w:rPr>
            </w:pPr>
            <w:r>
              <w:rPr>
                <w:noProof/>
                <w:sz w:val="20"/>
              </w:rPr>
              <w:t>4 882 147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noProof/>
                <w:sz w:val="20"/>
              </w:rPr>
            </w:pPr>
            <w:r>
              <w:rPr>
                <w:noProof/>
                <w:sz w:val="20"/>
              </w:rPr>
              <w:t>265 673 578</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550" w:rsidRDefault="00B13FBE">
            <w:pPr>
              <w:spacing w:after="0"/>
              <w:ind w:firstLine="142"/>
              <w:rPr>
                <w:rFonts w:eastAsia="Arial Unicode MS" w:cs="Arial"/>
                <w:bCs/>
                <w:i/>
                <w:noProof/>
                <w:sz w:val="20"/>
              </w:rPr>
            </w:pPr>
            <w:r>
              <w:rPr>
                <w:bCs/>
                <w:i/>
                <w:noProof/>
                <w:sz w:val="20"/>
              </w:rPr>
              <w:t>Käyttötilit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i/>
                <w:noProof/>
                <w:sz w:val="20"/>
              </w:rPr>
            </w:pPr>
            <w:r>
              <w:rPr>
                <w:i/>
                <w:noProof/>
                <w:sz w:val="20"/>
              </w:rPr>
              <w:t>4 885 215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i/>
                <w:noProof/>
                <w:sz w:val="20"/>
              </w:rPr>
            </w:pPr>
            <w:r>
              <w:rPr>
                <w:i/>
                <w:noProof/>
                <w:sz w:val="20"/>
              </w:rPr>
              <w:t>265 721 781</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550" w:rsidRDefault="00B13FBE">
            <w:pPr>
              <w:spacing w:after="0"/>
              <w:ind w:firstLine="142"/>
              <w:rPr>
                <w:rFonts w:eastAsia="Times New Roman" w:cs="Arial"/>
                <w:bCs/>
                <w:i/>
                <w:noProof/>
                <w:sz w:val="20"/>
              </w:rPr>
            </w:pPr>
            <w:r>
              <w:rPr>
                <w:bCs/>
                <w:i/>
                <w:noProof/>
                <w:sz w:val="20"/>
              </w:rPr>
              <w:t xml:space="preserve">Käteisvaroista ja muista </w:t>
            </w:r>
            <w:r>
              <w:rPr>
                <w:bCs/>
                <w:i/>
                <w:noProof/>
                <w:sz w:val="20"/>
              </w:rPr>
              <w:t>rahavaroista kertyneet korot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i/>
                <w:noProof/>
                <w:sz w:val="20"/>
              </w:rPr>
            </w:pPr>
            <w:r>
              <w:rPr>
                <w:i/>
                <w:noProof/>
                <w:sz w:val="20"/>
              </w:rPr>
              <w:t>(3 068)</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i/>
                <w:noProof/>
                <w:sz w:val="20"/>
              </w:rPr>
            </w:pPr>
            <w:r>
              <w:rPr>
                <w:i/>
                <w:noProof/>
                <w:sz w:val="20"/>
              </w:rPr>
              <w:t>(48 203)</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Arial Unicode MS" w:cs="Arial"/>
                <w:noProof/>
                <w:sz w:val="20"/>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b/>
                <w:bCs/>
                <w:noProof/>
                <w:sz w:val="20"/>
              </w:rPr>
            </w:pPr>
            <w:r>
              <w:rPr>
                <w:b/>
                <w:bCs/>
                <w:noProof/>
                <w:sz w:val="20"/>
              </w:rPr>
              <w:t xml:space="preserve">VARAT YHTEENSÄ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b/>
                <w:bCs/>
                <w:noProof/>
                <w:sz w:val="20"/>
              </w:rPr>
            </w:pPr>
            <w:r>
              <w:rPr>
                <w:b/>
                <w:bCs/>
                <w:noProof/>
                <w:sz w:val="20"/>
              </w:rPr>
              <w:t>599 589 261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Arial Unicode MS" w:cs="Arial"/>
                <w:b/>
                <w:bCs/>
                <w:noProof/>
                <w:sz w:val="20"/>
              </w:rPr>
            </w:pPr>
            <w:r>
              <w:rPr>
                <w:b/>
                <w:bCs/>
                <w:noProof/>
                <w:sz w:val="20"/>
              </w:rPr>
              <w:t>275 046 461</w:t>
            </w:r>
          </w:p>
        </w:tc>
      </w:tr>
      <w:tr w:rsidR="00A46550">
        <w:trPr>
          <w:trHeight w:hRule="exact" w:val="283"/>
        </w:trPr>
        <w:tc>
          <w:tcPr>
            <w:tcW w:w="4678" w:type="dxa"/>
            <w:tcBorders>
              <w:top w:val="single" w:sz="4" w:space="0" w:color="auto"/>
              <w:left w:val="nil"/>
              <w:bottom w:val="nil"/>
              <w:right w:val="nil"/>
            </w:tcBorders>
            <w:noWrap/>
            <w:vAlign w:val="bottom"/>
          </w:tcPr>
          <w:p w:rsidR="00A46550" w:rsidRDefault="00A46550">
            <w:pPr>
              <w:spacing w:after="0"/>
              <w:rPr>
                <w:rFonts w:eastAsia="Arial Unicode MS" w:cs="Arial"/>
                <w:noProof/>
                <w:sz w:val="20"/>
                <w:u w:val="single"/>
              </w:rPr>
            </w:pPr>
          </w:p>
        </w:tc>
        <w:tc>
          <w:tcPr>
            <w:tcW w:w="1985" w:type="dxa"/>
            <w:tcBorders>
              <w:top w:val="single" w:sz="4" w:space="0" w:color="auto"/>
              <w:left w:val="nil"/>
              <w:bottom w:val="nil"/>
              <w:right w:val="nil"/>
            </w:tcBorders>
            <w:noWrap/>
            <w:vAlign w:val="bottom"/>
          </w:tcPr>
          <w:p w:rsidR="00A46550" w:rsidRDefault="00A46550">
            <w:pPr>
              <w:spacing w:after="0"/>
              <w:rPr>
                <w:rFonts w:eastAsia="Arial Unicode MS" w:cs="Arial"/>
                <w:noProof/>
                <w:sz w:val="20"/>
              </w:rPr>
            </w:pPr>
          </w:p>
        </w:tc>
        <w:tc>
          <w:tcPr>
            <w:tcW w:w="1842" w:type="dxa"/>
            <w:tcBorders>
              <w:top w:val="single" w:sz="4" w:space="0" w:color="auto"/>
              <w:left w:val="nil"/>
              <w:bottom w:val="nil"/>
              <w:right w:val="nil"/>
            </w:tcBorders>
            <w:noWrap/>
            <w:vAlign w:val="bottom"/>
          </w:tcPr>
          <w:p w:rsidR="00A46550" w:rsidRDefault="00A46550">
            <w:pPr>
              <w:spacing w:after="0"/>
              <w:rPr>
                <w:rFonts w:eastAsia="Arial Unicode MS" w:cs="Arial"/>
                <w:noProof/>
                <w:sz w:val="20"/>
              </w:rPr>
            </w:pPr>
          </w:p>
        </w:tc>
      </w:tr>
      <w:tr w:rsidR="00A46550">
        <w:trPr>
          <w:trHeight w:hRule="exact" w:val="283"/>
        </w:trPr>
        <w:tc>
          <w:tcPr>
            <w:tcW w:w="4678" w:type="dxa"/>
            <w:noWrap/>
            <w:vAlign w:val="bottom"/>
          </w:tcPr>
          <w:p w:rsidR="00A46550" w:rsidRDefault="00A46550">
            <w:pPr>
              <w:spacing w:after="0" w:line="240" w:lineRule="auto"/>
              <w:rPr>
                <w:rFonts w:eastAsia="Arial Unicode MS" w:cs="Arial"/>
                <w:noProof/>
                <w:sz w:val="20"/>
                <w:u w:val="single"/>
              </w:rPr>
            </w:pPr>
          </w:p>
        </w:tc>
        <w:tc>
          <w:tcPr>
            <w:tcW w:w="1985" w:type="dxa"/>
            <w:noWrap/>
            <w:vAlign w:val="bottom"/>
          </w:tcPr>
          <w:p w:rsidR="00A46550" w:rsidRDefault="00A46550">
            <w:pPr>
              <w:spacing w:after="0" w:line="240" w:lineRule="auto"/>
              <w:rPr>
                <w:rFonts w:eastAsia="Arial Unicode MS" w:cs="Arial"/>
                <w:noProof/>
                <w:sz w:val="20"/>
              </w:rPr>
            </w:pPr>
          </w:p>
        </w:tc>
        <w:tc>
          <w:tcPr>
            <w:tcW w:w="1842" w:type="dxa"/>
            <w:noWrap/>
            <w:vAlign w:val="bottom"/>
          </w:tcPr>
          <w:p w:rsidR="00A46550" w:rsidRDefault="00A46550">
            <w:pPr>
              <w:spacing w:after="0" w:line="240" w:lineRule="auto"/>
              <w:rPr>
                <w:rFonts w:eastAsia="Arial Unicode MS" w:cs="Arial"/>
                <w:noProof/>
                <w:sz w:val="20"/>
              </w:rPr>
            </w:pPr>
          </w:p>
        </w:tc>
      </w:tr>
      <w:tr w:rsidR="00A46550">
        <w:trPr>
          <w:trHeight w:hRule="exact" w:val="283"/>
        </w:trPr>
        <w:tc>
          <w:tcPr>
            <w:tcW w:w="4678" w:type="dxa"/>
            <w:noWrap/>
            <w:vAlign w:val="bottom"/>
            <w:hideMark/>
          </w:tcPr>
          <w:p w:rsidR="00A46550" w:rsidRDefault="00B13FBE">
            <w:pPr>
              <w:spacing w:after="0"/>
              <w:rPr>
                <w:rFonts w:eastAsia="Arial Unicode MS" w:cs="Arial"/>
                <w:b/>
                <w:noProof/>
                <w:sz w:val="20"/>
                <w:u w:val="single"/>
              </w:rPr>
            </w:pPr>
            <w:r>
              <w:rPr>
                <w:b/>
                <w:noProof/>
                <w:sz w:val="20"/>
                <w:u w:val="single"/>
              </w:rPr>
              <w:t>NETTOVARAT JA -VELAT</w:t>
            </w:r>
          </w:p>
        </w:tc>
        <w:tc>
          <w:tcPr>
            <w:tcW w:w="1985" w:type="dxa"/>
            <w:noWrap/>
            <w:vAlign w:val="bottom"/>
          </w:tcPr>
          <w:p w:rsidR="00A46550" w:rsidRDefault="00A46550">
            <w:pPr>
              <w:spacing w:after="0"/>
              <w:rPr>
                <w:rFonts w:eastAsia="Arial Unicode MS" w:cs="Arial"/>
                <w:noProof/>
                <w:sz w:val="20"/>
                <w:lang w:val="fr-FR"/>
              </w:rPr>
            </w:pPr>
          </w:p>
        </w:tc>
        <w:tc>
          <w:tcPr>
            <w:tcW w:w="1842" w:type="dxa"/>
            <w:noWrap/>
            <w:vAlign w:val="bottom"/>
          </w:tcPr>
          <w:p w:rsidR="00A46550" w:rsidRDefault="00A46550">
            <w:pPr>
              <w:spacing w:after="0"/>
              <w:rPr>
                <w:rFonts w:eastAsia="Arial Unicode MS" w:cs="Arial"/>
                <w:noProof/>
                <w:sz w:val="20"/>
                <w:lang w:val="fr-FR"/>
              </w:rPr>
            </w:pPr>
          </w:p>
        </w:tc>
      </w:tr>
      <w:tr w:rsidR="00A46550">
        <w:trPr>
          <w:trHeight w:hRule="exact" w:val="283"/>
        </w:trPr>
        <w:tc>
          <w:tcPr>
            <w:tcW w:w="4678" w:type="dxa"/>
            <w:tcBorders>
              <w:top w:val="nil"/>
              <w:left w:val="nil"/>
              <w:bottom w:val="single" w:sz="4" w:space="0" w:color="auto"/>
              <w:right w:val="nil"/>
            </w:tcBorders>
            <w:noWrap/>
            <w:vAlign w:val="bottom"/>
          </w:tcPr>
          <w:p w:rsidR="00A46550" w:rsidRDefault="00A46550">
            <w:pPr>
              <w:spacing w:after="0"/>
              <w:rPr>
                <w:rFonts w:eastAsia="Arial Unicode MS" w:cs="Arial"/>
                <w:noProof/>
                <w:sz w:val="20"/>
                <w:u w:val="single"/>
                <w:lang w:val="fr-FR"/>
              </w:rPr>
            </w:pPr>
          </w:p>
        </w:tc>
        <w:tc>
          <w:tcPr>
            <w:tcW w:w="1985" w:type="dxa"/>
            <w:tcBorders>
              <w:top w:val="nil"/>
              <w:left w:val="nil"/>
              <w:bottom w:val="single" w:sz="4" w:space="0" w:color="auto"/>
              <w:right w:val="nil"/>
            </w:tcBorders>
            <w:noWrap/>
            <w:vAlign w:val="bottom"/>
          </w:tcPr>
          <w:p w:rsidR="00A46550" w:rsidRDefault="00A46550">
            <w:pPr>
              <w:spacing w:after="0"/>
              <w:rPr>
                <w:rFonts w:eastAsia="Arial Unicode MS" w:cs="Arial"/>
                <w:noProof/>
                <w:sz w:val="20"/>
                <w:lang w:val="fr-FR"/>
              </w:rPr>
            </w:pPr>
          </w:p>
        </w:tc>
        <w:tc>
          <w:tcPr>
            <w:tcW w:w="1842" w:type="dxa"/>
            <w:tcBorders>
              <w:top w:val="nil"/>
              <w:left w:val="nil"/>
              <w:bottom w:val="single" w:sz="4" w:space="0" w:color="auto"/>
              <w:right w:val="nil"/>
            </w:tcBorders>
            <w:noWrap/>
            <w:vAlign w:val="bottom"/>
          </w:tcPr>
          <w:p w:rsidR="00A46550" w:rsidRDefault="00A46550">
            <w:pPr>
              <w:spacing w:after="0"/>
              <w:rPr>
                <w:rFonts w:eastAsia="Arial Unicode MS" w:cs="Arial"/>
                <w:noProof/>
                <w:sz w:val="20"/>
                <w:lang w:val="fr-FR"/>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noProof/>
                <w:sz w:val="20"/>
              </w:rPr>
            </w:pP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jc w:val="center"/>
              <w:rPr>
                <w:rFonts w:eastAsia="Arial Unicode MS" w:cs="Arial"/>
                <w:b/>
                <w:bCs/>
                <w:noProof/>
                <w:sz w:val="20"/>
              </w:rPr>
            </w:pPr>
            <w:r>
              <w:rPr>
                <w:b/>
                <w:bCs/>
                <w:noProof/>
                <w:sz w:val="20"/>
              </w:rPr>
              <w:t>31. joulukuuta 2019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jc w:val="center"/>
              <w:rPr>
                <w:rFonts w:eastAsia="Arial Unicode MS" w:cs="Arial"/>
                <w:b/>
                <w:bCs/>
                <w:noProof/>
                <w:sz w:val="20"/>
              </w:rPr>
            </w:pPr>
            <w:r>
              <w:rPr>
                <w:b/>
                <w:bCs/>
                <w:noProof/>
                <w:sz w:val="20"/>
              </w:rPr>
              <w:t>31. joulukuuta 2018</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eastAsia="Times New Roman" w:cs="Arial"/>
                <w:noProof/>
                <w:sz w:val="2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jc w:val="center"/>
              <w:rPr>
                <w:rFonts w:cs="Arial"/>
                <w:b/>
                <w:bCs/>
                <w:noProof/>
                <w:sz w:val="20"/>
              </w:rPr>
            </w:pPr>
            <w:r>
              <w:rPr>
                <w:b/>
                <w:bCs/>
                <w:noProof/>
                <w:sz w:val="20"/>
              </w:rPr>
              <w:t>euroa</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jc w:val="center"/>
              <w:rPr>
                <w:rFonts w:cs="Arial"/>
                <w:b/>
                <w:bCs/>
                <w:noProof/>
                <w:sz w:val="20"/>
              </w:rPr>
            </w:pPr>
            <w:r>
              <w:rPr>
                <w:b/>
                <w:bCs/>
                <w:noProof/>
                <w:sz w:val="20"/>
              </w:rPr>
              <w:t>euroa</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b/>
                <w:bCs/>
                <w:noProof/>
                <w:sz w:val="20"/>
              </w:rPr>
            </w:pPr>
            <w:r>
              <w:rPr>
                <w:b/>
                <w:bCs/>
                <w:noProof/>
                <w:sz w:val="20"/>
              </w:rPr>
              <w:t>NETTOVARAT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Times New Roman" w:cs="Arial"/>
                <w:b/>
                <w:bCs/>
                <w:noProof/>
                <w:sz w:val="20"/>
              </w:rPr>
            </w:pPr>
            <w:r>
              <w:rPr>
                <w:b/>
                <w:bCs/>
                <w:noProof/>
                <w:sz w:val="20"/>
              </w:rPr>
              <w:t>599 567 587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
                <w:bCs/>
                <w:noProof/>
                <w:sz w:val="20"/>
              </w:rPr>
            </w:pPr>
            <w:r>
              <w:rPr>
                <w:b/>
                <w:bCs/>
                <w:noProof/>
                <w:sz w:val="20"/>
              </w:rPr>
              <w:t>275 030 778</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b/>
                <w:bCs/>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b/>
                <w:bCs/>
                <w:noProof/>
                <w:sz w:val="20"/>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b/>
                <w:bCs/>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b/>
                <w:bCs/>
                <w:noProof/>
                <w:sz w:val="20"/>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cs="Arial"/>
                <w:bCs/>
                <w:noProof/>
                <w:sz w:val="20"/>
              </w:rPr>
            </w:pPr>
            <w:r>
              <w:rPr>
                <w:bCs/>
                <w:noProof/>
                <w:sz w:val="20"/>
              </w:rPr>
              <w:t xml:space="preserve">Rahoitusosuus EU:n </w:t>
            </w:r>
            <w:r>
              <w:rPr>
                <w:bCs/>
                <w:noProof/>
                <w:sz w:val="20"/>
              </w:rPr>
              <w:t>talousarviosta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Cs/>
                <w:noProof/>
                <w:sz w:val="20"/>
              </w:rPr>
            </w:pPr>
            <w:r>
              <w:rPr>
                <w:bCs/>
                <w:noProof/>
                <w:sz w:val="20"/>
              </w:rPr>
              <w:t>600 100 000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Cs/>
                <w:noProof/>
                <w:sz w:val="20"/>
              </w:rPr>
            </w:pPr>
            <w:r>
              <w:rPr>
                <w:bCs/>
                <w:noProof/>
                <w:sz w:val="20"/>
              </w:rPr>
              <w:t>275 100 000</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bCs/>
                <w:noProof/>
                <w:sz w:val="20"/>
              </w:rPr>
            </w:pPr>
            <w:r>
              <w:rPr>
                <w:bCs/>
                <w:noProof/>
                <w:sz w:val="20"/>
              </w:rPr>
              <w:t>Käyvän arvon rahasto</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Times New Roman" w:cs="Arial"/>
                <w:bCs/>
                <w:noProof/>
                <w:sz w:val="20"/>
              </w:rPr>
            </w:pPr>
            <w:r>
              <w:rPr>
                <w:bCs/>
                <w:noProof/>
                <w:sz w:val="20"/>
              </w:rPr>
              <w:t>(188 713)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Cs/>
                <w:noProof/>
                <w:sz w:val="20"/>
              </w:rPr>
            </w:pPr>
            <w:r>
              <w:rPr>
                <w:bCs/>
                <w:noProof/>
                <w:sz w:val="20"/>
              </w:rPr>
              <w:t>(655)</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cs="Arial"/>
                <w:noProof/>
                <w:sz w:val="20"/>
              </w:rPr>
            </w:pPr>
            <w:r>
              <w:rPr>
                <w:noProof/>
                <w:sz w:val="20"/>
              </w:rPr>
              <w:t>Kertyneet voittovarat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B13FBE">
            <w:pPr>
              <w:spacing w:after="0"/>
              <w:ind w:right="142"/>
              <w:jc w:val="right"/>
              <w:rPr>
                <w:rFonts w:eastAsia="Arial Unicode MS" w:cs="Arial"/>
                <w:noProof/>
                <w:sz w:val="20"/>
              </w:rPr>
            </w:pPr>
            <w:r>
              <w:rPr>
                <w:noProof/>
                <w:sz w:val="20"/>
              </w:rPr>
              <w:t>(68 567)</w:t>
            </w:r>
          </w:p>
          <w:p w:rsidR="00A46550" w:rsidRDefault="00A46550">
            <w:pPr>
              <w:spacing w:after="0"/>
              <w:ind w:right="142"/>
              <w:jc w:val="right"/>
              <w:rPr>
                <w:rFonts w:eastAsia="Times New Roman"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B13FBE">
            <w:pPr>
              <w:spacing w:after="0"/>
              <w:ind w:right="142"/>
              <w:jc w:val="right"/>
              <w:rPr>
                <w:rFonts w:eastAsia="Arial Unicode MS" w:cs="Arial"/>
                <w:noProof/>
                <w:sz w:val="20"/>
              </w:rPr>
            </w:pPr>
            <w:r>
              <w:rPr>
                <w:noProof/>
                <w:sz w:val="20"/>
              </w:rPr>
              <w:t>–</w:t>
            </w:r>
          </w:p>
          <w:p w:rsidR="00A46550" w:rsidRDefault="00A46550">
            <w:pPr>
              <w:spacing w:after="0"/>
              <w:ind w:right="142"/>
              <w:jc w:val="right"/>
              <w:rPr>
                <w:rFonts w:eastAsia="Times New Roman" w:cs="Arial"/>
                <w:noProof/>
                <w:sz w:val="20"/>
              </w:rPr>
            </w:pPr>
          </w:p>
        </w:tc>
      </w:tr>
      <w:tr w:rsidR="00A46550">
        <w:trPr>
          <w:trHeight w:hRule="exact" w:val="297"/>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B13FBE">
            <w:pPr>
              <w:spacing w:after="0"/>
              <w:rPr>
                <w:rFonts w:cs="Arial"/>
                <w:noProof/>
                <w:sz w:val="20"/>
              </w:rPr>
            </w:pPr>
            <w:r>
              <w:rPr>
                <w:noProof/>
                <w:sz w:val="20"/>
              </w:rPr>
              <w:t>Varainhoitovuoden taloudellinen tulos</w:t>
            </w:r>
          </w:p>
          <w:p w:rsidR="00A46550" w:rsidRDefault="00A46550">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noProof/>
                <w:sz w:val="20"/>
              </w:rPr>
            </w:pPr>
            <w:r>
              <w:rPr>
                <w:noProof/>
                <w:sz w:val="20"/>
              </w:rPr>
              <w:t>(275 133)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noProof/>
                <w:sz w:val="20"/>
              </w:rPr>
            </w:pPr>
            <w:r>
              <w:rPr>
                <w:noProof/>
                <w:sz w:val="20"/>
              </w:rPr>
              <w:t>(68 567)</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eastAsia="Arial Unicode MS" w:cs="Arial"/>
                <w:b/>
                <w:bCs/>
                <w:noProof/>
                <w:sz w:val="2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b/>
                <w:noProof/>
                <w:sz w:val="2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b/>
                <w:noProof/>
                <w:sz w:val="20"/>
                <w:lang w:val="fr-FR"/>
              </w:rPr>
            </w:pP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b/>
                <w:bCs/>
                <w:noProof/>
                <w:sz w:val="20"/>
              </w:rPr>
            </w:pPr>
            <w:r>
              <w:rPr>
                <w:b/>
                <w:bCs/>
                <w:noProof/>
                <w:sz w:val="20"/>
              </w:rPr>
              <w:t>LYHYTAIKAISET VELAT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tabs>
                <w:tab w:val="left" w:pos="1558"/>
              </w:tabs>
              <w:spacing w:after="0"/>
              <w:ind w:right="143"/>
              <w:jc w:val="right"/>
              <w:rPr>
                <w:rFonts w:eastAsia="Arial Unicode MS" w:cs="Arial"/>
                <w:b/>
                <w:noProof/>
                <w:sz w:val="20"/>
              </w:rPr>
            </w:pPr>
            <w:r>
              <w:rPr>
                <w:b/>
                <w:noProof/>
                <w:sz w:val="20"/>
              </w:rPr>
              <w:t>21 674</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tabs>
                <w:tab w:val="left" w:pos="1558"/>
              </w:tabs>
              <w:spacing w:after="0"/>
              <w:ind w:right="143"/>
              <w:jc w:val="right"/>
              <w:rPr>
                <w:rFonts w:eastAsia="Arial Unicode MS" w:cs="Arial"/>
                <w:b/>
                <w:noProof/>
                <w:sz w:val="20"/>
              </w:rPr>
            </w:pPr>
            <w:r>
              <w:rPr>
                <w:b/>
                <w:noProof/>
                <w:sz w:val="20"/>
              </w:rPr>
              <w:t>15 683</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eastAsia="Times New Roman"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jc w:val="right"/>
              <w:rPr>
                <w:rFonts w:cs="Arial"/>
                <w:noProof/>
                <w:sz w:val="20"/>
              </w:rPr>
            </w:pPr>
          </w:p>
        </w:tc>
      </w:tr>
      <w:tr w:rsidR="00A46550">
        <w:trPr>
          <w:trHeight w:hRule="exact" w:val="34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cs="Arial"/>
                <w:bCs/>
                <w:noProof/>
                <w:sz w:val="20"/>
              </w:rPr>
            </w:pPr>
            <w:r>
              <w:rPr>
                <w:bCs/>
                <w:noProof/>
                <w:sz w:val="20"/>
              </w:rPr>
              <w:t>Muut velat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noProof/>
                <w:sz w:val="20"/>
              </w:rPr>
            </w:pPr>
            <w:r>
              <w:rPr>
                <w:noProof/>
                <w:sz w:val="20"/>
              </w:rPr>
              <w:t>21 674</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noProof/>
                <w:sz w:val="20"/>
              </w:rPr>
            </w:pPr>
            <w:r>
              <w:rPr>
                <w:noProof/>
                <w:sz w:val="20"/>
              </w:rPr>
              <w:t>15 683</w:t>
            </w:r>
          </w:p>
        </w:tc>
      </w:tr>
      <w:tr w:rsidR="00A46550">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rPr>
                <w:rFonts w:eastAsia="Arial Unicode M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spacing w:after="0"/>
              <w:ind w:right="142"/>
              <w:jc w:val="right"/>
              <w:rPr>
                <w:rFonts w:eastAsia="Arial Unicode MS" w:cs="Arial"/>
                <w:noProof/>
                <w:sz w:val="20"/>
              </w:rPr>
            </w:pPr>
          </w:p>
        </w:tc>
      </w:tr>
      <w:tr w:rsidR="00A46550">
        <w:trPr>
          <w:trHeight w:hRule="exact" w:val="40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rPr>
                <w:rFonts w:eastAsia="Arial Unicode MS" w:cs="Arial"/>
                <w:b/>
                <w:bCs/>
                <w:noProof/>
                <w:sz w:val="20"/>
              </w:rPr>
            </w:pPr>
            <w:r>
              <w:rPr>
                <w:b/>
                <w:bCs/>
                <w:noProof/>
                <w:sz w:val="20"/>
              </w:rPr>
              <w:t>NETTOVARAT</w:t>
            </w:r>
            <w:r>
              <w:rPr>
                <w:b/>
                <w:bCs/>
                <w:noProof/>
                <w:sz w:val="20"/>
              </w:rPr>
              <w:t xml:space="preserve"> JA -VELAT YHTEENSÄ</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eastAsia="Times New Roman" w:cs="Arial"/>
                <w:b/>
                <w:noProof/>
                <w:sz w:val="20"/>
              </w:rPr>
            </w:pPr>
            <w:r>
              <w:rPr>
                <w:b/>
                <w:bCs/>
                <w:noProof/>
                <w:sz w:val="20"/>
              </w:rPr>
              <w:t>599 589 261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spacing w:after="0"/>
              <w:ind w:right="142"/>
              <w:jc w:val="right"/>
              <w:rPr>
                <w:rFonts w:cs="Arial"/>
                <w:b/>
                <w:noProof/>
                <w:sz w:val="20"/>
              </w:rPr>
            </w:pPr>
            <w:r>
              <w:rPr>
                <w:b/>
                <w:bCs/>
                <w:noProof/>
                <w:sz w:val="20"/>
              </w:rPr>
              <w:t>275 046 461</w:t>
            </w:r>
          </w:p>
        </w:tc>
      </w:tr>
    </w:tbl>
    <w:p w:rsidR="00A46550" w:rsidRDefault="00A46550">
      <w:pPr>
        <w:rPr>
          <w:noProof/>
        </w:rPr>
      </w:pPr>
    </w:p>
    <w:p w:rsidR="00A46550" w:rsidRDefault="00B13FBE">
      <w:pPr>
        <w:jc w:val="both"/>
        <w:rPr>
          <w:b/>
          <w:noProof/>
        </w:rPr>
      </w:pPr>
      <w:r>
        <w:rPr>
          <w:b/>
          <w:noProof/>
        </w:rPr>
        <w:t>Tuloslaskelma 31. joulukuuta 2019 päättyneeltä varainhoitovuodelta</w:t>
      </w:r>
    </w:p>
    <w:p w:rsidR="00A46550" w:rsidRDefault="00B13FBE">
      <w:pPr>
        <w:spacing w:after="0" w:line="240" w:lineRule="auto"/>
        <w:ind w:left="-142" w:firstLine="120"/>
        <w:rPr>
          <w:rFonts w:cs="Arial"/>
          <w:noProof/>
          <w:sz w:val="20"/>
        </w:rPr>
      </w:pPr>
      <w:r>
        <w:rPr>
          <w:noProof/>
          <w:sz w:val="20"/>
        </w:rPr>
        <w:t>(Määrät ilmaistu euroina)</w:t>
      </w:r>
    </w:p>
    <w:p w:rsidR="00A46550" w:rsidRDefault="00A46550">
      <w:pPr>
        <w:spacing w:after="0" w:line="240" w:lineRule="auto"/>
        <w:ind w:left="-142" w:firstLine="120"/>
        <w:rPr>
          <w:rFonts w:cs="Arial"/>
          <w:b/>
          <w:bCs/>
          <w:noProof/>
          <w:sz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1985"/>
        <w:gridCol w:w="1842"/>
      </w:tblGrid>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rPr>
                <w:rFonts w:eastAsia="Arial Unicode MS" w:cs="Arial"/>
                <w:noProof/>
                <w:sz w:val="20"/>
              </w:rPr>
            </w:pPr>
            <w:r>
              <w:rPr>
                <w:b/>
                <w:bCs/>
                <w:noProof/>
                <w:sz w:val="20"/>
              </w:rPr>
              <w:t xml:space="preserve"> </w:t>
            </w: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jc w:val="center"/>
              <w:rPr>
                <w:rFonts w:eastAsia="Arial Unicode MS" w:cs="Arial"/>
                <w:b/>
                <w:bCs/>
                <w:noProof/>
                <w:sz w:val="20"/>
              </w:rPr>
            </w:pPr>
            <w:r>
              <w:rPr>
                <w:b/>
                <w:bCs/>
                <w:noProof/>
                <w:sz w:val="20"/>
              </w:rPr>
              <w:t>2019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jc w:val="center"/>
              <w:rPr>
                <w:rFonts w:eastAsia="Arial Unicode MS" w:cs="Arial"/>
                <w:b/>
                <w:bCs/>
                <w:noProof/>
                <w:sz w:val="20"/>
              </w:rPr>
            </w:pPr>
            <w:r>
              <w:rPr>
                <w:b/>
                <w:bCs/>
                <w:noProof/>
                <w:sz w:val="20"/>
              </w:rPr>
              <w:t>2018</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jc w:val="center"/>
              <w:rPr>
                <w:rFonts w:cs="Arial"/>
                <w:b/>
                <w:bCs/>
                <w:noProof/>
                <w:sz w:val="20"/>
              </w:rPr>
            </w:pPr>
            <w:r>
              <w:rPr>
                <w:b/>
                <w:bCs/>
                <w:noProof/>
                <w:sz w:val="20"/>
              </w:rPr>
              <w:t>euroa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jc w:val="center"/>
              <w:rPr>
                <w:rFonts w:cs="Arial"/>
                <w:b/>
                <w:bCs/>
                <w:noProof/>
                <w:sz w:val="20"/>
              </w:rPr>
            </w:pPr>
            <w:r>
              <w:rPr>
                <w:b/>
                <w:bCs/>
                <w:noProof/>
                <w:sz w:val="20"/>
              </w:rPr>
              <w:t>euroa</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rPr>
                <w:rFonts w:cs="Arial"/>
                <w:noProof/>
                <w:sz w:val="20"/>
              </w:rPr>
            </w:pPr>
            <w:r>
              <w:rPr>
                <w:b/>
                <w:noProof/>
                <w:sz w:val="20"/>
              </w:rPr>
              <w:t>Toiminnan tuotot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tabs>
                <w:tab w:val="left" w:pos="1558"/>
              </w:tabs>
              <w:spacing w:after="0"/>
              <w:ind w:right="143"/>
              <w:jc w:val="right"/>
              <w:rPr>
                <w:rFonts w:eastAsia="Times New Roman" w:cs="Arial"/>
                <w:b/>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550" w:rsidRDefault="00B13FBE">
            <w:pPr>
              <w:tabs>
                <w:tab w:val="left" w:pos="1558"/>
              </w:tabs>
              <w:spacing w:after="0"/>
              <w:ind w:right="143"/>
              <w:jc w:val="right"/>
              <w:rPr>
                <w:rFonts w:cs="Arial"/>
                <w:b/>
                <w:noProof/>
                <w:sz w:val="20"/>
              </w:rPr>
            </w:pPr>
            <w:r>
              <w:rPr>
                <w:noProof/>
                <w:sz w:val="20"/>
              </w:rPr>
              <w:t>–</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6550" w:rsidRDefault="00A46550">
            <w:pPr>
              <w:tabs>
                <w:tab w:val="left" w:pos="1558"/>
              </w:tabs>
              <w:ind w:right="143"/>
              <w:jc w:val="right"/>
              <w:rPr>
                <w:rFonts w:eastAsia="Times New Roman"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46550" w:rsidRDefault="00A46550">
            <w:pPr>
              <w:tabs>
                <w:tab w:val="left" w:pos="1558"/>
              </w:tabs>
              <w:ind w:right="143"/>
              <w:jc w:val="right"/>
              <w:rPr>
                <w:rFonts w:cs="Arial"/>
                <w:noProof/>
                <w:sz w:val="20"/>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rPr>
                <w:rFonts w:cs="Arial"/>
                <w:noProof/>
                <w:sz w:val="20"/>
              </w:rPr>
            </w:pPr>
            <w:r>
              <w:rPr>
                <w:b/>
                <w:noProof/>
                <w:sz w:val="20"/>
              </w:rPr>
              <w:t>Toiminnan kulut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46550" w:rsidRDefault="00B13FBE">
            <w:pPr>
              <w:tabs>
                <w:tab w:val="left" w:pos="1558"/>
              </w:tabs>
              <w:spacing w:after="0"/>
              <w:ind w:right="143"/>
              <w:jc w:val="right"/>
              <w:rPr>
                <w:rFonts w:eastAsia="Times New Roman" w:cs="Arial"/>
                <w:b/>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550" w:rsidRDefault="00B13FBE">
            <w:pPr>
              <w:tabs>
                <w:tab w:val="left" w:pos="1558"/>
              </w:tabs>
              <w:spacing w:after="0"/>
              <w:ind w:right="143"/>
              <w:jc w:val="right"/>
              <w:rPr>
                <w:rFonts w:cs="Arial"/>
                <w:b/>
                <w:noProof/>
                <w:sz w:val="20"/>
              </w:rPr>
            </w:pPr>
            <w:r>
              <w:rPr>
                <w:noProof/>
                <w:sz w:val="20"/>
              </w:rPr>
              <w:t>–</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noProof/>
                <w:sz w:val="20"/>
              </w:rPr>
            </w:pPr>
            <w:r>
              <w:rPr>
                <w:bCs/>
                <w:noProof/>
                <w:sz w:val="20"/>
              </w:rPr>
              <w:t>Muut toiminnan kulut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Arial Unicode MS" w:cs="Arial"/>
                <w:b/>
                <w:noProof/>
                <w:sz w:val="20"/>
              </w:rPr>
            </w:pPr>
            <w:r>
              <w:rPr>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eastAsia="Arial Unicode MS" w:cs="Arial"/>
                <w:b/>
                <w:noProof/>
                <w:sz w:val="20"/>
              </w:rPr>
            </w:pPr>
            <w:r>
              <w:rPr>
                <w:noProof/>
                <w:sz w:val="20"/>
              </w:rPr>
              <w:t>(15 000)</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eastAsia="Arial Unicode MS" w:cs="Arial"/>
                <w:i/>
                <w:noProof/>
                <w:sz w:val="20"/>
              </w:rPr>
            </w:pPr>
            <w:r>
              <w:rPr>
                <w:i/>
                <w:noProof/>
                <w:sz w:val="20"/>
              </w:rPr>
              <w:t xml:space="preserve">     Tilintarkastuspalkkiot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cs="Arial"/>
                <w:i/>
                <w:noProof/>
                <w:sz w:val="20"/>
              </w:rPr>
            </w:pPr>
            <w:r>
              <w:rPr>
                <w:i/>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i/>
                <w:noProof/>
                <w:sz w:val="20"/>
              </w:rPr>
            </w:pPr>
            <w:r>
              <w:rPr>
                <w:i/>
                <w:noProof/>
                <w:sz w:val="20"/>
              </w:rPr>
              <w:t>(15 000)</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i/>
                <w:noProof/>
                <w:sz w:val="20"/>
                <w:lang w:eastAsia="ko-KR"/>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noProof/>
                <w:sz w:val="20"/>
              </w:rPr>
            </w:pPr>
            <w:r>
              <w:rPr>
                <w:b/>
                <w:bCs/>
                <w:noProof/>
                <w:sz w:val="20"/>
              </w:rPr>
              <w:t>TOIMINNAN TULOS</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cs="Arial"/>
                <w:b/>
                <w:noProof/>
                <w:sz w:val="20"/>
              </w:rPr>
            </w:pPr>
            <w:r>
              <w:rPr>
                <w:b/>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b/>
                <w:noProof/>
                <w:sz w:val="20"/>
              </w:rPr>
            </w:pPr>
            <w:r>
              <w:rPr>
                <w:b/>
                <w:noProof/>
                <w:sz w:val="20"/>
              </w:rPr>
              <w:t>(15 000)</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i/>
                <w:noProof/>
                <w:sz w:val="20"/>
                <w:lang w:eastAsia="ko-KR"/>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eastAsia="Arial Unicode MS" w:cs="Arial"/>
                <w:b/>
                <w:bCs/>
                <w:noProof/>
                <w:sz w:val="20"/>
              </w:rPr>
            </w:pPr>
            <w:r>
              <w:rPr>
                <w:b/>
                <w:bCs/>
                <w:noProof/>
                <w:sz w:val="20"/>
              </w:rPr>
              <w:t xml:space="preserve">Rahoitustuotot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Arial Unicode MS" w:cs="Arial"/>
                <w:b/>
                <w:noProof/>
                <w:sz w:val="20"/>
              </w:rPr>
            </w:pPr>
            <w:r>
              <w:rPr>
                <w:b/>
                <w:noProof/>
                <w:sz w:val="20"/>
              </w:rPr>
              <w:t>188 403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eastAsia="Arial Unicode MS" w:cs="Arial"/>
                <w:b/>
                <w:noProof/>
                <w:sz w:val="20"/>
              </w:rPr>
            </w:pPr>
            <w:r>
              <w:rPr>
                <w:b/>
                <w:noProof/>
                <w:sz w:val="20"/>
              </w:rPr>
              <w:t>(1 088)</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eastAsia="Arial Unicode MS" w:cs="Arial"/>
                <w:noProof/>
                <w:sz w:val="20"/>
              </w:rPr>
            </w:pPr>
            <w:r>
              <w:rPr>
                <w:noProof/>
                <w:sz w:val="20"/>
              </w:rPr>
              <w:t>Korkotuotot seuraavista: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Arial Unicode MS" w:cs="Arial"/>
                <w:noProof/>
                <w:sz w:val="20"/>
              </w:rPr>
            </w:pPr>
            <w:r>
              <w:rPr>
                <w:noProof/>
                <w:sz w:val="20"/>
              </w:rPr>
              <w:t>(54 689)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eastAsia="Arial Unicode MS" w:cs="Arial"/>
                <w:noProof/>
                <w:sz w:val="20"/>
              </w:rPr>
            </w:pPr>
            <w:r>
              <w:rPr>
                <w:noProof/>
                <w:sz w:val="20"/>
              </w:rPr>
              <w:t>(1 088)</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eastAsia="Arial Unicode MS" w:cs="Arial"/>
                <w:i/>
                <w:noProof/>
                <w:sz w:val="20"/>
              </w:rPr>
            </w:pPr>
            <w:r>
              <w:rPr>
                <w:i/>
                <w:noProof/>
                <w:sz w:val="20"/>
              </w:rPr>
              <w:t xml:space="preserve">     Käteisvarat ja muut rahavarat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i/>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i/>
                <w:noProof/>
                <w:sz w:val="20"/>
              </w:rPr>
            </w:pPr>
            <w:r>
              <w:rPr>
                <w:noProof/>
                <w:sz w:val="20"/>
              </w:rPr>
              <w:t>–</w:t>
            </w:r>
          </w:p>
        </w:tc>
      </w:tr>
      <w:tr w:rsidR="00A46550">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i/>
                <w:noProof/>
                <w:sz w:val="20"/>
              </w:rPr>
            </w:pPr>
            <w:r>
              <w:rPr>
                <w:i/>
                <w:noProof/>
                <w:sz w:val="20"/>
              </w:rPr>
              <w:t xml:space="preserve">     Myytävissä olevat varat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i/>
                <w:noProof/>
                <w:sz w:val="20"/>
              </w:rPr>
            </w:pPr>
            <w:r>
              <w:rPr>
                <w:i/>
                <w:noProof/>
                <w:sz w:val="20"/>
              </w:rPr>
              <w:t>(54 689)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i/>
                <w:noProof/>
                <w:sz w:val="20"/>
              </w:rPr>
            </w:pPr>
            <w:r>
              <w:rPr>
                <w:i/>
                <w:noProof/>
                <w:sz w:val="20"/>
              </w:rPr>
              <w:t>(1 088)</w:t>
            </w:r>
          </w:p>
        </w:tc>
      </w:tr>
      <w:tr w:rsidR="00A46550">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ind w:firstLine="284"/>
              <w:rPr>
                <w:rFonts w:cs="Arial"/>
                <w:i/>
                <w:noProof/>
                <w:sz w:val="20"/>
              </w:rPr>
            </w:pPr>
            <w:r>
              <w:rPr>
                <w:i/>
                <w:noProof/>
                <w:sz w:val="20"/>
              </w:rPr>
              <w:t>Muut korkotuotot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i/>
                <w:noProof/>
                <w:sz w:val="20"/>
              </w:rPr>
            </w:pPr>
            <w:r>
              <w:rPr>
                <w:i/>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i/>
                <w:noProof/>
                <w:sz w:val="20"/>
              </w:rPr>
            </w:pPr>
            <w:r>
              <w:rPr>
                <w:i/>
                <w:noProof/>
                <w:sz w:val="20"/>
              </w:rPr>
              <w:t>–</w:t>
            </w:r>
          </w:p>
        </w:tc>
      </w:tr>
      <w:tr w:rsidR="00A46550">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i/>
                <w:noProof/>
                <w:sz w:val="20"/>
                <w:lang w:eastAsia="ko-KR"/>
              </w:rPr>
            </w:pPr>
          </w:p>
        </w:tc>
      </w:tr>
      <w:tr w:rsidR="00A46550">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i/>
                <w:noProof/>
                <w:sz w:val="20"/>
              </w:rPr>
            </w:pPr>
            <w:r>
              <w:rPr>
                <w:noProof/>
                <w:sz w:val="20"/>
              </w:rPr>
              <w:t>Myytävissä olevien varojen realisoituneet myyntivoitot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i/>
                <w:noProof/>
                <w:sz w:val="20"/>
              </w:rPr>
            </w:pPr>
            <w:r>
              <w:rPr>
                <w:noProof/>
                <w:sz w:val="20"/>
              </w:rPr>
              <w:t>240 839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i/>
                <w:noProof/>
                <w:sz w:val="20"/>
              </w:rPr>
            </w:pPr>
            <w:r>
              <w:rPr>
                <w:i/>
                <w:noProof/>
                <w:sz w:val="20"/>
              </w:rPr>
              <w:t>–</w:t>
            </w:r>
          </w:p>
        </w:tc>
      </w:tr>
      <w:tr w:rsidR="00A46550">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i/>
                <w:noProof/>
                <w:sz w:val="20"/>
                <w:lang w:eastAsia="ko-KR"/>
              </w:rPr>
            </w:pPr>
          </w:p>
        </w:tc>
      </w:tr>
      <w:tr w:rsidR="00A46550">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i/>
                <w:noProof/>
                <w:sz w:val="20"/>
              </w:rPr>
            </w:pPr>
            <w:r>
              <w:rPr>
                <w:bCs/>
                <w:noProof/>
                <w:sz w:val="20"/>
              </w:rPr>
              <w:t>Arvopaperien antolainauksesta saadut tulot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i/>
                <w:noProof/>
                <w:sz w:val="20"/>
              </w:rPr>
            </w:pPr>
            <w:r>
              <w:rPr>
                <w:noProof/>
                <w:sz w:val="20"/>
              </w:rPr>
              <w:t>2 253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i/>
                <w:noProof/>
                <w:sz w:val="20"/>
              </w:rPr>
            </w:pPr>
            <w:r>
              <w:rPr>
                <w:i/>
                <w:noProof/>
                <w:sz w:val="20"/>
              </w:rPr>
              <w:t>–</w:t>
            </w:r>
          </w:p>
        </w:tc>
      </w:tr>
      <w:tr w:rsidR="00A46550">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i/>
                <w:noProof/>
                <w:sz w:val="20"/>
                <w:lang w:eastAsia="ko-KR"/>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eastAsia="Arial Unicode MS" w:cs="Arial"/>
                <w:b/>
                <w:bCs/>
                <w:noProof/>
                <w:sz w:val="20"/>
              </w:rPr>
            </w:pPr>
            <w:r>
              <w:rPr>
                <w:b/>
                <w:bCs/>
                <w:noProof/>
                <w:sz w:val="20"/>
              </w:rPr>
              <w:t xml:space="preserve">Rahoituskustannukset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Arial Unicode MS" w:cs="Arial"/>
                <w:b/>
                <w:noProof/>
                <w:sz w:val="20"/>
              </w:rPr>
            </w:pPr>
            <w:r>
              <w:rPr>
                <w:b/>
                <w:noProof/>
                <w:sz w:val="20"/>
              </w:rPr>
              <w:t>(448 536)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eastAsia="Arial Unicode MS" w:cs="Arial"/>
                <w:b/>
                <w:noProof/>
                <w:sz w:val="20"/>
              </w:rPr>
            </w:pPr>
            <w:r>
              <w:rPr>
                <w:b/>
                <w:noProof/>
                <w:sz w:val="20"/>
              </w:rPr>
              <w:t>(52 479)</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eastAsia="Times New Roman" w:cs="Arial"/>
                <w:bCs/>
                <w:noProof/>
                <w:sz w:val="20"/>
              </w:rPr>
            </w:pPr>
            <w:r>
              <w:rPr>
                <w:noProof/>
                <w:sz w:val="20"/>
              </w:rPr>
              <w:t>Korkomenot käteisvaroista ja muista rahavaroista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noProof/>
                <w:sz w:val="20"/>
              </w:rPr>
            </w:pPr>
            <w:r>
              <w:rPr>
                <w:noProof/>
                <w:sz w:val="20"/>
              </w:rPr>
              <w:t>(404 272)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b/>
                <w:noProof/>
                <w:sz w:val="20"/>
              </w:rPr>
            </w:pPr>
            <w:r>
              <w:rPr>
                <w:noProof/>
                <w:sz w:val="20"/>
              </w:rPr>
              <w:t>(50</w:t>
            </w:r>
            <w:r>
              <w:rPr>
                <w:noProof/>
                <w:sz w:val="20"/>
              </w:rPr>
              <w:t xml:space="preserve"> 958)</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eastAsia="Times New Roman"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b/>
                <w:noProof/>
                <w:sz w:val="20"/>
                <w:lang w:eastAsia="ko-KR"/>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b/>
                <w:bCs/>
                <w:noProof/>
                <w:sz w:val="20"/>
              </w:rPr>
            </w:pPr>
            <w:r>
              <w:rPr>
                <w:bCs/>
                <w:noProof/>
                <w:sz w:val="20"/>
              </w:rPr>
              <w:t>Myytävissä olevien varojen realisoituneet myyntitappiot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noProof/>
                <w:sz w:val="20"/>
              </w:rPr>
            </w:pPr>
            <w:r>
              <w:rPr>
                <w:noProof/>
                <w:sz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noProof/>
                <w:sz w:val="20"/>
              </w:rPr>
            </w:pPr>
            <w:r>
              <w:rPr>
                <w:i/>
                <w:noProof/>
                <w:sz w:val="20"/>
              </w:rPr>
              <w:t>–</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eastAsia="Times New Roman"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b/>
                <w:noProof/>
                <w:sz w:val="20"/>
                <w:lang w:eastAsia="ko-KR"/>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bCs/>
                <w:noProof/>
                <w:sz w:val="20"/>
              </w:rPr>
            </w:pPr>
            <w:r>
              <w:rPr>
                <w:bCs/>
                <w:noProof/>
                <w:sz w:val="20"/>
              </w:rPr>
              <w:t>Säilytyspalkkiot ja muut rahoituskulut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cs="Arial"/>
                <w:noProof/>
                <w:sz w:val="20"/>
              </w:rPr>
            </w:pPr>
            <w:r>
              <w:rPr>
                <w:noProof/>
                <w:sz w:val="20"/>
              </w:rPr>
              <w:t>(44 249)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noProof/>
                <w:sz w:val="20"/>
              </w:rPr>
            </w:pPr>
            <w:r>
              <w:rPr>
                <w:noProof/>
                <w:sz w:val="20"/>
              </w:rPr>
              <w:t>(1 521)</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eastAsia="Times New Roman" w:cs="Arial"/>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noProof/>
                <w:sz w:val="20"/>
                <w:lang w:eastAsia="ko-KR"/>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cs="Arial"/>
                <w:b/>
                <w:bCs/>
                <w:noProof/>
                <w:sz w:val="20"/>
              </w:rPr>
            </w:pPr>
            <w:r>
              <w:rPr>
                <w:b/>
                <w:bCs/>
                <w:noProof/>
                <w:sz w:val="20"/>
              </w:rPr>
              <w:t>RAHOITUSTOIMINNAN TULOS</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Arial Unicode MS" w:cs="Arial"/>
                <w:b/>
                <w:noProof/>
                <w:sz w:val="20"/>
              </w:rPr>
            </w:pPr>
            <w:r>
              <w:rPr>
                <w:b/>
                <w:noProof/>
                <w:sz w:val="20"/>
              </w:rPr>
              <w:t>(260 133)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eastAsia="Arial Unicode MS" w:cs="Arial"/>
                <w:b/>
                <w:noProof/>
                <w:sz w:val="20"/>
              </w:rPr>
            </w:pPr>
            <w:r>
              <w:rPr>
                <w:b/>
                <w:noProof/>
                <w:sz w:val="20"/>
              </w:rPr>
              <w:t>(53 567)</w:t>
            </w: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spacing w:after="0"/>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6550" w:rsidRDefault="00A46550">
            <w:pPr>
              <w:tabs>
                <w:tab w:val="left" w:pos="1558"/>
              </w:tabs>
              <w:spacing w:after="0"/>
              <w:ind w:right="143"/>
              <w:jc w:val="right"/>
              <w:rPr>
                <w:rFont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46550" w:rsidRDefault="00A46550">
            <w:pPr>
              <w:tabs>
                <w:tab w:val="left" w:pos="1558"/>
              </w:tabs>
              <w:spacing w:after="0"/>
              <w:ind w:right="143"/>
              <w:jc w:val="right"/>
              <w:rPr>
                <w:rFonts w:cs="Arial"/>
                <w:noProof/>
                <w:sz w:val="20"/>
              </w:rPr>
            </w:pPr>
          </w:p>
        </w:tc>
      </w:tr>
      <w:tr w:rsidR="00A46550">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spacing w:after="0"/>
              <w:rPr>
                <w:rFonts w:eastAsia="Arial Unicode MS" w:cs="Arial"/>
                <w:b/>
                <w:bCs/>
                <w:noProof/>
                <w:sz w:val="20"/>
              </w:rPr>
            </w:pPr>
            <w:r>
              <w:rPr>
                <w:b/>
                <w:bCs/>
                <w:noProof/>
                <w:sz w:val="20"/>
              </w:rPr>
              <w:t>VARAINHOITOVUODEN TALOUDELLINEN TULOS</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6550" w:rsidRDefault="00B13FBE">
            <w:pPr>
              <w:tabs>
                <w:tab w:val="left" w:pos="1558"/>
              </w:tabs>
              <w:spacing w:after="0"/>
              <w:ind w:right="143"/>
              <w:jc w:val="right"/>
              <w:rPr>
                <w:rFonts w:eastAsia="Times New Roman" w:cs="Arial"/>
                <w:b/>
                <w:noProof/>
                <w:sz w:val="20"/>
                <w:highlight w:val="yellow"/>
              </w:rPr>
            </w:pPr>
            <w:r>
              <w:rPr>
                <w:b/>
                <w:noProof/>
                <w:sz w:val="20"/>
              </w:rPr>
              <w:t>(275 133)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550" w:rsidRDefault="00B13FBE">
            <w:pPr>
              <w:tabs>
                <w:tab w:val="left" w:pos="1558"/>
              </w:tabs>
              <w:spacing w:after="0"/>
              <w:ind w:right="143"/>
              <w:jc w:val="right"/>
              <w:rPr>
                <w:rFonts w:cs="Arial"/>
                <w:b/>
                <w:noProof/>
                <w:sz w:val="20"/>
                <w:highlight w:val="yellow"/>
              </w:rPr>
            </w:pPr>
            <w:r>
              <w:rPr>
                <w:b/>
                <w:noProof/>
                <w:sz w:val="20"/>
              </w:rPr>
              <w:t>(68 567)</w:t>
            </w:r>
          </w:p>
        </w:tc>
      </w:tr>
    </w:tbl>
    <w:p w:rsidR="00A46550" w:rsidRDefault="00A46550">
      <w:pPr>
        <w:pStyle w:val="Footer"/>
        <w:tabs>
          <w:tab w:val="left" w:pos="708"/>
        </w:tabs>
        <w:rPr>
          <w:rFonts w:ascii="Arial" w:hAnsi="Arial" w:cs="Arial"/>
          <w:noProof/>
          <w:sz w:val="22"/>
          <w:szCs w:val="20"/>
        </w:rPr>
      </w:pPr>
    </w:p>
    <w:p w:rsidR="00A46550" w:rsidRDefault="00B13FBE">
      <w:pPr>
        <w:rPr>
          <w:noProof/>
        </w:rPr>
      </w:pPr>
      <w:r>
        <w:rPr>
          <w:noProof/>
        </w:rPr>
        <w:br w:type="page"/>
      </w:r>
    </w:p>
    <w:p w:rsidR="00A46550" w:rsidRDefault="00B13FBE">
      <w:pPr>
        <w:pStyle w:val="Heading2"/>
        <w:rPr>
          <w:noProof/>
        </w:rPr>
      </w:pPr>
      <w:bookmarkStart w:id="20" w:name="_Toc38891120"/>
      <w:bookmarkStart w:id="21" w:name="_Toc46996399"/>
      <w:r>
        <w:rPr>
          <w:noProof/>
        </w:rPr>
        <w:t xml:space="preserve">4.2. </w:t>
      </w:r>
      <w:r>
        <w:rPr>
          <w:noProof/>
        </w:rPr>
        <w:t>Takuurahaston rahoittaminen</w:t>
      </w:r>
      <w:bookmarkEnd w:id="20"/>
      <w:bookmarkEnd w:id="21"/>
    </w:p>
    <w:p w:rsidR="00A46550" w:rsidRDefault="00B13FBE">
      <w:pPr>
        <w:jc w:val="both"/>
        <w:rPr>
          <w:noProof/>
          <w:szCs w:val="24"/>
        </w:rPr>
      </w:pPr>
      <w:r>
        <w:rPr>
          <w:noProof/>
        </w:rPr>
        <w:t>EKKR-takuurahastoa rahoitetaan unionin talousarviosta ja Euroopan kehitysrahastosta (EKR). Nykyisessä monivuotisessa rahoituskehyksessä (2014–2020) EKKR-takuurahaston rahoituslähteitä ovat muun muassa seuraavat: 400 000 000 euro</w:t>
      </w:r>
      <w:r>
        <w:rPr>
          <w:noProof/>
        </w:rPr>
        <w:t>a EKR:n yleisestä varauksesta ja 350 000 000 euroa unionin yleisestä talousarviosta, mukaan lukien Euroopan naapuruusväline (ENI). EKKR-takuurahastoa voidaan rahoittaa myös jäsenvaltioiden tai muiden rahoittajien vapaaehtoisilla rahoitusosuuksilla, sijoite</w:t>
      </w:r>
      <w:r>
        <w:rPr>
          <w:noProof/>
        </w:rPr>
        <w:t>ttujen varojen tuotoilla, tuloilla ja takaisinmaksun laiminlyöneiltä velallisilta perityillä määrillä. Viro, Tšekki, Tanska sekä Bill ja Melinda Gates -säätiö olivat vuoden 2019 loppuun mennessä allekirjoittaneet sopimukset yhteensä noin 49 miljoonan euron</w:t>
      </w:r>
      <w:r>
        <w:rPr>
          <w:noProof/>
        </w:rPr>
        <w:t xml:space="preserve"> lisärahoituksesta</w:t>
      </w:r>
      <w:r>
        <w:rPr>
          <w:rStyle w:val="FootnoteReference"/>
          <w:noProof/>
          <w:szCs w:val="24"/>
        </w:rPr>
        <w:footnoteReference w:id="5"/>
      </w:r>
      <w:r>
        <w:rPr>
          <w:noProof/>
        </w:rPr>
        <w:t xml:space="preserve">. </w:t>
      </w:r>
    </w:p>
    <w:p w:rsidR="00A46550" w:rsidRDefault="00B13FBE">
      <w:pPr>
        <w:suppressAutoHyphens/>
        <w:jc w:val="both"/>
        <w:rPr>
          <w:noProof/>
          <w:szCs w:val="24"/>
        </w:rPr>
      </w:pPr>
      <w:r>
        <w:rPr>
          <w:noProof/>
        </w:rPr>
        <w:t xml:space="preserve">Takuurahasto perustettiin vuonna 2018, ja siihen suoritettiin ensimmäinen, 75 miljoonan euron suuruinen maksu marraskuussa 2018. EU:n talousarviosta takuurahastoon 31. joulukuuta 2019 mennessä suoritetut maksut ovat yhteensä 600,1 </w:t>
      </w:r>
      <w:r>
        <w:rPr>
          <w:noProof/>
        </w:rPr>
        <w:t>miljoonaa euroa. Vuoden 2019 loppuun mennessä EKKR-takuuta ei ollut käytetty.</w:t>
      </w:r>
    </w:p>
    <w:p w:rsidR="00A46550" w:rsidRDefault="00B13FBE">
      <w:pPr>
        <w:pStyle w:val="Heading1"/>
        <w:rPr>
          <w:noProof/>
        </w:rPr>
      </w:pPr>
      <w:bookmarkStart w:id="22" w:name="_Toc38891121"/>
      <w:bookmarkStart w:id="23" w:name="_Toc46996400"/>
      <w:r>
        <w:rPr>
          <w:noProof/>
        </w:rPr>
        <w:t>5. Arvio tavoitesumman riittävyydestä ja EKKR-takuurahaston varojen määrästä</w:t>
      </w:r>
      <w:bookmarkEnd w:id="22"/>
      <w:bookmarkEnd w:id="23"/>
      <w:r>
        <w:rPr>
          <w:noProof/>
        </w:rPr>
        <w:t xml:space="preserve"> </w:t>
      </w:r>
    </w:p>
    <w:p w:rsidR="00A46550" w:rsidRDefault="00B13FBE">
      <w:pPr>
        <w:jc w:val="both"/>
        <w:rPr>
          <w:noProof/>
        </w:rPr>
      </w:pPr>
      <w:r>
        <w:rPr>
          <w:noProof/>
        </w:rPr>
        <w:t>EKKR-takuusopimuksia oli tehty 31. joulukuuta 2019 mennessä yhteensä kolme. Niiden määrä on yhteensä</w:t>
      </w:r>
      <w:r>
        <w:rPr>
          <w:noProof/>
        </w:rPr>
        <w:t xml:space="preserve"> 165 miljoonaa euroa. Yksi niistä allekirjoitettiin vuonna 2018 ja kaksi vuonna 2019.</w:t>
      </w:r>
      <w:r>
        <w:rPr>
          <w:rStyle w:val="FootnoteReference"/>
          <w:noProof/>
        </w:rPr>
        <w:footnoteReference w:id="6"/>
      </w:r>
      <w:r>
        <w:rPr>
          <w:noProof/>
        </w:rPr>
        <w:t xml:space="preserve">  </w:t>
      </w:r>
    </w:p>
    <w:p w:rsidR="00A46550" w:rsidRDefault="00B13FBE">
      <w:pPr>
        <w:jc w:val="both"/>
        <w:rPr>
          <w:noProof/>
        </w:rPr>
      </w:pPr>
      <w:r>
        <w:rPr>
          <w:noProof/>
        </w:rPr>
        <w:t xml:space="preserve">EKKR-takuurahaston tavoitemääräksi on asetettu 50 prosenttia EU:n koko takausvelvoitteesta. EU:n talousarviosta takuurahastoon 31. joulukuuta 2019 mennessä suoritetut </w:t>
      </w:r>
      <w:r>
        <w:rPr>
          <w:noProof/>
        </w:rPr>
        <w:t xml:space="preserve">maksut olivat yhteensä 600,1 miljoonaa euroa, joten rahoitus kattaa allekirjoitettuihin takauksiin liittyvän riskin kokonaisuudessaan. </w:t>
      </w:r>
    </w:p>
    <w:p w:rsidR="00A46550" w:rsidRDefault="00B13FBE">
      <w:pPr>
        <w:jc w:val="both"/>
        <w:rPr>
          <w:noProof/>
          <w:szCs w:val="24"/>
        </w:rPr>
      </w:pPr>
      <w:r>
        <w:rPr>
          <w:noProof/>
        </w:rPr>
        <w:t>Komissiota tukee EKKR:n operatiivisessa hallinnoinnissa EKKR-asetuksen 4 artiklan 2 kohdan mukaisesti EKKR-takuuta käsit</w:t>
      </w:r>
      <w:r>
        <w:rPr>
          <w:noProof/>
        </w:rPr>
        <w:t>televä tekninen arviointiryhmä (G-TAG), joka koostuu useiden eurooppalaisten rahoituslaitosten luottoriskiasiantuntijoista. G-TAG-ryhmän tehtävänä on tarjota komissiolle riippumatonta ja puolueetonta teknistä asiantuntemusta pankkitoimintaan liittyvissä as</w:t>
      </w:r>
      <w:r>
        <w:rPr>
          <w:noProof/>
        </w:rPr>
        <w:t>ioissa helpottaakseen EKKR-takuun myöntämispäätösten tekemistä sekä riskien seurannassa takuun piirissä olevien hankkeiden toteutuksen aikana.</w:t>
      </w:r>
    </w:p>
    <w:p w:rsidR="00A46550" w:rsidRDefault="00A46550">
      <w:pPr>
        <w:rPr>
          <w:noProof/>
        </w:rPr>
      </w:pPr>
    </w:p>
    <w:sectPr w:rsidR="00A4655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50" w:rsidRDefault="00B13FBE">
      <w:pPr>
        <w:spacing w:after="0" w:line="240" w:lineRule="auto"/>
      </w:pPr>
      <w:r>
        <w:separator/>
      </w:r>
    </w:p>
  </w:endnote>
  <w:endnote w:type="continuationSeparator" w:id="0">
    <w:p w:rsidR="00A46550" w:rsidRDefault="00B13FBE">
      <w:pPr>
        <w:spacing w:after="0" w:line="240" w:lineRule="auto"/>
      </w:pPr>
      <w:r>
        <w:continuationSeparator/>
      </w:r>
    </w:p>
  </w:endnote>
  <w:endnote w:type="continuationNotice" w:id="1">
    <w:p w:rsidR="00A46550" w:rsidRDefault="00A46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B13FBE">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9673"/>
      <w:docPartObj>
        <w:docPartGallery w:val="Page Numbers (Bottom of Page)"/>
        <w:docPartUnique/>
      </w:docPartObj>
    </w:sdtPr>
    <w:sdtEndPr>
      <w:rPr>
        <w:noProof/>
      </w:rPr>
    </w:sdtEndPr>
    <w:sdtContent>
      <w:p w:rsidR="00A46550" w:rsidRDefault="00B13FBE">
        <w:pPr>
          <w:pStyle w:val="Footer"/>
          <w:jc w:val="right"/>
        </w:pPr>
        <w:r>
          <w:fldChar w:fldCharType="begin"/>
        </w:r>
        <w:r>
          <w:instrText xml:space="preserve"> PAGE   \* MERGEFORMAT </w:instrText>
        </w:r>
        <w:r>
          <w:fldChar w:fldCharType="separate"/>
        </w:r>
        <w:r>
          <w:rPr>
            <w:noProof/>
          </w:rPr>
          <w:t>1</w:t>
        </w:r>
        <w:r>
          <w:fldChar w:fldCharType="end"/>
        </w:r>
      </w:p>
    </w:sdtContent>
  </w:sdt>
  <w:p w:rsidR="00A46550" w:rsidRDefault="00A465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50" w:rsidRDefault="00B13FBE">
      <w:pPr>
        <w:spacing w:after="0" w:line="240" w:lineRule="auto"/>
      </w:pPr>
      <w:r>
        <w:separator/>
      </w:r>
    </w:p>
  </w:footnote>
  <w:footnote w:type="continuationSeparator" w:id="0">
    <w:p w:rsidR="00A46550" w:rsidRDefault="00B13FBE">
      <w:pPr>
        <w:spacing w:after="0" w:line="240" w:lineRule="auto"/>
      </w:pPr>
      <w:r>
        <w:continuationSeparator/>
      </w:r>
    </w:p>
  </w:footnote>
  <w:footnote w:type="continuationNotice" w:id="1">
    <w:p w:rsidR="00A46550" w:rsidRDefault="00A46550">
      <w:pPr>
        <w:spacing w:after="0" w:line="240" w:lineRule="auto"/>
      </w:pPr>
    </w:p>
  </w:footnote>
  <w:footnote w:id="2">
    <w:p w:rsidR="00A46550" w:rsidRDefault="00B13FBE">
      <w:pPr>
        <w:pStyle w:val="FootnoteText"/>
        <w:ind w:left="284" w:hanging="284"/>
        <w:jc w:val="both"/>
      </w:pPr>
      <w:r>
        <w:rPr>
          <w:rStyle w:val="FootnoteReference"/>
        </w:rPr>
        <w:footnoteRef/>
      </w:r>
      <w:r>
        <w:t xml:space="preserve"> Euroopan parlamentin ja neuvoston asetus (EU) 2017/1601, annettu 26 päivänä syyskuuta 2017, Euroopan kestävän kehityksen rahaston (EKKR), EKKR-takuun ja EKKR-takuurahaston perustamisesta.</w:t>
      </w:r>
    </w:p>
  </w:footnote>
  <w:footnote w:id="3">
    <w:p w:rsidR="00A46550" w:rsidRDefault="00B13FBE">
      <w:pPr>
        <w:pStyle w:val="FootnoteText"/>
        <w:ind w:left="284" w:hanging="284"/>
        <w:jc w:val="both"/>
      </w:pPr>
      <w:r>
        <w:rPr>
          <w:rStyle w:val="FootnoteReference"/>
        </w:rPr>
        <w:footnoteRef/>
      </w:r>
      <w:r>
        <w:t xml:space="preserve"> Komission kertomus Euroopan parlamentille ja neuvostolle Euroopan</w:t>
      </w:r>
      <w:r>
        <w:t xml:space="preserve"> kestävän kehityksen rahaston täytäntöönpanosta (COM(2020) 224). </w:t>
      </w:r>
    </w:p>
  </w:footnote>
  <w:footnote w:id="4">
    <w:p w:rsidR="00A46550" w:rsidRDefault="00B13FBE">
      <w:pPr>
        <w:pStyle w:val="FootnoteText"/>
        <w:ind w:left="284" w:hanging="284"/>
        <w:jc w:val="both"/>
      </w:pPr>
      <w:r>
        <w:rPr>
          <w:rStyle w:val="FootnoteReference"/>
        </w:rPr>
        <w:footnoteRef/>
      </w:r>
      <w:r>
        <w:t xml:space="preserve"> Tämä vastaa –0,103 %:n rahapainotettua tuottoa, jossa otetaan huomioon se, että EKKR-takuurahaston koko kasvoi merkittävästi vuonna 2019, koska se sai rahoitusosuuksia rahaston alkuvaihees</w:t>
      </w:r>
      <w:r>
        <w:t>sa. Rahapainotettu tuotto oli vuonna 2019 pienempi kuin 3.3 kohdassa tarkoitettu aikapainotettu tuotto. Aikapainotettu tuotto on kaikkien omaisuudenhoitotoimien osalta raportoitu virallinen tulos, koska se mahdollistaa sisään- ja ulosvirtausten aiheuttamie</w:t>
      </w:r>
      <w:r>
        <w:t>n vääristävien vaikutusten poiston.</w:t>
      </w:r>
    </w:p>
  </w:footnote>
  <w:footnote w:id="5">
    <w:p w:rsidR="00A46550" w:rsidRDefault="00B13FBE">
      <w:pPr>
        <w:pStyle w:val="FootnoteText"/>
        <w:ind w:left="284" w:hanging="284"/>
      </w:pPr>
      <w:r>
        <w:rPr>
          <w:rStyle w:val="FootnoteReference"/>
        </w:rPr>
        <w:footnoteRef/>
      </w:r>
      <w:r>
        <w:t xml:space="preserve"> Viro: 100 000 euroa; Tšekki: 300 000 euroa; Tanska: n. 9,4 miljoonaa euroa; Bill ja Melinda Gates -säätiö: noin 39,2 miljoonaa euroa (50 miljoonaa Yhdysvaltain dollaria), joista 19,2 miljoonaa euroa on jo maksettu.</w:t>
      </w:r>
    </w:p>
  </w:footnote>
  <w:footnote w:id="6">
    <w:p w:rsidR="00A46550" w:rsidRDefault="00B13FBE">
      <w:pPr>
        <w:pStyle w:val="FootnoteText"/>
        <w:ind w:left="284" w:hanging="284"/>
        <w:jc w:val="both"/>
      </w:pPr>
      <w:r>
        <w:rPr>
          <w:rStyle w:val="FootnoteReference"/>
        </w:rPr>
        <w:footnoteRef/>
      </w:r>
      <w:r>
        <w:t xml:space="preserve"> L</w:t>
      </w:r>
      <w:r>
        <w:t>isäksi huhtikuuhun 2020 mennessä oli allekirjoitettu vielä neljä sopimusta, joiden määrä on yhteensä 196 miljoonaa euroa.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0" w:rsidRDefault="00A4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4728B7"/>
    <w:multiLevelType w:val="hybridMultilevel"/>
    <w:tmpl w:val="66D0B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84776E4-FC2F-4547-8255-007EDB26ADAC"/>
    <w:docVar w:name="LW_COVERPAGE_TYPE" w:val="1"/>
    <w:docVar w:name="LW_CROSSREFERENCE" w:val="&lt;UNUSED&gt;"/>
    <w:docVar w:name="LW_DocType" w:val="NORMAL"/>
    <w:docVar w:name="LW_EMISSION" w:val="31.7.2020"/>
    <w:docVar w:name="LW_EMISSION_ISODATE" w:val="2020-07-31"/>
    <w:docVar w:name="LW_EMISSION_LOCATION" w:val="BRX"/>
    <w:docVar w:name="LW_EMISSION_PREFIX" w:val="Bryssel "/>
    <w:docVar w:name="LW_EMISSION_SUFFIX" w:val=" "/>
    <w:docVar w:name="LW_ID_DOCTYPE_NONLW" w:val="CP-035"/>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n kestävän kehityksen rahaston_x000d__x000b_takuurahaston hallinnoinnista_x000d__x000d__x000b_"/>
    <w:docVar w:name="LW_TYPE.DOC.CP" w:val="KOMISSION KERTOMUS EUROOPAN PARLAMENTILLE, NEUVOSTOLLE JA TILINTARKASTUSTUOMIOISTUIMELLE_x000b_"/>
  </w:docVars>
  <w:rsids>
    <w:rsidRoot w:val="00A46550"/>
    <w:rsid w:val="00A46550"/>
    <w:rsid w:val="00B1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D6BC21A-39A8-40D8-AB3A-6BFCEF05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600" w:after="360"/>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pPr>
      <w:keepNext/>
      <w:keepLines/>
      <w:spacing w:before="360" w:after="36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TOCHeading">
    <w:name w:val="TOC Heading"/>
    <w:basedOn w:val="Heading1"/>
    <w:next w:val="Normal"/>
    <w:link w:val="TOCHeadingChar"/>
    <w:uiPriority w:val="39"/>
    <w:unhideWhenUsed/>
    <w:qFormat/>
    <w:pPr>
      <w:spacing w:line="259" w:lineRule="auto"/>
      <w:outlineLvl w:val="9"/>
    </w:p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rFonts w:ascii="Times New Roman" w:hAnsi="Times New Roman"/>
      <w:sz w:val="20"/>
      <w:szCs w:val="20"/>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uiPriority w:val="99"/>
    <w:pPr>
      <w:spacing w:after="160" w:line="240" w:lineRule="exact"/>
    </w:pPr>
    <w:rPr>
      <w:rFonts w:asciiTheme="minorHAnsi" w:hAnsiTheme="minorHAnsi"/>
      <w:sz w:val="22"/>
      <w:vertAlign w:val="superscript"/>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spacing w:after="100"/>
      <w:ind w:left="24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OCHeadingChar">
    <w:name w:val="TOC Heading Char"/>
    <w:basedOn w:val="Heading1Char"/>
    <w:link w:val="TOCHeading"/>
    <w:uiPriority w:val="39"/>
    <w:rPr>
      <w:rFonts w:ascii="Times New Roman" w:eastAsiaTheme="majorEastAsia" w:hAnsi="Times New Roman" w:cstheme="majorBidi"/>
      <w:b/>
      <w:smallCaps/>
      <w:color w:val="000000" w:themeColor="text1"/>
      <w:sz w:val="28"/>
      <w:szCs w:val="32"/>
      <w:lang w:val="fi-FI"/>
    </w:rPr>
  </w:style>
  <w:style w:type="character" w:customStyle="1" w:styleId="FooterCoverPageChar">
    <w:name w:val="Footer Cover Page Char"/>
    <w:basedOn w:val="TOCHeadingChar"/>
    <w:link w:val="FooterCoverPage"/>
    <w:rPr>
      <w:rFonts w:ascii="Times New Roman" w:eastAsiaTheme="majorEastAsia" w:hAnsi="Times New Roman" w:cstheme="majorBidi"/>
      <w:b w:val="0"/>
      <w:smallCaps w:val="0"/>
      <w:color w:val="000000" w:themeColor="text1"/>
      <w:sz w:val="24"/>
      <w:szCs w:val="32"/>
      <w:lang w:val="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OCHeadingChar"/>
    <w:link w:val="FooterSensitivity"/>
    <w:rPr>
      <w:rFonts w:ascii="Times New Roman" w:eastAsiaTheme="majorEastAsia" w:hAnsi="Times New Roman" w:cstheme="majorBidi"/>
      <w:b/>
      <w:smallCaps w:val="0"/>
      <w:color w:val="000000" w:themeColor="text1"/>
      <w:sz w:val="32"/>
      <w:szCs w:val="32"/>
      <w:lang w:val="fi-FI"/>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OCHeadingChar"/>
    <w:link w:val="HeaderCoverPage"/>
    <w:rPr>
      <w:rFonts w:ascii="Times New Roman" w:eastAsiaTheme="majorEastAsia" w:hAnsi="Times New Roman" w:cstheme="majorBidi"/>
      <w:b w:val="0"/>
      <w:smallCaps w:val="0"/>
      <w:color w:val="000000" w:themeColor="text1"/>
      <w:sz w:val="24"/>
      <w:szCs w:val="32"/>
      <w:lang w:val="fi-F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OCHeadingChar"/>
    <w:link w:val="HeaderSensitivity"/>
    <w:rPr>
      <w:rFonts w:ascii="Times New Roman" w:eastAsiaTheme="majorEastAsia" w:hAnsi="Times New Roman" w:cstheme="majorBidi"/>
      <w:b/>
      <w:smallCaps w:val="0"/>
      <w:color w:val="000000" w:themeColor="text1"/>
      <w:sz w:val="32"/>
      <w:szCs w:val="32"/>
      <w:lang w:val="fi-FI"/>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heme="majorBidi"/>
      <w:b w:val="0"/>
      <w:smallCaps w:val="0"/>
      <w:color w:val="000000" w:themeColor="text1"/>
      <w:sz w:val="28"/>
      <w:szCs w:val="32"/>
      <w:lang w:val="fi-F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galNumPar">
    <w:name w:val="LegalNumPar"/>
    <w:basedOn w:val="Normal"/>
    <w:pPr>
      <w:numPr>
        <w:numId w:val="4"/>
      </w:numPr>
      <w:spacing w:line="360" w:lineRule="auto"/>
    </w:pPr>
  </w:style>
  <w:style w:type="paragraph" w:customStyle="1" w:styleId="LegalNumPar2">
    <w:name w:val="LegalNumPar2"/>
    <w:basedOn w:val="Normal"/>
    <w:pPr>
      <w:numPr>
        <w:ilvl w:val="1"/>
        <w:numId w:val="4"/>
      </w:numPr>
      <w:spacing w:line="360" w:lineRule="auto"/>
    </w:pPr>
  </w:style>
  <w:style w:type="paragraph" w:customStyle="1" w:styleId="LegalNumPar3">
    <w:name w:val="LegalNumPar3"/>
    <w:basedOn w:val="Normal"/>
    <w:pPr>
      <w:numPr>
        <w:ilvl w:val="2"/>
        <w:numId w:val="4"/>
      </w:numPr>
      <w:spacing w:line="360" w:lineRule="auto"/>
    </w:pPr>
  </w:style>
  <w:style w:type="paragraph" w:styleId="ListParagraph">
    <w:name w:val="List Paragraph"/>
    <w:basedOn w:val="Normal"/>
    <w:uiPriority w:val="34"/>
    <w:qFormat/>
    <w:pPr>
      <w:spacing w:after="0" w:line="240" w:lineRule="auto"/>
      <w:ind w:left="720"/>
    </w:pPr>
    <w:rPr>
      <w:rFonts w:ascii="Calibri" w:hAnsi="Calibri" w:cs="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e24kjd">
    <w:name w:val="e24kj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6252">
      <w:bodyDiv w:val="1"/>
      <w:marLeft w:val="0"/>
      <w:marRight w:val="0"/>
      <w:marTop w:val="0"/>
      <w:marBottom w:val="0"/>
      <w:divBdr>
        <w:top w:val="none" w:sz="0" w:space="0" w:color="auto"/>
        <w:left w:val="none" w:sz="0" w:space="0" w:color="auto"/>
        <w:bottom w:val="none" w:sz="0" w:space="0" w:color="auto"/>
        <w:right w:val="none" w:sz="0" w:space="0" w:color="auto"/>
      </w:divBdr>
    </w:div>
    <w:div w:id="992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cid:image001.jpg@01D6134B.2AD5AD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cec/sg/vista/home?documentDetails&amp;DocRef=C/2017/7693&amp;ComCat=SPINE"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B351-973F-4983-ADAF-EF4CE317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1367</Words>
  <Characters>10649</Characters>
  <Application>Microsoft Office Word</Application>
  <DocSecurity>0</DocSecurity>
  <Lines>394</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18</cp:revision>
  <dcterms:created xsi:type="dcterms:W3CDTF">2020-07-17T11:55:00Z</dcterms:created>
  <dcterms:modified xsi:type="dcterms:W3CDTF">2020-07-31T06:09:00Z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7.0.1, Build 20190916</vt:lpwstr>
  </property>
</Properties>
</file>