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5EE" w:rsidRDefault="00D6176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37CE190-6145-4A0D-BDB3-608C4E892B5C" style="width:450.6pt;height:307.2pt">
            <v:imagedata r:id="rId8" o:title=""/>
          </v:shape>
        </w:pict>
      </w:r>
    </w:p>
    <w:bookmarkEnd w:id="0"/>
    <w:p w:rsidR="005C65EE" w:rsidRDefault="005C65EE">
      <w:pPr>
        <w:rPr>
          <w:noProof/>
        </w:rPr>
        <w:sectPr w:rsidR="005C65EE">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5C65EE" w:rsidRDefault="005C65EE">
      <w:pPr>
        <w:pStyle w:val="TOCHeading"/>
        <w:rPr>
          <w:rFonts w:eastAsiaTheme="minorHAnsi" w:cstheme="minorBidi"/>
          <w:b w:val="0"/>
          <w:smallCaps w:val="0"/>
          <w:noProof/>
          <w:color w:val="auto"/>
          <w:sz w:val="24"/>
          <w:szCs w:val="22"/>
          <w:lang w:val="en-GB"/>
        </w:rPr>
      </w:pPr>
    </w:p>
    <w:sdt>
      <w:sdtPr>
        <w:rPr>
          <w:rFonts w:eastAsiaTheme="minorHAnsi" w:cstheme="minorBidi"/>
          <w:b w:val="0"/>
          <w:smallCaps w:val="0"/>
          <w:noProof/>
          <w:color w:val="auto"/>
          <w:sz w:val="24"/>
          <w:szCs w:val="22"/>
        </w:rPr>
        <w:id w:val="-255520447"/>
        <w:docPartObj>
          <w:docPartGallery w:val="Table of Contents"/>
          <w:docPartUnique/>
        </w:docPartObj>
      </w:sdtPr>
      <w:sdtEndPr>
        <w:rPr>
          <w:bCs/>
        </w:rPr>
      </w:sdtEndPr>
      <w:sdtContent>
        <w:p w:rsidR="005C65EE" w:rsidRDefault="00D61767">
          <w:pPr>
            <w:pStyle w:val="TOCHeading"/>
            <w:rPr>
              <w:noProof/>
            </w:rPr>
          </w:pPr>
          <w:r>
            <w:rPr>
              <w:noProof/>
            </w:rPr>
            <w:t>Vsebina</w:t>
          </w:r>
        </w:p>
        <w:p w:rsidR="005C65EE" w:rsidRDefault="00D61767">
          <w:pPr>
            <w:pStyle w:val="TOC1"/>
            <w:tabs>
              <w:tab w:val="right" w:leader="dot" w:pos="9062"/>
            </w:tabs>
            <w:rPr>
              <w:rFonts w:asciiTheme="minorHAnsi" w:eastAsiaTheme="minorEastAsia" w:hAnsiTheme="minorHAnsi"/>
              <w:noProof/>
              <w:sz w:val="22"/>
              <w:lang w:eastAsia="sl-SI"/>
            </w:rPr>
          </w:pPr>
          <w:r>
            <w:rPr>
              <w:noProof/>
            </w:rPr>
            <w:fldChar w:fldCharType="begin"/>
          </w:r>
          <w:r>
            <w:rPr>
              <w:noProof/>
            </w:rPr>
            <w:instrText xml:space="preserve"> TOC \o "1-3" \h \z \u </w:instrText>
          </w:r>
          <w:r>
            <w:rPr>
              <w:noProof/>
            </w:rPr>
            <w:fldChar w:fldCharType="separate"/>
          </w:r>
          <w:hyperlink w:anchor="_Toc46389759" w:history="1">
            <w:r>
              <w:rPr>
                <w:rStyle w:val="Hyperlink"/>
                <w:noProof/>
              </w:rPr>
              <w:t>1. Uvod</w:t>
            </w:r>
            <w:r>
              <w:rPr>
                <w:noProof/>
                <w:webHidden/>
              </w:rPr>
              <w:tab/>
            </w:r>
            <w:r>
              <w:rPr>
                <w:noProof/>
                <w:webHidden/>
              </w:rPr>
              <w:fldChar w:fldCharType="begin"/>
            </w:r>
            <w:r>
              <w:rPr>
                <w:noProof/>
                <w:webHidden/>
              </w:rPr>
              <w:instrText xml:space="preserve"> PAGEREF _Toc46389759 \h </w:instrText>
            </w:r>
            <w:r>
              <w:rPr>
                <w:noProof/>
                <w:webHidden/>
              </w:rPr>
            </w:r>
            <w:r>
              <w:rPr>
                <w:noProof/>
                <w:webHidden/>
              </w:rPr>
              <w:fldChar w:fldCharType="separate"/>
            </w:r>
            <w:r>
              <w:rPr>
                <w:noProof/>
                <w:webHidden/>
              </w:rPr>
              <w:t>2</w:t>
            </w:r>
            <w:r>
              <w:rPr>
                <w:noProof/>
                <w:webHidden/>
              </w:rPr>
              <w:fldChar w:fldCharType="end"/>
            </w:r>
          </w:hyperlink>
        </w:p>
        <w:p w:rsidR="005C65EE" w:rsidRDefault="00D61767">
          <w:pPr>
            <w:pStyle w:val="TOC1"/>
            <w:tabs>
              <w:tab w:val="right" w:leader="dot" w:pos="9062"/>
            </w:tabs>
            <w:rPr>
              <w:rFonts w:asciiTheme="minorHAnsi" w:eastAsiaTheme="minorEastAsia" w:hAnsiTheme="minorHAnsi"/>
              <w:noProof/>
              <w:sz w:val="22"/>
              <w:lang w:eastAsia="sl-SI"/>
            </w:rPr>
          </w:pPr>
          <w:hyperlink w:anchor="_Toc46389760" w:history="1">
            <w:r>
              <w:rPr>
                <w:rStyle w:val="Hyperlink"/>
                <w:noProof/>
              </w:rPr>
              <w:t>2. Operativni okvir</w:t>
            </w:r>
            <w:r>
              <w:rPr>
                <w:noProof/>
                <w:webHidden/>
              </w:rPr>
              <w:tab/>
            </w:r>
            <w:r>
              <w:rPr>
                <w:noProof/>
                <w:webHidden/>
              </w:rPr>
              <w:fldChar w:fldCharType="begin"/>
            </w:r>
            <w:r>
              <w:rPr>
                <w:noProof/>
                <w:webHidden/>
              </w:rPr>
              <w:instrText xml:space="preserve"> PAGEREF _Toc46389760 \h </w:instrText>
            </w:r>
            <w:r>
              <w:rPr>
                <w:noProof/>
                <w:webHidden/>
              </w:rPr>
            </w:r>
            <w:r>
              <w:rPr>
                <w:noProof/>
                <w:webHidden/>
              </w:rPr>
              <w:fldChar w:fldCharType="separate"/>
            </w:r>
            <w:r>
              <w:rPr>
                <w:noProof/>
                <w:webHidden/>
              </w:rPr>
              <w:t>2</w:t>
            </w:r>
            <w:r>
              <w:rPr>
                <w:noProof/>
                <w:webHidden/>
              </w:rPr>
              <w:fldChar w:fldCharType="end"/>
            </w:r>
          </w:hyperlink>
        </w:p>
        <w:p w:rsidR="005C65EE" w:rsidRDefault="00D61767">
          <w:pPr>
            <w:pStyle w:val="TOC1"/>
            <w:tabs>
              <w:tab w:val="right" w:leader="dot" w:pos="9062"/>
            </w:tabs>
            <w:rPr>
              <w:rFonts w:asciiTheme="minorHAnsi" w:eastAsiaTheme="minorEastAsia" w:hAnsiTheme="minorHAnsi"/>
              <w:noProof/>
              <w:sz w:val="22"/>
              <w:lang w:eastAsia="sl-SI"/>
            </w:rPr>
          </w:pPr>
          <w:hyperlink w:anchor="_Toc46389761" w:history="1">
            <w:r>
              <w:rPr>
                <w:rStyle w:val="Hyperlink"/>
                <w:noProof/>
              </w:rPr>
              <w:t>3. Upravljanje</w:t>
            </w:r>
            <w:r>
              <w:rPr>
                <w:rStyle w:val="Hyperlink"/>
                <w:noProof/>
              </w:rPr>
              <w:t xml:space="preserve"> jamstvenega sklada EFSD v letu 2019</w:t>
            </w:r>
            <w:r>
              <w:rPr>
                <w:noProof/>
                <w:webHidden/>
              </w:rPr>
              <w:tab/>
            </w:r>
            <w:r>
              <w:rPr>
                <w:noProof/>
                <w:webHidden/>
              </w:rPr>
              <w:fldChar w:fldCharType="begin"/>
            </w:r>
            <w:r>
              <w:rPr>
                <w:noProof/>
                <w:webHidden/>
              </w:rPr>
              <w:instrText xml:space="preserve"> PAGEREF _Toc46389761 \h </w:instrText>
            </w:r>
            <w:r>
              <w:rPr>
                <w:noProof/>
                <w:webHidden/>
              </w:rPr>
            </w:r>
            <w:r>
              <w:rPr>
                <w:noProof/>
                <w:webHidden/>
              </w:rPr>
              <w:fldChar w:fldCharType="separate"/>
            </w:r>
            <w:r>
              <w:rPr>
                <w:noProof/>
                <w:webHidden/>
              </w:rPr>
              <w:t>3</w:t>
            </w:r>
            <w:r>
              <w:rPr>
                <w:noProof/>
                <w:webHidden/>
              </w:rPr>
              <w:fldChar w:fldCharType="end"/>
            </w:r>
          </w:hyperlink>
        </w:p>
        <w:p w:rsidR="005C65EE" w:rsidRDefault="00D61767">
          <w:pPr>
            <w:pStyle w:val="TOC2"/>
            <w:tabs>
              <w:tab w:val="right" w:leader="dot" w:pos="9062"/>
            </w:tabs>
            <w:rPr>
              <w:rFonts w:asciiTheme="minorHAnsi" w:eastAsiaTheme="minorEastAsia" w:hAnsiTheme="minorHAnsi"/>
              <w:noProof/>
              <w:sz w:val="22"/>
              <w:lang w:eastAsia="sl-SI"/>
            </w:rPr>
          </w:pPr>
          <w:hyperlink w:anchor="_Toc46389762" w:history="1">
            <w:r>
              <w:rPr>
                <w:rStyle w:val="Hyperlink"/>
                <w:noProof/>
              </w:rPr>
              <w:t>3.1. Finančno upravljanje</w:t>
            </w:r>
            <w:r>
              <w:rPr>
                <w:noProof/>
                <w:webHidden/>
              </w:rPr>
              <w:tab/>
            </w:r>
            <w:r>
              <w:rPr>
                <w:noProof/>
                <w:webHidden/>
              </w:rPr>
              <w:fldChar w:fldCharType="begin"/>
            </w:r>
            <w:r>
              <w:rPr>
                <w:noProof/>
                <w:webHidden/>
              </w:rPr>
              <w:instrText xml:space="preserve"> PAGEREF _Toc46389762 \h </w:instrText>
            </w:r>
            <w:r>
              <w:rPr>
                <w:noProof/>
                <w:webHidden/>
              </w:rPr>
            </w:r>
            <w:r>
              <w:rPr>
                <w:noProof/>
                <w:webHidden/>
              </w:rPr>
              <w:fldChar w:fldCharType="separate"/>
            </w:r>
            <w:r>
              <w:rPr>
                <w:noProof/>
                <w:webHidden/>
              </w:rPr>
              <w:t>3</w:t>
            </w:r>
            <w:r>
              <w:rPr>
                <w:noProof/>
                <w:webHidden/>
              </w:rPr>
              <w:fldChar w:fldCharType="end"/>
            </w:r>
          </w:hyperlink>
        </w:p>
        <w:p w:rsidR="005C65EE" w:rsidRDefault="00D61767">
          <w:pPr>
            <w:pStyle w:val="TOC2"/>
            <w:tabs>
              <w:tab w:val="right" w:leader="dot" w:pos="9062"/>
            </w:tabs>
            <w:rPr>
              <w:rFonts w:asciiTheme="minorHAnsi" w:eastAsiaTheme="minorEastAsia" w:hAnsiTheme="minorHAnsi"/>
              <w:noProof/>
              <w:sz w:val="22"/>
              <w:lang w:eastAsia="sl-SI"/>
            </w:rPr>
          </w:pPr>
          <w:hyperlink w:anchor="_Toc46389763" w:history="1">
            <w:r>
              <w:rPr>
                <w:rStyle w:val="Hyperlink"/>
                <w:noProof/>
              </w:rPr>
              <w:t>3.2. Sestava in ključne značilnosti portfelja</w:t>
            </w:r>
            <w:r>
              <w:rPr>
                <w:noProof/>
                <w:webHidden/>
              </w:rPr>
              <w:tab/>
            </w:r>
            <w:r>
              <w:rPr>
                <w:noProof/>
                <w:webHidden/>
              </w:rPr>
              <w:fldChar w:fldCharType="begin"/>
            </w:r>
            <w:r>
              <w:rPr>
                <w:noProof/>
                <w:webHidden/>
              </w:rPr>
              <w:instrText xml:space="preserve"> PAGEREF _Toc46389763 \h </w:instrText>
            </w:r>
            <w:r>
              <w:rPr>
                <w:noProof/>
                <w:webHidden/>
              </w:rPr>
            </w:r>
            <w:r>
              <w:rPr>
                <w:noProof/>
                <w:webHidden/>
              </w:rPr>
              <w:fldChar w:fldCharType="separate"/>
            </w:r>
            <w:r>
              <w:rPr>
                <w:noProof/>
                <w:webHidden/>
              </w:rPr>
              <w:t>3</w:t>
            </w:r>
            <w:r>
              <w:rPr>
                <w:noProof/>
                <w:webHidden/>
              </w:rPr>
              <w:fldChar w:fldCharType="end"/>
            </w:r>
          </w:hyperlink>
        </w:p>
        <w:p w:rsidR="005C65EE" w:rsidRDefault="00D61767">
          <w:pPr>
            <w:pStyle w:val="TOC2"/>
            <w:tabs>
              <w:tab w:val="right" w:leader="dot" w:pos="9062"/>
            </w:tabs>
            <w:rPr>
              <w:rFonts w:asciiTheme="minorHAnsi" w:eastAsiaTheme="minorEastAsia" w:hAnsiTheme="minorHAnsi"/>
              <w:noProof/>
              <w:sz w:val="22"/>
              <w:lang w:eastAsia="sl-SI"/>
            </w:rPr>
          </w:pPr>
          <w:hyperlink w:anchor="_Toc46389764" w:history="1">
            <w:r>
              <w:rPr>
                <w:rStyle w:val="Hyperlink"/>
                <w:noProof/>
              </w:rPr>
              <w:t>3.3. Donosnost</w:t>
            </w:r>
            <w:bookmarkStart w:id="1" w:name="_GoBack"/>
            <w:bookmarkEnd w:id="1"/>
            <w:r>
              <w:rPr>
                <w:noProof/>
                <w:webHidden/>
              </w:rPr>
              <w:tab/>
            </w:r>
            <w:r>
              <w:rPr>
                <w:noProof/>
                <w:webHidden/>
              </w:rPr>
              <w:fldChar w:fldCharType="begin"/>
            </w:r>
            <w:r>
              <w:rPr>
                <w:noProof/>
                <w:webHidden/>
              </w:rPr>
              <w:instrText xml:space="preserve"> PAGEREF _Toc46389764 \h </w:instrText>
            </w:r>
            <w:r>
              <w:rPr>
                <w:noProof/>
                <w:webHidden/>
              </w:rPr>
            </w:r>
            <w:r>
              <w:rPr>
                <w:noProof/>
                <w:webHidden/>
              </w:rPr>
              <w:fldChar w:fldCharType="separate"/>
            </w:r>
            <w:r>
              <w:rPr>
                <w:noProof/>
                <w:webHidden/>
              </w:rPr>
              <w:t>4</w:t>
            </w:r>
            <w:r>
              <w:rPr>
                <w:noProof/>
                <w:webHidden/>
              </w:rPr>
              <w:fldChar w:fldCharType="end"/>
            </w:r>
          </w:hyperlink>
        </w:p>
        <w:p w:rsidR="005C65EE" w:rsidRDefault="00D61767">
          <w:pPr>
            <w:pStyle w:val="TOC1"/>
            <w:tabs>
              <w:tab w:val="right" w:leader="dot" w:pos="9062"/>
            </w:tabs>
            <w:rPr>
              <w:rFonts w:asciiTheme="minorHAnsi" w:eastAsiaTheme="minorEastAsia" w:hAnsiTheme="minorHAnsi"/>
              <w:noProof/>
              <w:sz w:val="22"/>
              <w:lang w:eastAsia="sl-SI"/>
            </w:rPr>
          </w:pPr>
          <w:hyperlink w:anchor="_Toc46389765" w:history="1">
            <w:r>
              <w:rPr>
                <w:rStyle w:val="Hyperlink"/>
                <w:noProof/>
              </w:rPr>
              <w:t>4. Finančni računi</w:t>
            </w:r>
            <w:r>
              <w:rPr>
                <w:noProof/>
                <w:webHidden/>
              </w:rPr>
              <w:tab/>
            </w:r>
            <w:r>
              <w:rPr>
                <w:noProof/>
                <w:webHidden/>
              </w:rPr>
              <w:fldChar w:fldCharType="begin"/>
            </w:r>
            <w:r>
              <w:rPr>
                <w:noProof/>
                <w:webHidden/>
              </w:rPr>
              <w:instrText xml:space="preserve"> PAGEREF _Toc46389765 \h </w:instrText>
            </w:r>
            <w:r>
              <w:rPr>
                <w:noProof/>
                <w:webHidden/>
              </w:rPr>
            </w:r>
            <w:r>
              <w:rPr>
                <w:noProof/>
                <w:webHidden/>
              </w:rPr>
              <w:fldChar w:fldCharType="separate"/>
            </w:r>
            <w:r>
              <w:rPr>
                <w:noProof/>
                <w:webHidden/>
              </w:rPr>
              <w:t>4</w:t>
            </w:r>
            <w:r>
              <w:rPr>
                <w:noProof/>
                <w:webHidden/>
              </w:rPr>
              <w:fldChar w:fldCharType="end"/>
            </w:r>
          </w:hyperlink>
        </w:p>
        <w:p w:rsidR="005C65EE" w:rsidRDefault="00D61767">
          <w:pPr>
            <w:pStyle w:val="TOC2"/>
            <w:tabs>
              <w:tab w:val="right" w:leader="dot" w:pos="9062"/>
            </w:tabs>
            <w:rPr>
              <w:rFonts w:asciiTheme="minorHAnsi" w:eastAsiaTheme="minorEastAsia" w:hAnsiTheme="minorHAnsi"/>
              <w:noProof/>
              <w:sz w:val="22"/>
              <w:lang w:eastAsia="sl-SI"/>
            </w:rPr>
          </w:pPr>
          <w:hyperlink w:anchor="_Toc46389766" w:history="1">
            <w:r>
              <w:rPr>
                <w:rStyle w:val="Hyperlink"/>
                <w:noProof/>
              </w:rPr>
              <w:t>4.1. Računovodski izkazi jamstvenega sklada EFSD na dan 31. decembra 2019</w:t>
            </w:r>
            <w:r>
              <w:rPr>
                <w:noProof/>
                <w:webHidden/>
              </w:rPr>
              <w:tab/>
            </w:r>
            <w:r>
              <w:rPr>
                <w:noProof/>
                <w:webHidden/>
              </w:rPr>
              <w:fldChar w:fldCharType="begin"/>
            </w:r>
            <w:r>
              <w:rPr>
                <w:noProof/>
                <w:webHidden/>
              </w:rPr>
              <w:instrText xml:space="preserve"> PAGEREF _Toc46389766 \h </w:instrText>
            </w:r>
            <w:r>
              <w:rPr>
                <w:noProof/>
                <w:webHidden/>
              </w:rPr>
            </w:r>
            <w:r>
              <w:rPr>
                <w:noProof/>
                <w:webHidden/>
              </w:rPr>
              <w:fldChar w:fldCharType="separate"/>
            </w:r>
            <w:r>
              <w:rPr>
                <w:noProof/>
                <w:webHidden/>
              </w:rPr>
              <w:t>4</w:t>
            </w:r>
            <w:r>
              <w:rPr>
                <w:noProof/>
                <w:webHidden/>
              </w:rPr>
              <w:fldChar w:fldCharType="end"/>
            </w:r>
          </w:hyperlink>
        </w:p>
        <w:p w:rsidR="005C65EE" w:rsidRDefault="00D61767">
          <w:pPr>
            <w:pStyle w:val="TOC2"/>
            <w:tabs>
              <w:tab w:val="right" w:leader="dot" w:pos="9062"/>
            </w:tabs>
            <w:rPr>
              <w:rFonts w:asciiTheme="minorHAnsi" w:eastAsiaTheme="minorEastAsia" w:hAnsiTheme="minorHAnsi"/>
              <w:noProof/>
              <w:sz w:val="22"/>
              <w:lang w:eastAsia="sl-SI"/>
            </w:rPr>
          </w:pPr>
          <w:hyperlink w:anchor="_Toc46389767" w:history="1">
            <w:r>
              <w:rPr>
                <w:rStyle w:val="Hyperlink"/>
                <w:noProof/>
              </w:rPr>
              <w:t>4.2. Oblikovanje rezervacij</w:t>
            </w:r>
            <w:r>
              <w:rPr>
                <w:noProof/>
                <w:webHidden/>
              </w:rPr>
              <w:tab/>
            </w:r>
            <w:r>
              <w:rPr>
                <w:noProof/>
                <w:webHidden/>
              </w:rPr>
              <w:fldChar w:fldCharType="begin"/>
            </w:r>
            <w:r>
              <w:rPr>
                <w:noProof/>
                <w:webHidden/>
              </w:rPr>
              <w:instrText xml:space="preserve"> PAGEREF _Toc46389767 \h </w:instrText>
            </w:r>
            <w:r>
              <w:rPr>
                <w:noProof/>
                <w:webHidden/>
              </w:rPr>
            </w:r>
            <w:r>
              <w:rPr>
                <w:noProof/>
                <w:webHidden/>
              </w:rPr>
              <w:fldChar w:fldCharType="separate"/>
            </w:r>
            <w:r>
              <w:rPr>
                <w:noProof/>
                <w:webHidden/>
              </w:rPr>
              <w:t>7</w:t>
            </w:r>
            <w:r>
              <w:rPr>
                <w:noProof/>
                <w:webHidden/>
              </w:rPr>
              <w:fldChar w:fldCharType="end"/>
            </w:r>
          </w:hyperlink>
        </w:p>
        <w:p w:rsidR="005C65EE" w:rsidRDefault="00D61767">
          <w:pPr>
            <w:pStyle w:val="TOC1"/>
            <w:tabs>
              <w:tab w:val="right" w:leader="dot" w:pos="9062"/>
            </w:tabs>
            <w:rPr>
              <w:rFonts w:asciiTheme="minorHAnsi" w:eastAsiaTheme="minorEastAsia" w:hAnsiTheme="minorHAnsi"/>
              <w:noProof/>
              <w:sz w:val="22"/>
              <w:lang w:eastAsia="sl-SI"/>
            </w:rPr>
          </w:pPr>
          <w:hyperlink w:anchor="_Toc46389768" w:history="1">
            <w:r>
              <w:rPr>
                <w:rStyle w:val="Hyperlink"/>
                <w:noProof/>
              </w:rPr>
              <w:t xml:space="preserve">5. </w:t>
            </w:r>
            <w:r>
              <w:rPr>
                <w:rStyle w:val="Hyperlink"/>
                <w:noProof/>
              </w:rPr>
              <w:t>Ocena ustreznosti ciljnega zneska in ravni sredstev v jamstvenem skladu EFSD</w:t>
            </w:r>
            <w:r>
              <w:rPr>
                <w:noProof/>
                <w:webHidden/>
              </w:rPr>
              <w:tab/>
            </w:r>
            <w:r>
              <w:rPr>
                <w:noProof/>
                <w:webHidden/>
              </w:rPr>
              <w:fldChar w:fldCharType="begin"/>
            </w:r>
            <w:r>
              <w:rPr>
                <w:noProof/>
                <w:webHidden/>
              </w:rPr>
              <w:instrText xml:space="preserve"> PAGEREF _Toc46389768 \h </w:instrText>
            </w:r>
            <w:r>
              <w:rPr>
                <w:noProof/>
                <w:webHidden/>
              </w:rPr>
            </w:r>
            <w:r>
              <w:rPr>
                <w:noProof/>
                <w:webHidden/>
              </w:rPr>
              <w:fldChar w:fldCharType="separate"/>
            </w:r>
            <w:r>
              <w:rPr>
                <w:noProof/>
                <w:webHidden/>
              </w:rPr>
              <w:t>7</w:t>
            </w:r>
            <w:r>
              <w:rPr>
                <w:noProof/>
                <w:webHidden/>
              </w:rPr>
              <w:fldChar w:fldCharType="end"/>
            </w:r>
          </w:hyperlink>
        </w:p>
        <w:p w:rsidR="005C65EE" w:rsidRDefault="00D61767">
          <w:pPr>
            <w:rPr>
              <w:noProof/>
            </w:rPr>
          </w:pPr>
          <w:r>
            <w:rPr>
              <w:b/>
              <w:bCs/>
              <w:noProof/>
            </w:rPr>
            <w:fldChar w:fldCharType="end"/>
          </w:r>
        </w:p>
      </w:sdtContent>
    </w:sdt>
    <w:p w:rsidR="005C65EE" w:rsidRDefault="00D61767">
      <w:pPr>
        <w:rPr>
          <w:noProof/>
        </w:rPr>
      </w:pPr>
      <w:r>
        <w:rPr>
          <w:noProof/>
        </w:rPr>
        <w:br w:type="page"/>
      </w:r>
    </w:p>
    <w:p w:rsidR="005C65EE" w:rsidRDefault="00D61767">
      <w:pPr>
        <w:pStyle w:val="Heading1"/>
        <w:rPr>
          <w:noProof/>
        </w:rPr>
      </w:pPr>
      <w:bookmarkStart w:id="2" w:name="_Toc38891111"/>
      <w:bookmarkStart w:id="3" w:name="_Toc46389759"/>
      <w:r>
        <w:rPr>
          <w:noProof/>
        </w:rPr>
        <w:t>1. Uvod</w:t>
      </w:r>
      <w:bookmarkEnd w:id="2"/>
      <w:bookmarkEnd w:id="3"/>
    </w:p>
    <w:p w:rsidR="005C65EE" w:rsidRDefault="00D61767">
      <w:pPr>
        <w:jc w:val="both"/>
        <w:rPr>
          <w:noProof/>
        </w:rPr>
      </w:pPr>
      <w:r>
        <w:rPr>
          <w:noProof/>
        </w:rPr>
        <w:t>Pravna podlaga za to poročilo je Uredba (EU) 2017/1601 (v nadaljnjem b</w:t>
      </w:r>
      <w:r>
        <w:rPr>
          <w:noProof/>
        </w:rPr>
        <w:t>esedilu: uredba o EFSD)</w:t>
      </w:r>
      <w:r>
        <w:rPr>
          <w:rStyle w:val="FootnoteReference"/>
          <w:noProof/>
        </w:rPr>
        <w:footnoteReference w:id="2"/>
      </w:r>
      <w:r>
        <w:rPr>
          <w:noProof/>
        </w:rPr>
        <w:t>. V členu 16(3) uredbe o EFSD je določeno, da Komisija Evropskemu parlamentu, Svetu in Računskemu sodišču predloži poročilo o upravljanju jamstvenega sklada Evropskega sklada za trajnostni razvoj (v nadaljnjem besedilu: EFSD) v pret</w:t>
      </w:r>
      <w:r>
        <w:rPr>
          <w:noProof/>
        </w:rPr>
        <w:t>eklem koledarskem letu, vključno z oceno o ustreznosti rezervacij in ravni sredstev jamstvenega sklada ter o tem, ali jamstveni sklad EFSD potrebuje dodatna sredstva.</w:t>
      </w:r>
    </w:p>
    <w:p w:rsidR="005C65EE" w:rsidRDefault="00D61767">
      <w:pPr>
        <w:pStyle w:val="Heading1"/>
        <w:rPr>
          <w:noProof/>
        </w:rPr>
      </w:pPr>
      <w:bookmarkStart w:id="4" w:name="_Toc38891112"/>
      <w:bookmarkStart w:id="5" w:name="_Toc46389760"/>
      <w:r>
        <w:rPr>
          <w:noProof/>
        </w:rPr>
        <w:t>2. Operativni okvir</w:t>
      </w:r>
      <w:bookmarkEnd w:id="4"/>
      <w:bookmarkEnd w:id="5"/>
    </w:p>
    <w:p w:rsidR="005C65EE" w:rsidRDefault="00D61767">
      <w:pPr>
        <w:jc w:val="both"/>
        <w:rPr>
          <w:noProof/>
          <w:szCs w:val="24"/>
        </w:rPr>
      </w:pPr>
      <w:r>
        <w:rPr>
          <w:noProof/>
        </w:rPr>
        <w:t xml:space="preserve">EFSD zajema financiranje operacij v Afriki in sosedstvu EU, vključno </w:t>
      </w:r>
      <w:r>
        <w:rPr>
          <w:noProof/>
        </w:rPr>
        <w:t>z operacijami mešanega financiranja in jamstvom EFSD. Jamstvo EFSD je ključni inovativni element, ki se uporablja za zmanjšanje tveganj pri naložbah v trajnostni razvoj v partnerskih državah, s čimer pomaga mobilizirati naložbe, spodbuja trajnostni in vklj</w:t>
      </w:r>
      <w:r>
        <w:rPr>
          <w:noProof/>
        </w:rPr>
        <w:t>učujoči gospodarski in družbeni razvoj, krepi dodatnost ter privablja sredstva zasebnega sektorja. Namen jamstva je, da deluje kot mehanizem za zmanjševanje tveganja, ki pritegne financiranje zasebnega sektorja, hkrati pa preprečuje izkrivljanje trga.</w:t>
      </w:r>
    </w:p>
    <w:p w:rsidR="005C65EE" w:rsidRDefault="00D61767">
      <w:pPr>
        <w:jc w:val="both"/>
        <w:rPr>
          <w:noProof/>
          <w:szCs w:val="24"/>
        </w:rPr>
      </w:pPr>
      <w:r>
        <w:rPr>
          <w:noProof/>
        </w:rPr>
        <w:t>Jams</w:t>
      </w:r>
      <w:r>
        <w:rPr>
          <w:noProof/>
        </w:rPr>
        <w:t>tvo EFSD je bilo določeno za skupni znesek v višini 1,5 milijarde EUR, ki se krije iz splošnega proračuna. Do konca leta 2019 so dodatni prispevki za podporo jamstvenemu skladu EFSD vključevali 50 milijonov USD iz Fundacije Billa in Melinde Gates, 9,6 mili</w:t>
      </w:r>
      <w:r>
        <w:rPr>
          <w:noProof/>
        </w:rPr>
        <w:t>jona EUR od Danske, 300 000 EUR od Češke in 100 000 EUR od Estonije.</w:t>
      </w:r>
    </w:p>
    <w:p w:rsidR="005C65EE" w:rsidRDefault="00D61767">
      <w:pPr>
        <w:jc w:val="both"/>
        <w:rPr>
          <w:noProof/>
        </w:rPr>
      </w:pPr>
      <w:r>
        <w:rPr>
          <w:noProof/>
        </w:rPr>
        <w:t>S členom 14 uredbe o EFSD je bil ustanovljen jamstveni sklad EFSD, ki je likvidnostni blažilec, iz katerega se izplačajo upravičeni partnerji v primeru unovčitve jamstva EFSD. Unija je za</w:t>
      </w:r>
      <w:r>
        <w:rPr>
          <w:noProof/>
        </w:rPr>
        <w:t xml:space="preserve"> kritje svojih finančnih obveznosti namenila 750 milijonov EUR, kar ustreza 50 % obveznosti jamstva EU. </w:t>
      </w:r>
    </w:p>
    <w:p w:rsidR="005C65EE" w:rsidRDefault="00D61767">
      <w:pPr>
        <w:jc w:val="both"/>
        <w:rPr>
          <w:noProof/>
        </w:rPr>
      </w:pPr>
      <w:r>
        <w:rPr>
          <w:noProof/>
        </w:rPr>
        <w:t xml:space="preserve">Jamstveni sklad EFSD je bil dejansko vzpostavljen leta 2018. Znesek v višini  </w:t>
      </w:r>
      <w:r>
        <w:rPr>
          <w:noProof/>
        </w:rPr>
        <w:br/>
        <w:t xml:space="preserve">600,1 milijona EUR je bil skladu izplačan 31. decembra 2019. </w:t>
      </w:r>
    </w:p>
    <w:p w:rsidR="005C65EE" w:rsidRDefault="00D61767">
      <w:pPr>
        <w:jc w:val="both"/>
        <w:rPr>
          <w:noProof/>
          <w:szCs w:val="24"/>
        </w:rPr>
      </w:pPr>
      <w:r>
        <w:rPr>
          <w:noProof/>
        </w:rPr>
        <w:t>Informacij</w:t>
      </w:r>
      <w:r>
        <w:rPr>
          <w:noProof/>
        </w:rPr>
        <w:t>e o izvajanju EFSD so bile vključene v nedavno poročilo Komisije Evropskemu parlamentu in Svetu</w:t>
      </w:r>
      <w:r>
        <w:rPr>
          <w:rStyle w:val="FootnoteReference"/>
          <w:noProof/>
        </w:rPr>
        <w:footnoteReference w:id="3"/>
      </w:r>
      <w:r>
        <w:rPr>
          <w:noProof/>
        </w:rPr>
        <w:t>.  V poročilu, ki temelji na rezultatih neodvisne zunanje ocene, je bilo ugotovljeno, da je EFSD izjemno relevanten za potrebo po novem globalnem modelu razvojn</w:t>
      </w:r>
      <w:r>
        <w:rPr>
          <w:noProof/>
        </w:rPr>
        <w:t xml:space="preserve">ega financiranja ter za naložbene potrebe v podsaharski Afriki in regijah sosedstva EU. </w:t>
      </w:r>
    </w:p>
    <w:p w:rsidR="005C65EE" w:rsidRDefault="00D61767">
      <w:pPr>
        <w:pStyle w:val="Heading1"/>
        <w:rPr>
          <w:noProof/>
          <w:szCs w:val="24"/>
        </w:rPr>
      </w:pPr>
      <w:bookmarkStart w:id="6" w:name="_Toc38891113"/>
      <w:bookmarkStart w:id="7" w:name="_Toc46389761"/>
      <w:r>
        <w:rPr>
          <w:noProof/>
        </w:rPr>
        <w:t>3. Upravljanje jamstvenega sklada EFSD v letu 2019</w:t>
      </w:r>
      <w:bookmarkEnd w:id="6"/>
      <w:bookmarkEnd w:id="7"/>
    </w:p>
    <w:p w:rsidR="005C65EE" w:rsidRDefault="00D61767">
      <w:pPr>
        <w:pStyle w:val="Heading2"/>
        <w:rPr>
          <w:noProof/>
        </w:rPr>
      </w:pPr>
      <w:bookmarkStart w:id="8" w:name="_Toc38891114"/>
      <w:bookmarkStart w:id="9" w:name="_Toc46389762"/>
      <w:r>
        <w:rPr>
          <w:noProof/>
        </w:rPr>
        <w:t>3.1 Finančno upravljanje</w:t>
      </w:r>
      <w:bookmarkEnd w:id="8"/>
      <w:bookmarkEnd w:id="9"/>
      <w:r>
        <w:rPr>
          <w:noProof/>
        </w:rPr>
        <w:t xml:space="preserve"> </w:t>
      </w:r>
    </w:p>
    <w:p w:rsidR="005C65EE" w:rsidRDefault="00D61767">
      <w:pPr>
        <w:jc w:val="both"/>
        <w:rPr>
          <w:noProof/>
        </w:rPr>
      </w:pPr>
      <w:r>
        <w:rPr>
          <w:noProof/>
        </w:rPr>
        <w:t xml:space="preserve">Naložbeni portfelj jamstvenega sklada EFSD se vlaga v skladu z načeli upravljanja iz Sklepa Komisije </w:t>
      </w:r>
      <w:hyperlink r:id="rId15" w:history="1">
        <w:r>
          <w:rPr>
            <w:noProof/>
          </w:rPr>
          <w:t>C(2017) 7693</w:t>
        </w:r>
      </w:hyperlink>
      <w:r>
        <w:rPr>
          <w:noProof/>
        </w:rPr>
        <w:t xml:space="preserve"> z dne 22. novembra 2017 o odobritvi smernic za</w:t>
      </w:r>
      <w:r>
        <w:rPr>
          <w:noProof/>
        </w:rPr>
        <w:t xml:space="preserve"> upravljanje sredstev v jamstvenem skladu EFSD.</w:t>
      </w:r>
    </w:p>
    <w:p w:rsidR="005C65EE" w:rsidRDefault="00D61767">
      <w:pPr>
        <w:jc w:val="both"/>
        <w:rPr>
          <w:noProof/>
        </w:rPr>
      </w:pPr>
      <w:r>
        <w:rPr>
          <w:noProof/>
        </w:rPr>
        <w:t>V teh smernicah je predvideno, da se s sredstvi v naložbenem portfelju zagotovi zadostna likvidnost za morebitne unovčitve jamstva ter hkrati optimalen donos in stopnja tveganja, ki je združljiva z ohranjanje</w:t>
      </w:r>
      <w:r>
        <w:rPr>
          <w:noProof/>
        </w:rPr>
        <w:t>m visoke ravni varnosti in stabilnosti.</w:t>
      </w:r>
    </w:p>
    <w:p w:rsidR="005C65EE" w:rsidRDefault="00D61767">
      <w:pPr>
        <w:jc w:val="both"/>
        <w:rPr>
          <w:noProof/>
        </w:rPr>
      </w:pPr>
      <w:r>
        <w:rPr>
          <w:noProof/>
        </w:rPr>
        <w:t>Sprejete so bile naložbene strategije in strategije obvladovanja tveganj, ki izražajo naložbene cilje in obete glede tržnih razmer. Naložbeni pristop je bil usmerjen v večjo diverzifikacijo v različnih razredih sreds</w:t>
      </w:r>
      <w:r>
        <w:rPr>
          <w:noProof/>
        </w:rPr>
        <w:t>tev s stalnim donosom.</w:t>
      </w:r>
    </w:p>
    <w:p w:rsidR="005C65EE" w:rsidRDefault="00D61767">
      <w:pPr>
        <w:pStyle w:val="Heading2"/>
        <w:rPr>
          <w:noProof/>
        </w:rPr>
      </w:pPr>
      <w:bookmarkStart w:id="10" w:name="_Toc38891115"/>
      <w:bookmarkStart w:id="11" w:name="_Toc46389763"/>
      <w:r>
        <w:rPr>
          <w:noProof/>
        </w:rPr>
        <w:t xml:space="preserve">3.2 </w:t>
      </w:r>
      <w:bookmarkStart w:id="12" w:name="_Toc38891116"/>
      <w:bookmarkEnd w:id="10"/>
      <w:r>
        <w:rPr>
          <w:noProof/>
        </w:rPr>
        <w:t>Sestava in ključne značilnosti portfelja</w:t>
      </w:r>
      <w:bookmarkEnd w:id="12"/>
      <w:bookmarkEnd w:id="11"/>
    </w:p>
    <w:p w:rsidR="005C65EE" w:rsidRDefault="00D61767">
      <w:pPr>
        <w:jc w:val="both"/>
        <w:rPr>
          <w:noProof/>
        </w:rPr>
      </w:pPr>
      <w:r>
        <w:rPr>
          <w:noProof/>
        </w:rPr>
        <w:t>Naložbena strategija usmerja upravljanje sredstev naložbenega portfelja jamstvenega sklada EFSD za doseganje naložbenih ciljev. Ta naložbena strategija je izražena v obliki referenčne vred</w:t>
      </w:r>
      <w:r>
        <w:rPr>
          <w:noProof/>
        </w:rPr>
        <w:t>nosti, ki določa okvirne ciljne dodelitve za različne kategorije dovoljenih finančnih sredstev v portfelju.</w:t>
      </w:r>
    </w:p>
    <w:p w:rsidR="005C65EE" w:rsidRDefault="00D61767">
      <w:pPr>
        <w:jc w:val="both"/>
        <w:rPr>
          <w:noProof/>
        </w:rPr>
      </w:pPr>
      <w:r>
        <w:rPr>
          <w:noProof/>
        </w:rPr>
        <w:t>Naložbeni portfelj je bil 31. decembra 2019 sestavljen predvsem iz vrednostnih papirjev, ki so jih izdale države, podnacionalni subjekti, nadnaciona</w:t>
      </w:r>
      <w:r>
        <w:rPr>
          <w:noProof/>
        </w:rPr>
        <w:t>lni subjekti, agencije in tuje vlade (45 % tržne vrednosti glede na 52 % za referenčno vrednost), nezavarovanih obveznic, ki so jih izdala podjetja in finančne institucije (22 % tržne vrednosti glede na 18 % za referenčno vrednost), ter kritih obveznic (14</w:t>
      </w:r>
      <w:r>
        <w:rPr>
          <w:noProof/>
        </w:rPr>
        <w:t xml:space="preserve"> % tržne vrednosti glede na 0 % za referenčno vrednost). Preostanek je bil v glavnem dodeljen skladom denarnega trga. </w:t>
      </w:r>
    </w:p>
    <w:p w:rsidR="005C65EE" w:rsidRDefault="00D61767">
      <w:pPr>
        <w:jc w:val="both"/>
        <w:rPr>
          <w:noProof/>
        </w:rPr>
      </w:pPr>
      <w:r>
        <w:rPr>
          <w:noProof/>
        </w:rPr>
        <w:t>Konec leta 2019 je bila izpostavljenost portfelja iz naslova obveznic, ki so v skladu z okoljskimi in socialnimi merili ter merili upravl</w:t>
      </w:r>
      <w:r>
        <w:rPr>
          <w:noProof/>
        </w:rPr>
        <w:t xml:space="preserve">janja, več kot dvakrat višja od referenčne vrednosti. </w:t>
      </w:r>
    </w:p>
    <w:p w:rsidR="005C65EE" w:rsidRDefault="00D61767">
      <w:pPr>
        <w:jc w:val="both"/>
        <w:rPr>
          <w:noProof/>
        </w:rPr>
      </w:pPr>
      <w:r>
        <w:rPr>
          <w:noProof/>
        </w:rPr>
        <w:t>Trajanje portfelja ob koncu leta 2019 je bilo 2,51 leta, bonitetne ocene vrednostnih papirjev EFSD pa so razdeljene na naslednji način:</w:t>
      </w:r>
      <w:r>
        <w:rPr>
          <w:noProof/>
          <w:color w:val="1F497D"/>
        </w:rPr>
        <w:t xml:space="preserve"> </w:t>
      </w:r>
    </w:p>
    <w:p w:rsidR="005C65EE" w:rsidRDefault="00D61767">
      <w:pPr>
        <w:pStyle w:val="Default"/>
        <w:jc w:val="center"/>
        <w:rPr>
          <w:rFonts w:ascii="Calibri" w:hAnsi="Calibri" w:cs="Calibri"/>
          <w:noProof/>
          <w:color w:val="1F497D"/>
          <w:sz w:val="22"/>
          <w:szCs w:val="22"/>
        </w:rPr>
      </w:pPr>
      <w:r>
        <w:rPr>
          <w:noProof/>
          <w:lang w:val="fr-BE" w:eastAsia="fr-BE"/>
        </w:rPr>
        <w:drawing>
          <wp:inline distT="0" distB="0" distL="0" distR="0">
            <wp:extent cx="3321268" cy="1929162"/>
            <wp:effectExtent l="0" t="0" r="0" b="0"/>
            <wp:docPr id="2" name="Picture 2" descr="cid:image001.jpg@01D6134B.2AD5A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134B.2AD5AD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363512" cy="1953700"/>
                    </a:xfrm>
                    <a:prstGeom prst="rect">
                      <a:avLst/>
                    </a:prstGeom>
                    <a:noFill/>
                    <a:ln>
                      <a:noFill/>
                    </a:ln>
                  </pic:spPr>
                </pic:pic>
              </a:graphicData>
            </a:graphic>
          </wp:inline>
        </w:drawing>
      </w:r>
    </w:p>
    <w:p w:rsidR="005C65EE" w:rsidRDefault="00D61767">
      <w:pPr>
        <w:jc w:val="both"/>
        <w:rPr>
          <w:noProof/>
        </w:rPr>
      </w:pPr>
      <w:r>
        <w:rPr>
          <w:noProof/>
        </w:rPr>
        <w:t>Večina portfelja je naložena v likvidne vrednostne papirje, za</w:t>
      </w:r>
      <w:r>
        <w:rPr>
          <w:noProof/>
        </w:rPr>
        <w:t xml:space="preserve">dosten del (14 % skupne vrednosti portfelja) pa zapade v manj kot 12 mesecih. </w:t>
      </w:r>
    </w:p>
    <w:p w:rsidR="005C65EE" w:rsidRDefault="00D61767">
      <w:pPr>
        <w:jc w:val="both"/>
        <w:rPr>
          <w:noProof/>
        </w:rPr>
      </w:pPr>
      <w:r>
        <w:rPr>
          <w:noProof/>
        </w:rPr>
        <w:t>Profil portfelja, kar zadeva trajanje, kreditno tveganje in likvidnost, je bil usklajen v skladu z napovedanimi denarnimi tokovi iz operacij EFSD v okviru jamstva EU (npr. napov</w:t>
      </w:r>
      <w:r>
        <w:rPr>
          <w:noProof/>
        </w:rPr>
        <w:t>edane unovčitve, prihodki).</w:t>
      </w:r>
    </w:p>
    <w:p w:rsidR="005C65EE" w:rsidRDefault="00D61767">
      <w:pPr>
        <w:pStyle w:val="Heading2"/>
        <w:rPr>
          <w:noProof/>
        </w:rPr>
      </w:pPr>
      <w:bookmarkStart w:id="13" w:name="_Toc38891117"/>
      <w:bookmarkStart w:id="14" w:name="_Toc46389764"/>
      <w:r>
        <w:rPr>
          <w:noProof/>
        </w:rPr>
        <w:t>3.3 Donosnost</w:t>
      </w:r>
      <w:bookmarkEnd w:id="13"/>
      <w:bookmarkEnd w:id="14"/>
    </w:p>
    <w:p w:rsidR="005C65EE" w:rsidRDefault="00D61767">
      <w:pPr>
        <w:jc w:val="both"/>
        <w:rPr>
          <w:noProof/>
        </w:rPr>
      </w:pPr>
      <w:r>
        <w:rPr>
          <w:noProof/>
        </w:rPr>
        <w:t xml:space="preserve">Letna donosnost je izračunana na časovno tehtani podlagi, da nanjo ne bi vplivala velikost portfelja, ki se je med letom precej povečala. </w:t>
      </w:r>
    </w:p>
    <w:p w:rsidR="005C65EE" w:rsidRDefault="00D61767">
      <w:pPr>
        <w:jc w:val="both"/>
        <w:rPr>
          <w:noProof/>
        </w:rPr>
      </w:pPr>
      <w:r>
        <w:rPr>
          <w:noProof/>
        </w:rPr>
        <w:t>V zelo zahtevnem tržnem okolju, za katerega so značilni na splošno negativni ali zgodovinsko nizki donosi, skupaj z veliko nestanovitnostjo trga in negotovostjo, je sklad v letu 2019 dosegel letno absolutno donosnost v višini 0,242 % (časovno tehtana donos</w:t>
      </w:r>
      <w:r>
        <w:rPr>
          <w:noProof/>
        </w:rPr>
        <w:t>nost pred odbitkom stroškov in provizij). Ta donos je v skladu z letno donosnostjo referenčne vrednosti EFSD (0,149 %) in je bil dosežen ob negativnih obrestnih merah v evrskem območju (zlasti za izpostavljenosti, ki jih trgi obravnavajo kot izpostavljenos</w:t>
      </w:r>
      <w:r>
        <w:rPr>
          <w:noProof/>
        </w:rPr>
        <w:t xml:space="preserve">ti „brez kreditnega tveganja“ in likvidne izpostavljenosti v Evropi). </w:t>
      </w:r>
    </w:p>
    <w:p w:rsidR="005C65EE" w:rsidRDefault="00D61767">
      <w:pPr>
        <w:pStyle w:val="Heading1"/>
        <w:rPr>
          <w:noProof/>
        </w:rPr>
      </w:pPr>
      <w:bookmarkStart w:id="15" w:name="_Toc38891118"/>
      <w:bookmarkStart w:id="16" w:name="_Toc46389765"/>
      <w:r>
        <w:rPr>
          <w:noProof/>
        </w:rPr>
        <w:t>4. Finančni računi</w:t>
      </w:r>
      <w:bookmarkEnd w:id="15"/>
      <w:bookmarkEnd w:id="16"/>
    </w:p>
    <w:p w:rsidR="005C65EE" w:rsidRDefault="00D61767">
      <w:pPr>
        <w:rPr>
          <w:noProof/>
          <w:szCs w:val="24"/>
        </w:rPr>
      </w:pPr>
      <w:r>
        <w:rPr>
          <w:noProof/>
        </w:rPr>
        <w:t>V nadaljevanju so predstavljene finančne informacije v zvezi z jamstvenim skladom EFSD. Jamstvo EFSD v letu 2019 ni bilo unovčeno.</w:t>
      </w:r>
    </w:p>
    <w:p w:rsidR="005C65EE" w:rsidRDefault="00D61767">
      <w:pPr>
        <w:pStyle w:val="Heading2"/>
        <w:jc w:val="both"/>
        <w:rPr>
          <w:noProof/>
        </w:rPr>
      </w:pPr>
      <w:bookmarkStart w:id="17" w:name="_Toc38891119"/>
      <w:bookmarkStart w:id="18" w:name="_Toc46389766"/>
      <w:r>
        <w:rPr>
          <w:noProof/>
        </w:rPr>
        <w:t>4.1 Računovodski izkazi jamstvenega</w:t>
      </w:r>
      <w:r>
        <w:rPr>
          <w:noProof/>
        </w:rPr>
        <w:t xml:space="preserve"> sklada EFSD na dan 31. decembra 2019</w:t>
      </w:r>
      <w:bookmarkEnd w:id="17"/>
      <w:bookmarkEnd w:id="18"/>
      <w:r>
        <w:rPr>
          <w:noProof/>
        </w:rPr>
        <w:t xml:space="preserve"> </w:t>
      </w:r>
    </w:p>
    <w:p w:rsidR="005C65EE" w:rsidRDefault="00D61767">
      <w:pPr>
        <w:jc w:val="both"/>
        <w:rPr>
          <w:noProof/>
        </w:rPr>
      </w:pPr>
      <w:bookmarkStart w:id="19" w:name="_Toc475538090"/>
      <w:r>
        <w:rPr>
          <w:noProof/>
        </w:rPr>
        <w:t>Zaradi pozitivnega razvoja trga s padcem krivulje donosa za evrsko območje in dobro donosnostjo večine sektorjev s stalnim donosom, kot je opisano v točki 3.3 zgoraj, so se skupna sredstva jamstvenega sklada EFSD ohra</w:t>
      </w:r>
      <w:r>
        <w:rPr>
          <w:noProof/>
        </w:rPr>
        <w:t>nila v višini celotnih prispevkov in 31. decembra 2019 znašala 599,59 milijona EUR kljub učinku negativnih obresti. Sredstva so zajemala portfelj naložbenih vrednostnih papirjev, razvrščen kot razpoložljiv za prodajo (594,71 milijona EUR), in denarna sreds</w:t>
      </w:r>
      <w:r>
        <w:rPr>
          <w:noProof/>
        </w:rPr>
        <w:t>tva (4,88 milijona EUR).</w:t>
      </w:r>
    </w:p>
    <w:p w:rsidR="005C65EE" w:rsidRDefault="00D61767">
      <w:pPr>
        <w:jc w:val="both"/>
        <w:rPr>
          <w:noProof/>
        </w:rPr>
      </w:pPr>
      <w:r>
        <w:rPr>
          <w:noProof/>
        </w:rPr>
        <w:t>Kar zadeva izkaz poslovnega izida za leto 2019, je bil poslovni izid jamstvenega sklada EFSD ob koncu leta nekoliko negativen, in sicer –0,26 milijona EUR</w:t>
      </w:r>
      <w:r>
        <w:rPr>
          <w:rStyle w:val="FootnoteReference"/>
          <w:noProof/>
          <w:lang w:val="en-IE"/>
        </w:rPr>
        <w:footnoteReference w:id="4"/>
      </w:r>
      <w:r>
        <w:rPr>
          <w:noProof/>
        </w:rPr>
        <w:t>. Glavni razlog za to so negativne obresti na gotovinski saldo in vrednostne</w:t>
      </w:r>
      <w:r>
        <w:rPr>
          <w:noProof/>
        </w:rPr>
        <w:t xml:space="preserve"> papirje (–0,45 milijona EUR), nastale zaradi večinoma negativnih obrestnih mer in ki bi se lahko le delno izravnale z realiziranim dobičkom od prodaje vrednostnih papirjev in prihodki iz naslova posojanja vrednostnih papirjev (0,19 milijona EUR). </w:t>
      </w:r>
    </w:p>
    <w:p w:rsidR="005C65EE" w:rsidRDefault="005C65EE">
      <w:pPr>
        <w:rPr>
          <w:b/>
          <w:noProof/>
        </w:rPr>
      </w:pPr>
    </w:p>
    <w:p w:rsidR="005C65EE" w:rsidRDefault="00D61767">
      <w:pPr>
        <w:rPr>
          <w:b/>
          <w:noProof/>
        </w:rPr>
      </w:pPr>
      <w:r>
        <w:rPr>
          <w:b/>
          <w:noProof/>
        </w:rPr>
        <w:t>Bilanc</w:t>
      </w:r>
      <w:r>
        <w:rPr>
          <w:b/>
          <w:noProof/>
        </w:rPr>
        <w:t>a stanja na dan 31. decembra 201</w:t>
      </w:r>
      <w:bookmarkEnd w:id="19"/>
      <w:r>
        <w:rPr>
          <w:b/>
          <w:noProof/>
        </w:rPr>
        <w:t>9</w:t>
      </w:r>
    </w:p>
    <w:p w:rsidR="005C65EE" w:rsidRDefault="00D61767">
      <w:pPr>
        <w:spacing w:after="0" w:line="240" w:lineRule="auto"/>
        <w:ind w:left="-284" w:firstLine="284"/>
        <w:rPr>
          <w:rFonts w:cs="Arial"/>
          <w:b/>
          <w:bCs/>
          <w:noProof/>
          <w:sz w:val="20"/>
        </w:rPr>
      </w:pPr>
      <w:r>
        <w:rPr>
          <w:noProof/>
          <w:sz w:val="20"/>
        </w:rPr>
        <w:t>(zneski, izraženi v EUR)</w:t>
      </w:r>
    </w:p>
    <w:p w:rsidR="005C65EE" w:rsidRDefault="005C65EE">
      <w:pPr>
        <w:spacing w:after="0" w:line="240" w:lineRule="auto"/>
        <w:ind w:left="-284"/>
        <w:rPr>
          <w:rFonts w:cs="Arial"/>
          <w:noProof/>
          <w:sz w:val="20"/>
        </w:rPr>
      </w:pPr>
    </w:p>
    <w:tbl>
      <w:tblPr>
        <w:tblW w:w="8505" w:type="dxa"/>
        <w:tblLayout w:type="fixed"/>
        <w:tblCellMar>
          <w:left w:w="0" w:type="dxa"/>
          <w:right w:w="0" w:type="dxa"/>
        </w:tblCellMar>
        <w:tblLook w:val="04A0" w:firstRow="1" w:lastRow="0" w:firstColumn="1" w:lastColumn="0" w:noHBand="0" w:noVBand="1"/>
      </w:tblPr>
      <w:tblGrid>
        <w:gridCol w:w="4678"/>
        <w:gridCol w:w="1985"/>
        <w:gridCol w:w="1842"/>
      </w:tblGrid>
      <w:tr w:rsidR="005C65EE">
        <w:trPr>
          <w:trHeight w:hRule="exact" w:val="283"/>
        </w:trPr>
        <w:tc>
          <w:tcPr>
            <w:tcW w:w="4678" w:type="dxa"/>
            <w:noWrap/>
            <w:vAlign w:val="bottom"/>
            <w:hideMark/>
          </w:tcPr>
          <w:p w:rsidR="005C65EE" w:rsidRDefault="00D61767">
            <w:pPr>
              <w:rPr>
                <w:rFonts w:eastAsia="Arial Unicode MS" w:cs="Arial"/>
                <w:b/>
                <w:noProof/>
                <w:sz w:val="20"/>
                <w:u w:val="single"/>
              </w:rPr>
            </w:pPr>
            <w:r>
              <w:rPr>
                <w:b/>
                <w:noProof/>
                <w:sz w:val="20"/>
                <w:u w:val="single"/>
              </w:rPr>
              <w:t>SREDSTVA</w:t>
            </w:r>
          </w:p>
        </w:tc>
        <w:tc>
          <w:tcPr>
            <w:tcW w:w="1985" w:type="dxa"/>
            <w:noWrap/>
            <w:vAlign w:val="bottom"/>
          </w:tcPr>
          <w:p w:rsidR="005C65EE" w:rsidRDefault="005C65EE">
            <w:pPr>
              <w:rPr>
                <w:rFonts w:eastAsia="Arial Unicode MS" w:cs="Arial"/>
                <w:noProof/>
                <w:sz w:val="20"/>
              </w:rPr>
            </w:pPr>
          </w:p>
        </w:tc>
        <w:tc>
          <w:tcPr>
            <w:tcW w:w="1842" w:type="dxa"/>
            <w:noWrap/>
            <w:vAlign w:val="bottom"/>
          </w:tcPr>
          <w:p w:rsidR="005C65EE" w:rsidRDefault="005C65EE">
            <w:pPr>
              <w:rPr>
                <w:rFonts w:eastAsia="Arial Unicode MS" w:cs="Arial"/>
                <w:noProof/>
                <w:sz w:val="20"/>
              </w:rPr>
            </w:pPr>
          </w:p>
        </w:tc>
      </w:tr>
      <w:tr w:rsidR="005C65EE">
        <w:trPr>
          <w:trHeight w:hRule="exact" w:val="283"/>
        </w:trPr>
        <w:tc>
          <w:tcPr>
            <w:tcW w:w="4678" w:type="dxa"/>
            <w:tcBorders>
              <w:top w:val="nil"/>
              <w:left w:val="nil"/>
              <w:bottom w:val="single" w:sz="4" w:space="0" w:color="auto"/>
              <w:right w:val="nil"/>
            </w:tcBorders>
            <w:noWrap/>
            <w:vAlign w:val="bottom"/>
          </w:tcPr>
          <w:p w:rsidR="005C65EE" w:rsidRDefault="005C65EE">
            <w:pPr>
              <w:rPr>
                <w:rFonts w:eastAsia="Arial Unicode MS" w:cs="Arial"/>
                <w:noProof/>
                <w:sz w:val="20"/>
                <w:u w:val="single"/>
              </w:rPr>
            </w:pPr>
          </w:p>
        </w:tc>
        <w:tc>
          <w:tcPr>
            <w:tcW w:w="1985" w:type="dxa"/>
            <w:tcBorders>
              <w:top w:val="nil"/>
              <w:left w:val="nil"/>
              <w:bottom w:val="single" w:sz="4" w:space="0" w:color="auto"/>
              <w:right w:val="nil"/>
            </w:tcBorders>
            <w:noWrap/>
            <w:vAlign w:val="bottom"/>
          </w:tcPr>
          <w:p w:rsidR="005C65EE" w:rsidRDefault="005C65EE">
            <w:pPr>
              <w:rPr>
                <w:rFonts w:eastAsia="Arial Unicode MS" w:cs="Arial"/>
                <w:noProof/>
                <w:sz w:val="20"/>
              </w:rPr>
            </w:pPr>
          </w:p>
        </w:tc>
        <w:tc>
          <w:tcPr>
            <w:tcW w:w="1842" w:type="dxa"/>
            <w:tcBorders>
              <w:top w:val="nil"/>
              <w:left w:val="nil"/>
              <w:bottom w:val="single" w:sz="4" w:space="0" w:color="auto"/>
              <w:right w:val="nil"/>
            </w:tcBorders>
            <w:noWrap/>
            <w:vAlign w:val="bottom"/>
          </w:tcPr>
          <w:p w:rsidR="005C65EE" w:rsidRDefault="005C65EE">
            <w:pPr>
              <w:rPr>
                <w:rFonts w:eastAsia="Arial Unicode MS" w:cs="Arial"/>
                <w:noProof/>
                <w:sz w:val="20"/>
              </w:rPr>
            </w:pP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rPr>
                <w:rFonts w:eastAsia="Arial Unicode MS" w:cs="Arial"/>
                <w:noProof/>
                <w:sz w:val="20"/>
              </w:rPr>
            </w:pPr>
            <w:r>
              <w:rPr>
                <w:noProof/>
                <w:sz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jc w:val="center"/>
              <w:rPr>
                <w:rFonts w:eastAsia="Arial Unicode MS" w:cs="Arial"/>
                <w:b/>
                <w:bCs/>
                <w:noProof/>
                <w:sz w:val="20"/>
              </w:rPr>
            </w:pPr>
            <w:r>
              <w:rPr>
                <w:b/>
                <w:bCs/>
                <w:noProof/>
                <w:sz w:val="20"/>
              </w:rPr>
              <w:t>31. december 2019</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jc w:val="center"/>
              <w:rPr>
                <w:rFonts w:eastAsia="Arial Unicode MS" w:cs="Arial"/>
                <w:b/>
                <w:bCs/>
                <w:noProof/>
                <w:sz w:val="20"/>
              </w:rPr>
            </w:pPr>
            <w:r>
              <w:rPr>
                <w:b/>
                <w:bCs/>
                <w:noProof/>
                <w:sz w:val="20"/>
              </w:rPr>
              <w:t>31. december 2018</w:t>
            </w: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rPr>
                <w:rFonts w:eastAsia="Times New Roman"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jc w:val="center"/>
              <w:rPr>
                <w:rFonts w:cs="Arial"/>
                <w:b/>
                <w:bCs/>
                <w:noProof/>
                <w:sz w:val="20"/>
              </w:rPr>
            </w:pPr>
            <w:r>
              <w:rPr>
                <w:b/>
                <w:bCs/>
                <w:noProof/>
                <w:sz w:val="20"/>
              </w:rPr>
              <w:t>v EUR</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jc w:val="center"/>
              <w:rPr>
                <w:rFonts w:cs="Arial"/>
                <w:b/>
                <w:bCs/>
                <w:noProof/>
                <w:sz w:val="20"/>
              </w:rPr>
            </w:pPr>
            <w:r>
              <w:rPr>
                <w:b/>
                <w:bCs/>
                <w:noProof/>
                <w:sz w:val="20"/>
              </w:rPr>
              <w:t>v EUR</w:t>
            </w: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rPr>
                <w:rFonts w:cs="Arial"/>
                <w:b/>
                <w:bCs/>
                <w:noProof/>
                <w:sz w:val="20"/>
              </w:rPr>
            </w:pPr>
            <w:r>
              <w:rPr>
                <w:b/>
                <w:bCs/>
                <w:noProof/>
                <w:sz w:val="20"/>
              </w:rPr>
              <w:t>NEKRATKOROČNA SREDSTVA</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cs="Arial"/>
                <w:b/>
                <w:noProof/>
                <w:sz w:val="20"/>
              </w:rPr>
            </w:pPr>
            <w:r>
              <w:rPr>
                <w:b/>
                <w:noProof/>
                <w:sz w:val="20"/>
              </w:rPr>
              <w:t>348 061 980</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cs="Arial"/>
                <w:b/>
                <w:noProof/>
                <w:sz w:val="20"/>
              </w:rPr>
            </w:pPr>
            <w:r>
              <w:rPr>
                <w:b/>
                <w:noProof/>
                <w:sz w:val="20"/>
              </w:rPr>
              <w:t>3 577 001</w:t>
            </w: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rPr>
                <w:rFonts w:eastAsia="Arial Unicode M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ind w:right="142"/>
              <w:jc w:val="right"/>
              <w:rPr>
                <w:rFonts w:cs="Arial"/>
                <w:b/>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ind w:right="142"/>
              <w:jc w:val="right"/>
              <w:rPr>
                <w:rFonts w:cs="Arial"/>
                <w:b/>
                <w:noProof/>
                <w:sz w:val="20"/>
                <w:lang w:eastAsia="ko-KR"/>
              </w:rPr>
            </w:pP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rPr>
                <w:rFonts w:cs="Arial"/>
                <w:bCs/>
                <w:noProof/>
                <w:sz w:val="20"/>
              </w:rPr>
            </w:pPr>
            <w:r>
              <w:rPr>
                <w:bCs/>
                <w:noProof/>
                <w:sz w:val="20"/>
              </w:rPr>
              <w:t>Za prodajo razpoložljiva finančna sredstva</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cs="Arial"/>
                <w:noProof/>
                <w:sz w:val="20"/>
              </w:rPr>
            </w:pPr>
            <w:r>
              <w:rPr>
                <w:noProof/>
                <w:sz w:val="20"/>
              </w:rPr>
              <w:t>348 061 980</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cs="Arial"/>
                <w:noProof/>
                <w:sz w:val="20"/>
              </w:rPr>
            </w:pPr>
            <w:r>
              <w:rPr>
                <w:noProof/>
                <w:sz w:val="20"/>
              </w:rPr>
              <w:t>3 577 001</w:t>
            </w: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rPr>
                <w:rFonts w:cs="Arial"/>
                <w:b/>
                <w:bCs/>
                <w:noProof/>
                <w:sz w:val="20"/>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ind w:right="142"/>
              <w:jc w:val="right"/>
              <w:rPr>
                <w:rFonts w:cs="Arial"/>
                <w:b/>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ind w:right="142"/>
              <w:jc w:val="right"/>
              <w:rPr>
                <w:rFonts w:cs="Arial"/>
                <w:b/>
                <w:noProof/>
                <w:sz w:val="20"/>
                <w:lang w:eastAsia="ko-KR"/>
              </w:rPr>
            </w:pP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rPr>
                <w:rFonts w:eastAsia="Arial Unicode MS" w:cs="Arial"/>
                <w:b/>
                <w:bCs/>
                <w:noProof/>
                <w:sz w:val="20"/>
              </w:rPr>
            </w:pPr>
            <w:r>
              <w:rPr>
                <w:b/>
                <w:bCs/>
                <w:noProof/>
                <w:sz w:val="20"/>
              </w:rPr>
              <w:t>KRATKOROČNA SREDSTVA</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eastAsia="Times New Roman" w:cs="Arial"/>
                <w:b/>
                <w:noProof/>
                <w:sz w:val="20"/>
              </w:rPr>
            </w:pPr>
            <w:r>
              <w:rPr>
                <w:b/>
                <w:noProof/>
                <w:sz w:val="20"/>
              </w:rPr>
              <w:t>251 527 281</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cs="Arial"/>
                <w:b/>
                <w:noProof/>
                <w:sz w:val="20"/>
              </w:rPr>
            </w:pPr>
            <w:r>
              <w:rPr>
                <w:b/>
                <w:noProof/>
                <w:sz w:val="20"/>
              </w:rPr>
              <w:t>271 469 460</w:t>
            </w: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rPr>
                <w:rFonts w:eastAsia="Arial Unicode M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line="240" w:lineRule="auto"/>
              <w:jc w:val="right"/>
              <w:rPr>
                <w:rFonts w:cs="Arial"/>
                <w:b/>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line="240" w:lineRule="auto"/>
              <w:jc w:val="right"/>
              <w:rPr>
                <w:rFonts w:cs="Arial"/>
                <w:b/>
                <w:noProof/>
                <w:sz w:val="20"/>
                <w:lang w:eastAsia="ko-KR"/>
              </w:rPr>
            </w:pP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rPr>
                <w:rFonts w:eastAsia="Arial Unicode MS" w:cs="Arial"/>
                <w:bCs/>
                <w:noProof/>
                <w:sz w:val="20"/>
              </w:rPr>
            </w:pPr>
            <w:r>
              <w:rPr>
                <w:bCs/>
                <w:noProof/>
                <w:sz w:val="20"/>
              </w:rPr>
              <w:t>Za prodajo razpoložljiva finančna sredstva</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eastAsia="Arial Unicode MS" w:cs="Arial"/>
                <w:noProof/>
                <w:sz w:val="20"/>
              </w:rPr>
            </w:pPr>
            <w:r>
              <w:rPr>
                <w:noProof/>
                <w:sz w:val="20"/>
              </w:rPr>
              <w:t>246 643 539</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eastAsia="Arial Unicode MS" w:cs="Arial"/>
                <w:noProof/>
                <w:sz w:val="20"/>
              </w:rPr>
            </w:pPr>
            <w:r>
              <w:rPr>
                <w:noProof/>
                <w:sz w:val="20"/>
              </w:rPr>
              <w:t>5 795 882</w:t>
            </w: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tcPr>
          <w:p w:rsidR="005C65EE" w:rsidRDefault="005C65EE">
            <w:pPr>
              <w:spacing w:after="0"/>
              <w:rPr>
                <w:rFonts w:eastAsia="Times New Roman" w:cs="Arial"/>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ind w:right="142"/>
              <w:jc w:val="right"/>
              <w:rPr>
                <w:rFonts w:eastAsia="Times New Roman" w:cs="Arial"/>
                <w:noProof/>
                <w:sz w:val="20"/>
                <w:highlight w:val="yellow"/>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ind w:right="142"/>
              <w:jc w:val="right"/>
              <w:rPr>
                <w:rFonts w:cs="Arial"/>
                <w:noProof/>
                <w:sz w:val="20"/>
                <w:highlight w:val="yellow"/>
                <w:lang w:eastAsia="ko-KR"/>
              </w:rPr>
            </w:pP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65EE" w:rsidRDefault="00D61767">
            <w:pPr>
              <w:spacing w:after="0"/>
              <w:rPr>
                <w:rFonts w:cs="Arial"/>
                <w:bCs/>
                <w:noProof/>
                <w:sz w:val="20"/>
              </w:rPr>
            </w:pPr>
            <w:r>
              <w:rPr>
                <w:bCs/>
                <w:noProof/>
                <w:sz w:val="20"/>
              </w:rPr>
              <w:t>Terjatve (tj. provizije za izposojanje vrednostnih papirjev)</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eastAsia="Arial Unicode MS" w:cs="Arial"/>
                <w:noProof/>
                <w:sz w:val="20"/>
              </w:rPr>
            </w:pPr>
            <w:r>
              <w:rPr>
                <w:noProof/>
                <w:sz w:val="20"/>
              </w:rPr>
              <w:t>1 595</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eastAsia="Arial Unicode MS" w:cs="Arial"/>
                <w:noProof/>
                <w:sz w:val="20"/>
              </w:rPr>
            </w:pPr>
            <w:r>
              <w:rPr>
                <w:noProof/>
                <w:sz w:val="20"/>
              </w:rPr>
              <w:t>–</w:t>
            </w: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tcPr>
          <w:p w:rsidR="005C65EE" w:rsidRDefault="005C65EE">
            <w:pPr>
              <w:spacing w:after="0"/>
              <w:rPr>
                <w:rFonts w:eastAsia="Times New Roman" w:cs="Arial"/>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ind w:right="142"/>
              <w:jc w:val="right"/>
              <w:rPr>
                <w:rFonts w:eastAsia="Times New Roman" w:cs="Arial"/>
                <w:noProof/>
                <w:sz w:val="20"/>
                <w:highlight w:val="yellow"/>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ind w:right="142"/>
              <w:jc w:val="right"/>
              <w:rPr>
                <w:rFonts w:cs="Arial"/>
                <w:noProof/>
                <w:sz w:val="20"/>
                <w:highlight w:val="yellow"/>
                <w:lang w:eastAsia="ko-KR"/>
              </w:rPr>
            </w:pP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tcPr>
          <w:p w:rsidR="005C65EE" w:rsidRDefault="005C65EE">
            <w:pPr>
              <w:spacing w:after="0"/>
              <w:rPr>
                <w:rFonts w:eastAsia="Arial Unicode MS" w:cs="Arial"/>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ind w:right="142"/>
              <w:jc w:val="right"/>
              <w:rPr>
                <w:rFonts w:eastAsia="Arial Unicode MS"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ind w:right="142"/>
              <w:jc w:val="right"/>
              <w:rPr>
                <w:rFonts w:eastAsia="Arial Unicode MS" w:cs="Arial"/>
                <w:noProof/>
                <w:sz w:val="20"/>
              </w:rPr>
            </w:pP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65EE" w:rsidRDefault="00D61767">
            <w:pPr>
              <w:spacing w:after="0"/>
              <w:rPr>
                <w:rFonts w:eastAsia="Arial Unicode MS" w:cs="Arial"/>
                <w:b/>
                <w:bCs/>
                <w:noProof/>
                <w:sz w:val="20"/>
              </w:rPr>
            </w:pPr>
            <w:r>
              <w:rPr>
                <w:b/>
                <w:bCs/>
                <w:noProof/>
                <w:sz w:val="20"/>
              </w:rPr>
              <w:t>Denarna sredstva in njihovi ustrezniki</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eastAsia="Arial Unicode MS" w:cs="Arial"/>
                <w:noProof/>
                <w:sz w:val="20"/>
              </w:rPr>
            </w:pPr>
            <w:r>
              <w:rPr>
                <w:noProof/>
                <w:sz w:val="20"/>
              </w:rPr>
              <w:t>4 882 147</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eastAsia="Arial Unicode MS" w:cs="Arial"/>
                <w:noProof/>
                <w:sz w:val="20"/>
              </w:rPr>
            </w:pPr>
            <w:r>
              <w:rPr>
                <w:noProof/>
                <w:sz w:val="20"/>
              </w:rPr>
              <w:t>265 673 578</w:t>
            </w: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65EE" w:rsidRDefault="00D61767">
            <w:pPr>
              <w:spacing w:after="0"/>
              <w:ind w:firstLine="142"/>
              <w:rPr>
                <w:rFonts w:eastAsia="Arial Unicode MS" w:cs="Arial"/>
                <w:bCs/>
                <w:i/>
                <w:noProof/>
                <w:sz w:val="20"/>
              </w:rPr>
            </w:pPr>
            <w:r>
              <w:rPr>
                <w:bCs/>
                <w:i/>
                <w:noProof/>
                <w:sz w:val="20"/>
              </w:rPr>
              <w:t>Tekoči računi</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eastAsia="Arial Unicode MS" w:cs="Arial"/>
                <w:i/>
                <w:noProof/>
                <w:sz w:val="20"/>
              </w:rPr>
            </w:pPr>
            <w:r>
              <w:rPr>
                <w:i/>
                <w:noProof/>
                <w:sz w:val="20"/>
              </w:rPr>
              <w:t>4 885 215</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eastAsia="Arial Unicode MS" w:cs="Arial"/>
                <w:i/>
                <w:noProof/>
                <w:sz w:val="20"/>
              </w:rPr>
            </w:pPr>
            <w:r>
              <w:rPr>
                <w:i/>
                <w:noProof/>
                <w:sz w:val="20"/>
              </w:rPr>
              <w:t>265 721 781</w:t>
            </w: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65EE" w:rsidRDefault="00D61767">
            <w:pPr>
              <w:spacing w:after="0"/>
              <w:ind w:firstLine="142"/>
              <w:rPr>
                <w:rFonts w:eastAsia="Times New Roman" w:cs="Arial"/>
                <w:bCs/>
                <w:i/>
                <w:noProof/>
                <w:sz w:val="20"/>
              </w:rPr>
            </w:pPr>
            <w:r>
              <w:rPr>
                <w:bCs/>
                <w:i/>
                <w:noProof/>
                <w:sz w:val="20"/>
              </w:rPr>
              <w:t>Obračunane obresti na denarna sredstva in njihove ustreznike</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eastAsia="Arial Unicode MS" w:cs="Arial"/>
                <w:i/>
                <w:noProof/>
                <w:sz w:val="20"/>
              </w:rPr>
            </w:pPr>
            <w:r>
              <w:rPr>
                <w:i/>
                <w:noProof/>
                <w:sz w:val="20"/>
              </w:rPr>
              <w:t>(3 068)</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eastAsia="Arial Unicode MS" w:cs="Arial"/>
                <w:i/>
                <w:noProof/>
                <w:sz w:val="20"/>
              </w:rPr>
            </w:pPr>
            <w:r>
              <w:rPr>
                <w:i/>
                <w:noProof/>
                <w:sz w:val="20"/>
              </w:rPr>
              <w:t>(48 203)</w:t>
            </w: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rPr>
                <w:rFonts w:eastAsia="Arial Unicode M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ind w:right="142"/>
              <w:jc w:val="right"/>
              <w:rPr>
                <w:rFonts w:eastAsia="Arial Unicode MS"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ind w:right="142"/>
              <w:jc w:val="right"/>
              <w:rPr>
                <w:rFonts w:eastAsia="Arial Unicode MS" w:cs="Arial"/>
                <w:noProof/>
                <w:sz w:val="20"/>
              </w:rPr>
            </w:pP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rPr>
                <w:rFonts w:eastAsia="Arial Unicode MS" w:cs="Arial"/>
                <w:b/>
                <w:bCs/>
                <w:noProof/>
                <w:sz w:val="20"/>
              </w:rPr>
            </w:pPr>
            <w:r>
              <w:rPr>
                <w:b/>
                <w:bCs/>
                <w:noProof/>
                <w:sz w:val="20"/>
              </w:rPr>
              <w:t xml:space="preserve">SKUPNA SREDSTVA </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eastAsia="Arial Unicode MS" w:cs="Arial"/>
                <w:b/>
                <w:bCs/>
                <w:noProof/>
                <w:sz w:val="20"/>
              </w:rPr>
            </w:pPr>
            <w:r>
              <w:rPr>
                <w:b/>
                <w:bCs/>
                <w:noProof/>
                <w:sz w:val="20"/>
              </w:rPr>
              <w:t>599 589 261</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eastAsia="Arial Unicode MS" w:cs="Arial"/>
                <w:b/>
                <w:bCs/>
                <w:noProof/>
                <w:sz w:val="20"/>
              </w:rPr>
            </w:pPr>
            <w:r>
              <w:rPr>
                <w:b/>
                <w:bCs/>
                <w:noProof/>
                <w:sz w:val="20"/>
              </w:rPr>
              <w:t>275 046 461</w:t>
            </w:r>
          </w:p>
        </w:tc>
      </w:tr>
      <w:tr w:rsidR="005C65EE">
        <w:trPr>
          <w:trHeight w:hRule="exact" w:val="283"/>
        </w:trPr>
        <w:tc>
          <w:tcPr>
            <w:tcW w:w="4678" w:type="dxa"/>
            <w:tcBorders>
              <w:top w:val="single" w:sz="4" w:space="0" w:color="auto"/>
              <w:left w:val="nil"/>
              <w:bottom w:val="nil"/>
              <w:right w:val="nil"/>
            </w:tcBorders>
            <w:noWrap/>
            <w:vAlign w:val="bottom"/>
          </w:tcPr>
          <w:p w:rsidR="005C65EE" w:rsidRDefault="005C65EE">
            <w:pPr>
              <w:spacing w:after="0"/>
              <w:rPr>
                <w:rFonts w:eastAsia="Arial Unicode MS" w:cs="Arial"/>
                <w:noProof/>
                <w:sz w:val="20"/>
                <w:u w:val="single"/>
              </w:rPr>
            </w:pPr>
          </w:p>
        </w:tc>
        <w:tc>
          <w:tcPr>
            <w:tcW w:w="1985" w:type="dxa"/>
            <w:tcBorders>
              <w:top w:val="single" w:sz="4" w:space="0" w:color="auto"/>
              <w:left w:val="nil"/>
              <w:bottom w:val="nil"/>
              <w:right w:val="nil"/>
            </w:tcBorders>
            <w:noWrap/>
            <w:vAlign w:val="bottom"/>
          </w:tcPr>
          <w:p w:rsidR="005C65EE" w:rsidRDefault="005C65EE">
            <w:pPr>
              <w:spacing w:after="0"/>
              <w:rPr>
                <w:rFonts w:eastAsia="Arial Unicode MS" w:cs="Arial"/>
                <w:noProof/>
                <w:sz w:val="20"/>
              </w:rPr>
            </w:pPr>
          </w:p>
        </w:tc>
        <w:tc>
          <w:tcPr>
            <w:tcW w:w="1842" w:type="dxa"/>
            <w:tcBorders>
              <w:top w:val="single" w:sz="4" w:space="0" w:color="auto"/>
              <w:left w:val="nil"/>
              <w:bottom w:val="nil"/>
              <w:right w:val="nil"/>
            </w:tcBorders>
            <w:noWrap/>
            <w:vAlign w:val="bottom"/>
          </w:tcPr>
          <w:p w:rsidR="005C65EE" w:rsidRDefault="005C65EE">
            <w:pPr>
              <w:spacing w:after="0"/>
              <w:rPr>
                <w:rFonts w:eastAsia="Arial Unicode MS" w:cs="Arial"/>
                <w:noProof/>
                <w:sz w:val="20"/>
              </w:rPr>
            </w:pPr>
          </w:p>
        </w:tc>
      </w:tr>
      <w:tr w:rsidR="005C65EE">
        <w:trPr>
          <w:trHeight w:hRule="exact" w:val="283"/>
        </w:trPr>
        <w:tc>
          <w:tcPr>
            <w:tcW w:w="4678" w:type="dxa"/>
            <w:noWrap/>
            <w:vAlign w:val="bottom"/>
          </w:tcPr>
          <w:p w:rsidR="005C65EE" w:rsidRDefault="005C65EE">
            <w:pPr>
              <w:spacing w:after="0" w:line="240" w:lineRule="auto"/>
              <w:rPr>
                <w:rFonts w:eastAsia="Arial Unicode MS" w:cs="Arial"/>
                <w:noProof/>
                <w:sz w:val="20"/>
                <w:u w:val="single"/>
              </w:rPr>
            </w:pPr>
          </w:p>
        </w:tc>
        <w:tc>
          <w:tcPr>
            <w:tcW w:w="1985" w:type="dxa"/>
            <w:noWrap/>
            <w:vAlign w:val="bottom"/>
          </w:tcPr>
          <w:p w:rsidR="005C65EE" w:rsidRDefault="005C65EE">
            <w:pPr>
              <w:spacing w:after="0" w:line="240" w:lineRule="auto"/>
              <w:rPr>
                <w:rFonts w:eastAsia="Arial Unicode MS" w:cs="Arial"/>
                <w:noProof/>
                <w:sz w:val="20"/>
              </w:rPr>
            </w:pPr>
          </w:p>
        </w:tc>
        <w:tc>
          <w:tcPr>
            <w:tcW w:w="1842" w:type="dxa"/>
            <w:noWrap/>
            <w:vAlign w:val="bottom"/>
          </w:tcPr>
          <w:p w:rsidR="005C65EE" w:rsidRDefault="005C65EE">
            <w:pPr>
              <w:spacing w:after="0" w:line="240" w:lineRule="auto"/>
              <w:rPr>
                <w:rFonts w:eastAsia="Arial Unicode MS" w:cs="Arial"/>
                <w:noProof/>
                <w:sz w:val="20"/>
              </w:rPr>
            </w:pPr>
          </w:p>
        </w:tc>
      </w:tr>
      <w:tr w:rsidR="005C65EE">
        <w:trPr>
          <w:trHeight w:hRule="exact" w:val="283"/>
        </w:trPr>
        <w:tc>
          <w:tcPr>
            <w:tcW w:w="4678" w:type="dxa"/>
            <w:noWrap/>
            <w:vAlign w:val="bottom"/>
            <w:hideMark/>
          </w:tcPr>
          <w:p w:rsidR="005C65EE" w:rsidRDefault="00D61767">
            <w:pPr>
              <w:spacing w:after="0"/>
              <w:rPr>
                <w:rFonts w:eastAsia="Arial Unicode MS" w:cs="Arial"/>
                <w:b/>
                <w:noProof/>
                <w:sz w:val="20"/>
                <w:u w:val="single"/>
              </w:rPr>
            </w:pPr>
            <w:r>
              <w:rPr>
                <w:b/>
                <w:noProof/>
                <w:sz w:val="20"/>
                <w:u w:val="single"/>
              </w:rPr>
              <w:t>NETO SREDSTVA IN OBVEZNOSTI</w:t>
            </w:r>
          </w:p>
        </w:tc>
        <w:tc>
          <w:tcPr>
            <w:tcW w:w="1985" w:type="dxa"/>
            <w:noWrap/>
            <w:vAlign w:val="bottom"/>
          </w:tcPr>
          <w:p w:rsidR="005C65EE" w:rsidRDefault="005C65EE">
            <w:pPr>
              <w:spacing w:after="0"/>
              <w:rPr>
                <w:rFonts w:eastAsia="Arial Unicode MS" w:cs="Arial"/>
                <w:noProof/>
                <w:sz w:val="20"/>
                <w:lang w:val="fr-FR"/>
              </w:rPr>
            </w:pPr>
          </w:p>
        </w:tc>
        <w:tc>
          <w:tcPr>
            <w:tcW w:w="1842" w:type="dxa"/>
            <w:noWrap/>
            <w:vAlign w:val="bottom"/>
          </w:tcPr>
          <w:p w:rsidR="005C65EE" w:rsidRDefault="005C65EE">
            <w:pPr>
              <w:spacing w:after="0"/>
              <w:rPr>
                <w:rFonts w:eastAsia="Arial Unicode MS" w:cs="Arial"/>
                <w:noProof/>
                <w:sz w:val="20"/>
                <w:lang w:val="fr-FR"/>
              </w:rPr>
            </w:pPr>
          </w:p>
        </w:tc>
      </w:tr>
      <w:tr w:rsidR="005C65EE">
        <w:trPr>
          <w:trHeight w:hRule="exact" w:val="283"/>
        </w:trPr>
        <w:tc>
          <w:tcPr>
            <w:tcW w:w="4678" w:type="dxa"/>
            <w:tcBorders>
              <w:top w:val="nil"/>
              <w:left w:val="nil"/>
              <w:bottom w:val="single" w:sz="4" w:space="0" w:color="auto"/>
              <w:right w:val="nil"/>
            </w:tcBorders>
            <w:noWrap/>
            <w:vAlign w:val="bottom"/>
          </w:tcPr>
          <w:p w:rsidR="005C65EE" w:rsidRDefault="005C65EE">
            <w:pPr>
              <w:spacing w:after="0"/>
              <w:rPr>
                <w:rFonts w:eastAsia="Arial Unicode MS" w:cs="Arial"/>
                <w:noProof/>
                <w:sz w:val="20"/>
                <w:u w:val="single"/>
                <w:lang w:val="fr-FR"/>
              </w:rPr>
            </w:pPr>
          </w:p>
        </w:tc>
        <w:tc>
          <w:tcPr>
            <w:tcW w:w="1985" w:type="dxa"/>
            <w:tcBorders>
              <w:top w:val="nil"/>
              <w:left w:val="nil"/>
              <w:bottom w:val="single" w:sz="4" w:space="0" w:color="auto"/>
              <w:right w:val="nil"/>
            </w:tcBorders>
            <w:noWrap/>
            <w:vAlign w:val="bottom"/>
          </w:tcPr>
          <w:p w:rsidR="005C65EE" w:rsidRDefault="005C65EE">
            <w:pPr>
              <w:spacing w:after="0"/>
              <w:rPr>
                <w:rFonts w:eastAsia="Arial Unicode MS" w:cs="Arial"/>
                <w:noProof/>
                <w:sz w:val="20"/>
                <w:lang w:val="fr-FR"/>
              </w:rPr>
            </w:pPr>
          </w:p>
        </w:tc>
        <w:tc>
          <w:tcPr>
            <w:tcW w:w="1842" w:type="dxa"/>
            <w:tcBorders>
              <w:top w:val="nil"/>
              <w:left w:val="nil"/>
              <w:bottom w:val="single" w:sz="4" w:space="0" w:color="auto"/>
              <w:right w:val="nil"/>
            </w:tcBorders>
            <w:noWrap/>
            <w:vAlign w:val="bottom"/>
          </w:tcPr>
          <w:p w:rsidR="005C65EE" w:rsidRDefault="005C65EE">
            <w:pPr>
              <w:spacing w:after="0"/>
              <w:rPr>
                <w:rFonts w:eastAsia="Arial Unicode MS" w:cs="Arial"/>
                <w:noProof/>
                <w:sz w:val="20"/>
                <w:lang w:val="fr-FR"/>
              </w:rPr>
            </w:pP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rPr>
                <w:rFonts w:eastAsia="Arial Unicode MS" w:cs="Arial"/>
                <w:noProof/>
                <w:sz w:val="20"/>
              </w:rPr>
            </w:pPr>
            <w:r>
              <w:rPr>
                <w:noProof/>
                <w:sz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jc w:val="center"/>
              <w:rPr>
                <w:rFonts w:eastAsia="Arial Unicode MS" w:cs="Arial"/>
                <w:b/>
                <w:bCs/>
                <w:noProof/>
                <w:sz w:val="20"/>
              </w:rPr>
            </w:pPr>
            <w:r>
              <w:rPr>
                <w:b/>
                <w:bCs/>
                <w:noProof/>
                <w:sz w:val="20"/>
              </w:rPr>
              <w:t>31. december 2019</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jc w:val="center"/>
              <w:rPr>
                <w:rFonts w:eastAsia="Arial Unicode MS" w:cs="Arial"/>
                <w:b/>
                <w:bCs/>
                <w:noProof/>
                <w:sz w:val="20"/>
              </w:rPr>
            </w:pPr>
            <w:r>
              <w:rPr>
                <w:b/>
                <w:bCs/>
                <w:noProof/>
                <w:sz w:val="20"/>
              </w:rPr>
              <w:t>31. december 2018</w:t>
            </w: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rPr>
                <w:rFonts w:eastAsia="Times New Roman" w:cs="Arial"/>
                <w:noProof/>
                <w:sz w:val="20"/>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jc w:val="center"/>
              <w:rPr>
                <w:rFonts w:cs="Arial"/>
                <w:b/>
                <w:bCs/>
                <w:noProof/>
                <w:sz w:val="20"/>
              </w:rPr>
            </w:pPr>
            <w:r>
              <w:rPr>
                <w:b/>
                <w:bCs/>
                <w:noProof/>
                <w:sz w:val="20"/>
              </w:rPr>
              <w:t>v EUR</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jc w:val="center"/>
              <w:rPr>
                <w:rFonts w:cs="Arial"/>
                <w:b/>
                <w:bCs/>
                <w:noProof/>
                <w:sz w:val="20"/>
              </w:rPr>
            </w:pPr>
            <w:r>
              <w:rPr>
                <w:b/>
                <w:bCs/>
                <w:noProof/>
                <w:sz w:val="20"/>
              </w:rPr>
              <w:t>v EUR</w:t>
            </w: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rPr>
                <w:rFonts w:eastAsia="Arial Unicode MS" w:cs="Arial"/>
                <w:b/>
                <w:bCs/>
                <w:noProof/>
                <w:sz w:val="20"/>
              </w:rPr>
            </w:pPr>
            <w:r>
              <w:rPr>
                <w:b/>
                <w:bCs/>
                <w:noProof/>
                <w:sz w:val="20"/>
              </w:rPr>
              <w:t>NETO SREDSTVA</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eastAsia="Times New Roman" w:cs="Arial"/>
                <w:b/>
                <w:bCs/>
                <w:noProof/>
                <w:sz w:val="20"/>
              </w:rPr>
            </w:pPr>
            <w:r>
              <w:rPr>
                <w:b/>
                <w:bCs/>
                <w:noProof/>
                <w:sz w:val="20"/>
              </w:rPr>
              <w:t>599 567 587</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cs="Arial"/>
                <w:b/>
                <w:bCs/>
                <w:noProof/>
                <w:sz w:val="20"/>
              </w:rPr>
            </w:pPr>
            <w:r>
              <w:rPr>
                <w:b/>
                <w:bCs/>
                <w:noProof/>
                <w:sz w:val="20"/>
              </w:rPr>
              <w:t>275 030 778</w:t>
            </w: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rPr>
                <w:rFont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jc w:val="right"/>
              <w:rPr>
                <w:rFonts w:cs="Arial"/>
                <w:b/>
                <w:bCs/>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jc w:val="right"/>
              <w:rPr>
                <w:rFonts w:cs="Arial"/>
                <w:b/>
                <w:bCs/>
                <w:noProof/>
                <w:sz w:val="20"/>
              </w:rPr>
            </w:pP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rPr>
                <w:rFont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jc w:val="right"/>
              <w:rPr>
                <w:rFonts w:cs="Arial"/>
                <w:b/>
                <w:bCs/>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jc w:val="right"/>
              <w:rPr>
                <w:rFonts w:cs="Arial"/>
                <w:b/>
                <w:bCs/>
                <w:noProof/>
                <w:sz w:val="20"/>
              </w:rPr>
            </w:pP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rPr>
                <w:rFonts w:cs="Arial"/>
                <w:bCs/>
                <w:noProof/>
                <w:sz w:val="20"/>
              </w:rPr>
            </w:pPr>
            <w:r>
              <w:rPr>
                <w:bCs/>
                <w:noProof/>
                <w:sz w:val="20"/>
              </w:rPr>
              <w:t>Prispevek iz proračuna EU</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cs="Arial"/>
                <w:bCs/>
                <w:noProof/>
                <w:sz w:val="20"/>
              </w:rPr>
            </w:pPr>
            <w:r>
              <w:rPr>
                <w:bCs/>
                <w:noProof/>
                <w:sz w:val="20"/>
              </w:rPr>
              <w:t>600 100 000</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cs="Arial"/>
                <w:bCs/>
                <w:noProof/>
                <w:sz w:val="20"/>
              </w:rPr>
            </w:pPr>
            <w:r>
              <w:rPr>
                <w:bCs/>
                <w:noProof/>
                <w:sz w:val="20"/>
              </w:rPr>
              <w:t>275 100 000</w:t>
            </w: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rPr>
                <w:rFonts w:eastAsia="Arial Unicode MS" w:cs="Arial"/>
                <w:bCs/>
                <w:noProof/>
                <w:sz w:val="20"/>
              </w:rPr>
            </w:pPr>
            <w:r>
              <w:rPr>
                <w:bCs/>
                <w:noProof/>
                <w:sz w:val="20"/>
              </w:rPr>
              <w:t>Rezerva za pošteno vrednost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eastAsia="Times New Roman" w:cs="Arial"/>
                <w:bCs/>
                <w:noProof/>
                <w:sz w:val="20"/>
              </w:rPr>
            </w:pPr>
            <w:r>
              <w:rPr>
                <w:bCs/>
                <w:noProof/>
                <w:sz w:val="20"/>
              </w:rPr>
              <w:t>(188 713)</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cs="Arial"/>
                <w:bCs/>
                <w:noProof/>
                <w:sz w:val="20"/>
              </w:rPr>
            </w:pPr>
            <w:r>
              <w:rPr>
                <w:bCs/>
                <w:noProof/>
                <w:sz w:val="20"/>
              </w:rPr>
              <w:t>(655)</w:t>
            </w: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rPr>
                <w:rFonts w:cs="Arial"/>
                <w:noProof/>
                <w:sz w:val="20"/>
              </w:rPr>
            </w:pPr>
            <w:r>
              <w:rPr>
                <w:noProof/>
                <w:sz w:val="20"/>
              </w:rPr>
              <w:t>Zadržani čisti dobiček</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D61767">
            <w:pPr>
              <w:spacing w:after="0"/>
              <w:ind w:right="142"/>
              <w:jc w:val="right"/>
              <w:rPr>
                <w:rFonts w:eastAsia="Arial Unicode MS" w:cs="Arial"/>
                <w:noProof/>
                <w:sz w:val="20"/>
              </w:rPr>
            </w:pPr>
            <w:r>
              <w:rPr>
                <w:noProof/>
                <w:sz w:val="20"/>
              </w:rPr>
              <w:t>(68 567)</w:t>
            </w:r>
          </w:p>
          <w:p w:rsidR="005C65EE" w:rsidRDefault="005C65EE">
            <w:pPr>
              <w:spacing w:after="0"/>
              <w:ind w:right="142"/>
              <w:jc w:val="right"/>
              <w:rPr>
                <w:rFonts w:eastAsia="Times New Roman"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D61767">
            <w:pPr>
              <w:spacing w:after="0"/>
              <w:ind w:right="142"/>
              <w:jc w:val="right"/>
              <w:rPr>
                <w:rFonts w:eastAsia="Arial Unicode MS" w:cs="Arial"/>
                <w:noProof/>
                <w:sz w:val="20"/>
              </w:rPr>
            </w:pPr>
            <w:r>
              <w:rPr>
                <w:noProof/>
                <w:sz w:val="20"/>
              </w:rPr>
              <w:t>–</w:t>
            </w:r>
          </w:p>
          <w:p w:rsidR="005C65EE" w:rsidRDefault="005C65EE">
            <w:pPr>
              <w:spacing w:after="0"/>
              <w:ind w:right="142"/>
              <w:jc w:val="right"/>
              <w:rPr>
                <w:rFonts w:eastAsia="Times New Roman" w:cs="Arial"/>
                <w:noProof/>
                <w:sz w:val="20"/>
              </w:rPr>
            </w:pPr>
          </w:p>
        </w:tc>
      </w:tr>
      <w:tr w:rsidR="005C65EE">
        <w:trPr>
          <w:trHeight w:hRule="exact" w:val="297"/>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D61767">
            <w:pPr>
              <w:spacing w:after="0"/>
              <w:rPr>
                <w:rFonts w:cs="Arial"/>
                <w:noProof/>
                <w:sz w:val="20"/>
              </w:rPr>
            </w:pPr>
            <w:r>
              <w:rPr>
                <w:noProof/>
                <w:sz w:val="20"/>
              </w:rPr>
              <w:t>Poslovni izid v zadevnem letu</w:t>
            </w:r>
          </w:p>
          <w:p w:rsidR="005C65EE" w:rsidRDefault="005C65EE">
            <w:pPr>
              <w:spacing w:after="0"/>
              <w:rPr>
                <w:rFonts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cs="Arial"/>
                <w:noProof/>
                <w:sz w:val="20"/>
              </w:rPr>
            </w:pPr>
            <w:r>
              <w:rPr>
                <w:noProof/>
                <w:sz w:val="20"/>
              </w:rPr>
              <w:t>(275 133)</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cs="Arial"/>
                <w:noProof/>
                <w:sz w:val="20"/>
              </w:rPr>
            </w:pPr>
            <w:r>
              <w:rPr>
                <w:noProof/>
                <w:sz w:val="20"/>
              </w:rPr>
              <w:t>(68 567)</w:t>
            </w: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rPr>
                <w:rFonts w:eastAsia="Arial Unicode MS" w:cs="Arial"/>
                <w:b/>
                <w:bCs/>
                <w:noProof/>
                <w:sz w:val="20"/>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jc w:val="right"/>
              <w:rPr>
                <w:rFonts w:cs="Arial"/>
                <w:b/>
                <w:noProof/>
                <w:sz w:val="2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jc w:val="right"/>
              <w:rPr>
                <w:rFonts w:cs="Arial"/>
                <w:b/>
                <w:noProof/>
                <w:sz w:val="20"/>
                <w:lang w:val="fr-FR"/>
              </w:rPr>
            </w:pP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rPr>
                <w:rFonts w:eastAsia="Arial Unicode MS" w:cs="Arial"/>
                <w:b/>
                <w:bCs/>
                <w:noProof/>
                <w:sz w:val="20"/>
              </w:rPr>
            </w:pPr>
            <w:r>
              <w:rPr>
                <w:b/>
                <w:bCs/>
                <w:noProof/>
                <w:sz w:val="20"/>
              </w:rPr>
              <w:t>KRATKOROČNE OBVEZNOSTI</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tabs>
                <w:tab w:val="left" w:pos="1558"/>
              </w:tabs>
              <w:spacing w:after="0"/>
              <w:ind w:right="143"/>
              <w:jc w:val="right"/>
              <w:rPr>
                <w:rFonts w:eastAsia="Arial Unicode MS" w:cs="Arial"/>
                <w:b/>
                <w:noProof/>
                <w:sz w:val="20"/>
              </w:rPr>
            </w:pPr>
            <w:r>
              <w:rPr>
                <w:b/>
                <w:noProof/>
                <w:sz w:val="20"/>
              </w:rPr>
              <w:t>21 674</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tabs>
                <w:tab w:val="left" w:pos="1558"/>
              </w:tabs>
              <w:spacing w:after="0"/>
              <w:ind w:right="143"/>
              <w:jc w:val="right"/>
              <w:rPr>
                <w:rFonts w:eastAsia="Arial Unicode MS" w:cs="Arial"/>
                <w:b/>
                <w:noProof/>
                <w:sz w:val="20"/>
              </w:rPr>
            </w:pPr>
            <w:r>
              <w:rPr>
                <w:b/>
                <w:noProof/>
                <w:sz w:val="20"/>
              </w:rPr>
              <w:t>15 683</w:t>
            </w: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rPr>
                <w:rFonts w:eastAsia="Times New Roman"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jc w:val="right"/>
              <w:rPr>
                <w:rFonts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jc w:val="right"/>
              <w:rPr>
                <w:rFonts w:cs="Arial"/>
                <w:noProof/>
                <w:sz w:val="20"/>
              </w:rPr>
            </w:pPr>
          </w:p>
        </w:tc>
      </w:tr>
      <w:tr w:rsidR="005C65EE">
        <w:trPr>
          <w:trHeight w:hRule="exact" w:val="34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rPr>
                <w:rFonts w:cs="Arial"/>
                <w:bCs/>
                <w:noProof/>
                <w:sz w:val="20"/>
              </w:rPr>
            </w:pPr>
            <w:r>
              <w:rPr>
                <w:bCs/>
                <w:noProof/>
                <w:sz w:val="20"/>
              </w:rPr>
              <w:t>Druge obveznosti iz poslovanja</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cs="Arial"/>
                <w:noProof/>
                <w:sz w:val="20"/>
              </w:rPr>
            </w:pPr>
            <w:r>
              <w:rPr>
                <w:noProof/>
                <w:sz w:val="20"/>
              </w:rPr>
              <w:t>21 674</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cs="Arial"/>
                <w:noProof/>
                <w:sz w:val="20"/>
              </w:rPr>
            </w:pPr>
            <w:r>
              <w:rPr>
                <w:noProof/>
                <w:sz w:val="20"/>
              </w:rPr>
              <w:t>15 683</w:t>
            </w:r>
          </w:p>
        </w:tc>
      </w:tr>
      <w:tr w:rsidR="005C65EE">
        <w:trPr>
          <w:trHeight w:hRule="exact" w:val="28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rPr>
                <w:rFonts w:eastAsia="Arial Unicode MS" w:cs="Arial"/>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ind w:right="142"/>
              <w:jc w:val="right"/>
              <w:rPr>
                <w:rFonts w:eastAsia="Arial Unicode MS"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spacing w:after="0"/>
              <w:ind w:right="142"/>
              <w:jc w:val="right"/>
              <w:rPr>
                <w:rFonts w:eastAsia="Arial Unicode MS" w:cs="Arial"/>
                <w:noProof/>
                <w:sz w:val="20"/>
              </w:rPr>
            </w:pPr>
          </w:p>
        </w:tc>
      </w:tr>
      <w:tr w:rsidR="005C65EE">
        <w:trPr>
          <w:trHeight w:hRule="exact" w:val="403"/>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rPr>
                <w:rFonts w:eastAsia="Arial Unicode MS" w:cs="Arial"/>
                <w:b/>
                <w:bCs/>
                <w:noProof/>
                <w:sz w:val="20"/>
              </w:rPr>
            </w:pPr>
            <w:r>
              <w:rPr>
                <w:b/>
                <w:bCs/>
                <w:noProof/>
                <w:sz w:val="20"/>
              </w:rPr>
              <w:t>SKUPNA NETO SREDSTVA IN OBVEZNOSTI</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eastAsia="Times New Roman" w:cs="Arial"/>
                <w:b/>
                <w:noProof/>
                <w:sz w:val="20"/>
              </w:rPr>
            </w:pPr>
            <w:r>
              <w:rPr>
                <w:b/>
                <w:bCs/>
                <w:noProof/>
                <w:sz w:val="20"/>
              </w:rPr>
              <w:t>599 589 261</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spacing w:after="0"/>
              <w:ind w:right="142"/>
              <w:jc w:val="right"/>
              <w:rPr>
                <w:rFonts w:cs="Arial"/>
                <w:b/>
                <w:noProof/>
                <w:sz w:val="20"/>
              </w:rPr>
            </w:pPr>
            <w:r>
              <w:rPr>
                <w:b/>
                <w:bCs/>
                <w:noProof/>
                <w:sz w:val="20"/>
              </w:rPr>
              <w:t>275 046 461</w:t>
            </w:r>
          </w:p>
        </w:tc>
      </w:tr>
    </w:tbl>
    <w:p w:rsidR="005C65EE" w:rsidRDefault="005C65EE">
      <w:pPr>
        <w:rPr>
          <w:noProof/>
        </w:rPr>
      </w:pPr>
    </w:p>
    <w:p w:rsidR="005C65EE" w:rsidRDefault="00D61767">
      <w:pPr>
        <w:jc w:val="both"/>
        <w:rPr>
          <w:b/>
          <w:noProof/>
        </w:rPr>
      </w:pPr>
      <w:r>
        <w:rPr>
          <w:b/>
          <w:noProof/>
        </w:rPr>
        <w:t>Izkaz poslovnega izida za leto, ki se je končalo 31. decembra 2019</w:t>
      </w:r>
    </w:p>
    <w:p w:rsidR="005C65EE" w:rsidRDefault="00D61767">
      <w:pPr>
        <w:spacing w:after="0" w:line="240" w:lineRule="auto"/>
        <w:ind w:left="-142" w:firstLine="120"/>
        <w:rPr>
          <w:rFonts w:cs="Arial"/>
          <w:noProof/>
          <w:sz w:val="20"/>
        </w:rPr>
      </w:pPr>
      <w:r>
        <w:rPr>
          <w:noProof/>
          <w:sz w:val="20"/>
        </w:rPr>
        <w:t>(zneski, izraženi v EUR)</w:t>
      </w:r>
    </w:p>
    <w:p w:rsidR="005C65EE" w:rsidRDefault="005C65EE">
      <w:pPr>
        <w:spacing w:after="0" w:line="240" w:lineRule="auto"/>
        <w:ind w:left="-142" w:firstLine="120"/>
        <w:rPr>
          <w:rFonts w:cs="Arial"/>
          <w:b/>
          <w:bCs/>
          <w:noProof/>
          <w:sz w:val="2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1985"/>
        <w:gridCol w:w="1842"/>
      </w:tblGrid>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rPr>
                <w:rFonts w:eastAsia="Arial Unicode MS" w:cs="Arial"/>
                <w:noProof/>
                <w:sz w:val="20"/>
              </w:rPr>
            </w:pPr>
            <w:r>
              <w:rPr>
                <w:b/>
                <w:bCs/>
                <w:noProof/>
                <w:sz w:val="20"/>
              </w:rPr>
              <w:t xml:space="preserve"> </w:t>
            </w:r>
            <w:r>
              <w:rPr>
                <w:noProof/>
                <w:sz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jc w:val="center"/>
              <w:rPr>
                <w:rFonts w:eastAsia="Arial Unicode MS" w:cs="Arial"/>
                <w:b/>
                <w:bCs/>
                <w:noProof/>
                <w:sz w:val="20"/>
              </w:rPr>
            </w:pPr>
            <w:r>
              <w:rPr>
                <w:b/>
                <w:bCs/>
                <w:noProof/>
                <w:sz w:val="20"/>
              </w:rPr>
              <w:t>2019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65EE" w:rsidRDefault="00D61767">
            <w:pPr>
              <w:jc w:val="center"/>
              <w:rPr>
                <w:rFonts w:eastAsia="Arial Unicode MS" w:cs="Arial"/>
                <w:b/>
                <w:bCs/>
                <w:noProof/>
                <w:sz w:val="20"/>
              </w:rPr>
            </w:pPr>
            <w:r>
              <w:rPr>
                <w:b/>
                <w:bCs/>
                <w:noProof/>
                <w:sz w:val="20"/>
              </w:rPr>
              <w:t>2018</w:t>
            </w: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rPr>
                <w:rFonts w:eastAsia="Times New Roman"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jc w:val="center"/>
              <w:rPr>
                <w:rFonts w:cs="Arial"/>
                <w:b/>
                <w:bCs/>
                <w:noProof/>
                <w:sz w:val="20"/>
              </w:rPr>
            </w:pPr>
            <w:r>
              <w:rPr>
                <w:b/>
                <w:bCs/>
                <w:noProof/>
                <w:sz w:val="20"/>
              </w:rPr>
              <w:t>v EUR</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65EE" w:rsidRDefault="00D61767">
            <w:pPr>
              <w:jc w:val="center"/>
              <w:rPr>
                <w:rFonts w:cs="Arial"/>
                <w:b/>
                <w:bCs/>
                <w:noProof/>
                <w:sz w:val="20"/>
              </w:rPr>
            </w:pPr>
            <w:r>
              <w:rPr>
                <w:b/>
                <w:bCs/>
                <w:noProof/>
                <w:sz w:val="20"/>
              </w:rPr>
              <w:t>v EUR</w:t>
            </w: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rPr>
                <w:rFonts w:cs="Arial"/>
                <w:noProof/>
                <w:sz w:val="20"/>
              </w:rPr>
            </w:pPr>
            <w:r>
              <w:rPr>
                <w:b/>
                <w:noProof/>
                <w:sz w:val="20"/>
              </w:rPr>
              <w:t>Prihodki iz poslovanja</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tabs>
                <w:tab w:val="left" w:pos="1558"/>
              </w:tabs>
              <w:spacing w:after="0"/>
              <w:ind w:right="143"/>
              <w:jc w:val="right"/>
              <w:rPr>
                <w:rFonts w:eastAsia="Times New Roman" w:cs="Arial"/>
                <w:b/>
                <w:noProof/>
                <w:sz w:val="20"/>
              </w:rPr>
            </w:pPr>
            <w:r>
              <w:rPr>
                <w:noProof/>
                <w:sz w:val="20"/>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65EE" w:rsidRDefault="00D61767">
            <w:pPr>
              <w:tabs>
                <w:tab w:val="left" w:pos="1558"/>
              </w:tabs>
              <w:spacing w:after="0"/>
              <w:ind w:right="143"/>
              <w:jc w:val="right"/>
              <w:rPr>
                <w:rFonts w:cs="Arial"/>
                <w:b/>
                <w:noProof/>
                <w:sz w:val="20"/>
              </w:rPr>
            </w:pPr>
            <w:r>
              <w:rPr>
                <w:noProof/>
                <w:sz w:val="20"/>
              </w:rPr>
              <w:t>–</w:t>
            </w: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rPr>
                <w:rFonts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5EE" w:rsidRDefault="005C65EE">
            <w:pPr>
              <w:tabs>
                <w:tab w:val="left" w:pos="1558"/>
              </w:tabs>
              <w:ind w:right="143"/>
              <w:jc w:val="right"/>
              <w:rPr>
                <w:rFonts w:eastAsia="Times New Roman"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5C65EE" w:rsidRDefault="005C65EE">
            <w:pPr>
              <w:tabs>
                <w:tab w:val="left" w:pos="1558"/>
              </w:tabs>
              <w:ind w:right="143"/>
              <w:jc w:val="right"/>
              <w:rPr>
                <w:rFonts w:cs="Arial"/>
                <w:noProof/>
                <w:sz w:val="20"/>
              </w:rPr>
            </w:pP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rPr>
                <w:rFonts w:cs="Arial"/>
                <w:noProof/>
                <w:sz w:val="20"/>
              </w:rPr>
            </w:pPr>
            <w:r>
              <w:rPr>
                <w:b/>
                <w:noProof/>
                <w:sz w:val="20"/>
              </w:rPr>
              <w:t>Stroški iz poslovanja</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65EE" w:rsidRDefault="00D61767">
            <w:pPr>
              <w:tabs>
                <w:tab w:val="left" w:pos="1558"/>
              </w:tabs>
              <w:spacing w:after="0"/>
              <w:ind w:right="143"/>
              <w:jc w:val="right"/>
              <w:rPr>
                <w:rFonts w:eastAsia="Times New Roman" w:cs="Arial"/>
                <w:b/>
                <w:noProof/>
                <w:sz w:val="20"/>
              </w:rPr>
            </w:pPr>
            <w:r>
              <w:rPr>
                <w:noProof/>
                <w:sz w:val="20"/>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65EE" w:rsidRDefault="00D61767">
            <w:pPr>
              <w:tabs>
                <w:tab w:val="left" w:pos="1558"/>
              </w:tabs>
              <w:spacing w:after="0"/>
              <w:ind w:right="143"/>
              <w:jc w:val="right"/>
              <w:rPr>
                <w:rFonts w:cs="Arial"/>
                <w:b/>
                <w:noProof/>
                <w:sz w:val="20"/>
              </w:rPr>
            </w:pPr>
            <w:r>
              <w:rPr>
                <w:noProof/>
                <w:sz w:val="20"/>
              </w:rPr>
              <w:t>–</w:t>
            </w: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spacing w:after="0"/>
              <w:rPr>
                <w:rFonts w:cs="Arial"/>
                <w:noProof/>
                <w:sz w:val="20"/>
              </w:rPr>
            </w:pPr>
            <w:r>
              <w:rPr>
                <w:bCs/>
                <w:noProof/>
                <w:sz w:val="20"/>
              </w:rPr>
              <w:t>Drugi stroški iz poslovanja</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tabs>
                <w:tab w:val="left" w:pos="1558"/>
              </w:tabs>
              <w:spacing w:after="0"/>
              <w:ind w:right="143"/>
              <w:jc w:val="right"/>
              <w:rPr>
                <w:rFonts w:eastAsia="Arial Unicode MS" w:cs="Arial"/>
                <w:b/>
                <w:noProof/>
                <w:sz w:val="20"/>
              </w:rPr>
            </w:pPr>
            <w:r>
              <w:rPr>
                <w:noProof/>
                <w:sz w:val="20"/>
              </w:rPr>
              <w:t>(15 000)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65EE" w:rsidRDefault="00D61767">
            <w:pPr>
              <w:tabs>
                <w:tab w:val="left" w:pos="1558"/>
              </w:tabs>
              <w:spacing w:after="0"/>
              <w:ind w:right="143"/>
              <w:jc w:val="right"/>
              <w:rPr>
                <w:rFonts w:eastAsia="Arial Unicode MS" w:cs="Arial"/>
                <w:b/>
                <w:noProof/>
                <w:sz w:val="20"/>
              </w:rPr>
            </w:pPr>
            <w:r>
              <w:rPr>
                <w:noProof/>
                <w:sz w:val="20"/>
              </w:rPr>
              <w:t>(15 000)</w:t>
            </w: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spacing w:after="0"/>
              <w:rPr>
                <w:rFonts w:eastAsia="Arial Unicode MS" w:cs="Arial"/>
                <w:i/>
                <w:noProof/>
                <w:sz w:val="20"/>
              </w:rPr>
            </w:pPr>
            <w:r>
              <w:rPr>
                <w:i/>
                <w:noProof/>
                <w:sz w:val="20"/>
              </w:rPr>
              <w:t xml:space="preserve">     Revizijske pristojbine</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tabs>
                <w:tab w:val="left" w:pos="1558"/>
              </w:tabs>
              <w:spacing w:after="0"/>
              <w:ind w:right="143"/>
              <w:jc w:val="right"/>
              <w:rPr>
                <w:rFonts w:cs="Arial"/>
                <w:i/>
                <w:noProof/>
                <w:sz w:val="20"/>
              </w:rPr>
            </w:pPr>
            <w:r>
              <w:rPr>
                <w:i/>
                <w:noProof/>
                <w:sz w:val="20"/>
              </w:rPr>
              <w:t>(15 000)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65EE" w:rsidRDefault="00D61767">
            <w:pPr>
              <w:tabs>
                <w:tab w:val="left" w:pos="1558"/>
              </w:tabs>
              <w:spacing w:after="0"/>
              <w:ind w:right="143"/>
              <w:jc w:val="right"/>
              <w:rPr>
                <w:rFonts w:cs="Arial"/>
                <w:i/>
                <w:noProof/>
                <w:sz w:val="20"/>
              </w:rPr>
            </w:pPr>
            <w:r>
              <w:rPr>
                <w:i/>
                <w:noProof/>
                <w:sz w:val="20"/>
              </w:rPr>
              <w:t>(15 000)</w:t>
            </w: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spacing w:after="0"/>
              <w:rPr>
                <w:rFonts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tabs>
                <w:tab w:val="left" w:pos="1558"/>
              </w:tabs>
              <w:spacing w:after="0"/>
              <w:ind w:right="143"/>
              <w:jc w:val="right"/>
              <w:rPr>
                <w:rFonts w:cs="Arial"/>
                <w:i/>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C65EE" w:rsidRDefault="005C65EE">
            <w:pPr>
              <w:tabs>
                <w:tab w:val="left" w:pos="1558"/>
              </w:tabs>
              <w:spacing w:after="0"/>
              <w:ind w:right="143"/>
              <w:jc w:val="right"/>
              <w:rPr>
                <w:rFonts w:cs="Arial"/>
                <w:i/>
                <w:noProof/>
                <w:sz w:val="20"/>
                <w:lang w:eastAsia="ko-KR"/>
              </w:rPr>
            </w:pP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spacing w:after="0"/>
              <w:rPr>
                <w:rFonts w:cs="Arial"/>
                <w:noProof/>
                <w:sz w:val="20"/>
              </w:rPr>
            </w:pPr>
            <w:r>
              <w:rPr>
                <w:b/>
                <w:bCs/>
                <w:noProof/>
                <w:sz w:val="20"/>
              </w:rPr>
              <w:t>REZULTAT IZ POSLOVANJA</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tabs>
                <w:tab w:val="left" w:pos="1558"/>
              </w:tabs>
              <w:spacing w:after="0"/>
              <w:ind w:right="143"/>
              <w:jc w:val="right"/>
              <w:rPr>
                <w:rFonts w:cs="Arial"/>
                <w:b/>
                <w:noProof/>
                <w:sz w:val="20"/>
              </w:rPr>
            </w:pPr>
            <w:r>
              <w:rPr>
                <w:b/>
                <w:noProof/>
                <w:sz w:val="20"/>
              </w:rPr>
              <w:t>(15 000)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65EE" w:rsidRDefault="00D61767">
            <w:pPr>
              <w:tabs>
                <w:tab w:val="left" w:pos="1558"/>
              </w:tabs>
              <w:spacing w:after="0"/>
              <w:ind w:right="143"/>
              <w:jc w:val="right"/>
              <w:rPr>
                <w:rFonts w:cs="Arial"/>
                <w:b/>
                <w:noProof/>
                <w:sz w:val="20"/>
              </w:rPr>
            </w:pPr>
            <w:r>
              <w:rPr>
                <w:b/>
                <w:noProof/>
                <w:sz w:val="20"/>
              </w:rPr>
              <w:t>(15 000)</w:t>
            </w: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spacing w:after="0"/>
              <w:rPr>
                <w:rFonts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tabs>
                <w:tab w:val="left" w:pos="1558"/>
              </w:tabs>
              <w:spacing w:after="0"/>
              <w:ind w:right="143"/>
              <w:jc w:val="right"/>
              <w:rPr>
                <w:rFonts w:cs="Arial"/>
                <w:i/>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C65EE" w:rsidRDefault="005C65EE">
            <w:pPr>
              <w:tabs>
                <w:tab w:val="left" w:pos="1558"/>
              </w:tabs>
              <w:spacing w:after="0"/>
              <w:ind w:right="143"/>
              <w:jc w:val="right"/>
              <w:rPr>
                <w:rFonts w:cs="Arial"/>
                <w:i/>
                <w:noProof/>
                <w:sz w:val="20"/>
                <w:lang w:eastAsia="ko-KR"/>
              </w:rPr>
            </w:pP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spacing w:after="0"/>
              <w:rPr>
                <w:rFonts w:eastAsia="Arial Unicode MS" w:cs="Arial"/>
                <w:b/>
                <w:bCs/>
                <w:noProof/>
                <w:sz w:val="20"/>
              </w:rPr>
            </w:pPr>
            <w:r>
              <w:rPr>
                <w:b/>
                <w:bCs/>
                <w:noProof/>
                <w:sz w:val="20"/>
              </w:rPr>
              <w:t xml:space="preserve">Finančni prihodki </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tabs>
                <w:tab w:val="left" w:pos="1558"/>
              </w:tabs>
              <w:spacing w:after="0"/>
              <w:ind w:right="143"/>
              <w:jc w:val="right"/>
              <w:rPr>
                <w:rFonts w:eastAsia="Arial Unicode MS" w:cs="Arial"/>
                <w:b/>
                <w:noProof/>
                <w:sz w:val="20"/>
              </w:rPr>
            </w:pPr>
            <w:r>
              <w:rPr>
                <w:b/>
                <w:noProof/>
                <w:sz w:val="20"/>
              </w:rPr>
              <w:t>188 403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65EE" w:rsidRDefault="00D61767">
            <w:pPr>
              <w:tabs>
                <w:tab w:val="left" w:pos="1558"/>
              </w:tabs>
              <w:spacing w:after="0"/>
              <w:ind w:right="143"/>
              <w:jc w:val="right"/>
              <w:rPr>
                <w:rFonts w:eastAsia="Arial Unicode MS" w:cs="Arial"/>
                <w:b/>
                <w:noProof/>
                <w:sz w:val="20"/>
              </w:rPr>
            </w:pPr>
            <w:r>
              <w:rPr>
                <w:b/>
                <w:noProof/>
                <w:sz w:val="20"/>
              </w:rPr>
              <w:t>(1 088)</w:t>
            </w: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spacing w:after="0"/>
              <w:rPr>
                <w:rFonts w:eastAsia="Arial Unicode MS" w:cs="Arial"/>
                <w:noProof/>
                <w:sz w:val="20"/>
              </w:rPr>
            </w:pPr>
            <w:r>
              <w:rPr>
                <w:noProof/>
                <w:sz w:val="20"/>
              </w:rPr>
              <w:t>Prihodki od obresti:</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tabs>
                <w:tab w:val="left" w:pos="1558"/>
              </w:tabs>
              <w:spacing w:after="0"/>
              <w:ind w:right="143"/>
              <w:jc w:val="right"/>
              <w:rPr>
                <w:rFonts w:eastAsia="Arial Unicode MS" w:cs="Arial"/>
                <w:noProof/>
                <w:sz w:val="20"/>
              </w:rPr>
            </w:pPr>
            <w:r>
              <w:rPr>
                <w:noProof/>
                <w:sz w:val="20"/>
              </w:rPr>
              <w:t>(54 689)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65EE" w:rsidRDefault="00D61767">
            <w:pPr>
              <w:tabs>
                <w:tab w:val="left" w:pos="1558"/>
              </w:tabs>
              <w:spacing w:after="0"/>
              <w:ind w:right="143"/>
              <w:jc w:val="right"/>
              <w:rPr>
                <w:rFonts w:eastAsia="Arial Unicode MS" w:cs="Arial"/>
                <w:noProof/>
                <w:sz w:val="20"/>
              </w:rPr>
            </w:pPr>
            <w:r>
              <w:rPr>
                <w:noProof/>
                <w:sz w:val="20"/>
              </w:rPr>
              <w:t>(1 088)</w:t>
            </w: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spacing w:after="0"/>
              <w:rPr>
                <w:rFonts w:eastAsia="Arial Unicode MS" w:cs="Arial"/>
                <w:i/>
                <w:noProof/>
                <w:sz w:val="20"/>
              </w:rPr>
            </w:pPr>
            <w:r>
              <w:rPr>
                <w:i/>
                <w:noProof/>
                <w:sz w:val="20"/>
              </w:rPr>
              <w:t xml:space="preserve">     Denarna sredstva in njihovi ustrezniki</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tabs>
                <w:tab w:val="left" w:pos="1558"/>
              </w:tabs>
              <w:spacing w:after="0"/>
              <w:ind w:right="143"/>
              <w:jc w:val="right"/>
              <w:rPr>
                <w:rFonts w:eastAsia="Times New Roman" w:cs="Arial"/>
                <w:i/>
                <w:noProof/>
                <w:sz w:val="20"/>
              </w:rPr>
            </w:pPr>
            <w:r>
              <w:rPr>
                <w:noProof/>
                <w:sz w:val="20"/>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65EE" w:rsidRDefault="00D61767">
            <w:pPr>
              <w:tabs>
                <w:tab w:val="left" w:pos="1558"/>
              </w:tabs>
              <w:spacing w:after="0"/>
              <w:ind w:right="143"/>
              <w:jc w:val="right"/>
              <w:rPr>
                <w:rFonts w:cs="Arial"/>
                <w:i/>
                <w:noProof/>
                <w:sz w:val="20"/>
              </w:rPr>
            </w:pPr>
            <w:r>
              <w:rPr>
                <w:noProof/>
                <w:sz w:val="20"/>
              </w:rPr>
              <w:t>–</w:t>
            </w:r>
          </w:p>
        </w:tc>
      </w:tr>
      <w:tr w:rsidR="005C65EE">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spacing w:after="0"/>
              <w:rPr>
                <w:rFonts w:cs="Arial"/>
                <w:i/>
                <w:noProof/>
                <w:sz w:val="20"/>
              </w:rPr>
            </w:pPr>
            <w:r>
              <w:rPr>
                <w:i/>
                <w:noProof/>
                <w:sz w:val="20"/>
              </w:rPr>
              <w:t xml:space="preserve">     Za prodajo razpoložljiva sredstva</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tabs>
                <w:tab w:val="left" w:pos="1558"/>
              </w:tabs>
              <w:spacing w:after="0"/>
              <w:ind w:right="143"/>
              <w:jc w:val="right"/>
              <w:rPr>
                <w:rFonts w:eastAsia="Times New Roman" w:cs="Arial"/>
                <w:i/>
                <w:noProof/>
                <w:sz w:val="20"/>
              </w:rPr>
            </w:pPr>
            <w:r>
              <w:rPr>
                <w:i/>
                <w:noProof/>
                <w:sz w:val="20"/>
              </w:rPr>
              <w:t>(54 689)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65EE" w:rsidRDefault="00D61767">
            <w:pPr>
              <w:tabs>
                <w:tab w:val="left" w:pos="1558"/>
              </w:tabs>
              <w:spacing w:after="0"/>
              <w:ind w:right="143"/>
              <w:jc w:val="right"/>
              <w:rPr>
                <w:rFonts w:cs="Arial"/>
                <w:i/>
                <w:noProof/>
                <w:sz w:val="20"/>
              </w:rPr>
            </w:pPr>
            <w:r>
              <w:rPr>
                <w:i/>
                <w:noProof/>
                <w:sz w:val="20"/>
              </w:rPr>
              <w:t>(1 088)</w:t>
            </w:r>
          </w:p>
        </w:tc>
      </w:tr>
      <w:tr w:rsidR="005C65EE">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spacing w:after="0"/>
              <w:ind w:firstLine="284"/>
              <w:rPr>
                <w:rFonts w:cs="Arial"/>
                <w:i/>
                <w:noProof/>
                <w:sz w:val="20"/>
              </w:rPr>
            </w:pPr>
            <w:r>
              <w:rPr>
                <w:i/>
                <w:noProof/>
                <w:sz w:val="20"/>
              </w:rPr>
              <w:t>Drugi prihodki od obresti</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tabs>
                <w:tab w:val="left" w:pos="1558"/>
              </w:tabs>
              <w:spacing w:after="0"/>
              <w:ind w:right="143"/>
              <w:jc w:val="right"/>
              <w:rPr>
                <w:rFonts w:eastAsia="Times New Roman" w:cs="Arial"/>
                <w:i/>
                <w:noProof/>
                <w:sz w:val="20"/>
              </w:rPr>
            </w:pPr>
            <w:r>
              <w:rPr>
                <w:i/>
                <w:noProof/>
                <w:sz w:val="20"/>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65EE" w:rsidRDefault="00D61767">
            <w:pPr>
              <w:tabs>
                <w:tab w:val="left" w:pos="1558"/>
              </w:tabs>
              <w:spacing w:after="0"/>
              <w:ind w:right="143"/>
              <w:jc w:val="right"/>
              <w:rPr>
                <w:rFonts w:cs="Arial"/>
                <w:i/>
                <w:noProof/>
                <w:sz w:val="20"/>
              </w:rPr>
            </w:pPr>
            <w:r>
              <w:rPr>
                <w:i/>
                <w:noProof/>
                <w:sz w:val="20"/>
              </w:rPr>
              <w:t>–</w:t>
            </w:r>
          </w:p>
        </w:tc>
      </w:tr>
      <w:tr w:rsidR="005C65EE">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spacing w:after="0"/>
              <w:rPr>
                <w:rFonts w:cs="Arial"/>
                <w:i/>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tabs>
                <w:tab w:val="left" w:pos="1558"/>
              </w:tabs>
              <w:spacing w:after="0"/>
              <w:ind w:right="143"/>
              <w:jc w:val="right"/>
              <w:rPr>
                <w:rFonts w:eastAsia="Times New Roman" w:cs="Arial"/>
                <w:i/>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C65EE" w:rsidRDefault="005C65EE">
            <w:pPr>
              <w:tabs>
                <w:tab w:val="left" w:pos="1558"/>
              </w:tabs>
              <w:spacing w:after="0"/>
              <w:ind w:right="143"/>
              <w:jc w:val="right"/>
              <w:rPr>
                <w:rFonts w:cs="Arial"/>
                <w:i/>
                <w:noProof/>
                <w:sz w:val="20"/>
                <w:lang w:eastAsia="ko-KR"/>
              </w:rPr>
            </w:pPr>
          </w:p>
        </w:tc>
      </w:tr>
      <w:tr w:rsidR="005C65EE">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spacing w:after="0"/>
              <w:rPr>
                <w:rFonts w:cs="Arial"/>
                <w:i/>
                <w:noProof/>
                <w:sz w:val="20"/>
              </w:rPr>
            </w:pPr>
            <w:r>
              <w:rPr>
                <w:noProof/>
                <w:sz w:val="20"/>
              </w:rPr>
              <w:t>Realiziran dobiček od prodaje sredstev, razpoložljivih za prodajo</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tabs>
                <w:tab w:val="left" w:pos="1558"/>
              </w:tabs>
              <w:spacing w:after="0"/>
              <w:ind w:right="143"/>
              <w:jc w:val="right"/>
              <w:rPr>
                <w:rFonts w:eastAsia="Times New Roman" w:cs="Arial"/>
                <w:i/>
                <w:noProof/>
                <w:sz w:val="20"/>
              </w:rPr>
            </w:pPr>
            <w:r>
              <w:rPr>
                <w:noProof/>
                <w:sz w:val="20"/>
              </w:rPr>
              <w:t>240 839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65EE" w:rsidRDefault="00D61767">
            <w:pPr>
              <w:tabs>
                <w:tab w:val="left" w:pos="1558"/>
              </w:tabs>
              <w:spacing w:after="0"/>
              <w:ind w:right="143"/>
              <w:jc w:val="right"/>
              <w:rPr>
                <w:rFonts w:cs="Arial"/>
                <w:i/>
                <w:noProof/>
                <w:sz w:val="20"/>
              </w:rPr>
            </w:pPr>
            <w:r>
              <w:rPr>
                <w:i/>
                <w:noProof/>
                <w:sz w:val="20"/>
              </w:rPr>
              <w:t>–</w:t>
            </w:r>
          </w:p>
        </w:tc>
      </w:tr>
      <w:tr w:rsidR="005C65EE">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spacing w:after="0"/>
              <w:rPr>
                <w:rFonts w:cs="Arial"/>
                <w:i/>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tabs>
                <w:tab w:val="left" w:pos="1558"/>
              </w:tabs>
              <w:spacing w:after="0"/>
              <w:ind w:right="143"/>
              <w:jc w:val="right"/>
              <w:rPr>
                <w:rFonts w:eastAsia="Times New Roman" w:cs="Arial"/>
                <w:i/>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C65EE" w:rsidRDefault="005C65EE">
            <w:pPr>
              <w:tabs>
                <w:tab w:val="left" w:pos="1558"/>
              </w:tabs>
              <w:spacing w:after="0"/>
              <w:ind w:right="143"/>
              <w:jc w:val="right"/>
              <w:rPr>
                <w:rFonts w:cs="Arial"/>
                <w:i/>
                <w:noProof/>
                <w:sz w:val="20"/>
                <w:lang w:eastAsia="ko-KR"/>
              </w:rPr>
            </w:pPr>
          </w:p>
        </w:tc>
      </w:tr>
      <w:tr w:rsidR="005C65EE">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spacing w:after="0"/>
              <w:rPr>
                <w:rFonts w:cs="Arial"/>
                <w:i/>
                <w:noProof/>
                <w:sz w:val="20"/>
              </w:rPr>
            </w:pPr>
            <w:r>
              <w:rPr>
                <w:bCs/>
                <w:noProof/>
                <w:sz w:val="20"/>
              </w:rPr>
              <w:t>Prihodki od posojanja vrednostnih papirjev</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tabs>
                <w:tab w:val="left" w:pos="1558"/>
              </w:tabs>
              <w:spacing w:after="0"/>
              <w:ind w:right="143"/>
              <w:jc w:val="right"/>
              <w:rPr>
                <w:rFonts w:eastAsia="Times New Roman" w:cs="Arial"/>
                <w:i/>
                <w:noProof/>
                <w:sz w:val="20"/>
              </w:rPr>
            </w:pPr>
            <w:r>
              <w:rPr>
                <w:noProof/>
                <w:sz w:val="20"/>
              </w:rPr>
              <w:t>2 253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65EE" w:rsidRDefault="00D61767">
            <w:pPr>
              <w:tabs>
                <w:tab w:val="left" w:pos="1558"/>
              </w:tabs>
              <w:spacing w:after="0"/>
              <w:ind w:right="143"/>
              <w:jc w:val="right"/>
              <w:rPr>
                <w:rFonts w:cs="Arial"/>
                <w:i/>
                <w:noProof/>
                <w:sz w:val="20"/>
              </w:rPr>
            </w:pPr>
            <w:r>
              <w:rPr>
                <w:i/>
                <w:noProof/>
                <w:sz w:val="20"/>
              </w:rPr>
              <w:t>–</w:t>
            </w:r>
          </w:p>
        </w:tc>
      </w:tr>
      <w:tr w:rsidR="005C65EE">
        <w:trPr>
          <w:trHeight w:hRule="exact" w:val="281"/>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spacing w:after="0"/>
              <w:rPr>
                <w:rFonts w:cs="Arial"/>
                <w:i/>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tabs>
                <w:tab w:val="left" w:pos="1558"/>
              </w:tabs>
              <w:spacing w:after="0"/>
              <w:ind w:right="143"/>
              <w:jc w:val="right"/>
              <w:rPr>
                <w:rFonts w:eastAsia="Times New Roman" w:cs="Arial"/>
                <w:i/>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C65EE" w:rsidRDefault="005C65EE">
            <w:pPr>
              <w:tabs>
                <w:tab w:val="left" w:pos="1558"/>
              </w:tabs>
              <w:spacing w:after="0"/>
              <w:ind w:right="143"/>
              <w:jc w:val="right"/>
              <w:rPr>
                <w:rFonts w:cs="Arial"/>
                <w:i/>
                <w:noProof/>
                <w:sz w:val="20"/>
                <w:lang w:eastAsia="ko-KR"/>
              </w:rPr>
            </w:pP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spacing w:after="0"/>
              <w:rPr>
                <w:rFonts w:eastAsia="Arial Unicode MS" w:cs="Arial"/>
                <w:b/>
                <w:bCs/>
                <w:noProof/>
                <w:sz w:val="20"/>
              </w:rPr>
            </w:pPr>
            <w:r>
              <w:rPr>
                <w:b/>
                <w:bCs/>
                <w:noProof/>
                <w:sz w:val="20"/>
              </w:rPr>
              <w:t xml:space="preserve">Finančni odhodki </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tabs>
                <w:tab w:val="left" w:pos="1558"/>
              </w:tabs>
              <w:spacing w:after="0"/>
              <w:ind w:right="143"/>
              <w:jc w:val="right"/>
              <w:rPr>
                <w:rFonts w:eastAsia="Arial Unicode MS" w:cs="Arial"/>
                <w:b/>
                <w:noProof/>
                <w:sz w:val="20"/>
              </w:rPr>
            </w:pPr>
            <w:r>
              <w:rPr>
                <w:b/>
                <w:noProof/>
                <w:sz w:val="20"/>
              </w:rPr>
              <w:t>(448 536)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65EE" w:rsidRDefault="00D61767">
            <w:pPr>
              <w:tabs>
                <w:tab w:val="left" w:pos="1558"/>
              </w:tabs>
              <w:spacing w:after="0"/>
              <w:ind w:right="143"/>
              <w:jc w:val="right"/>
              <w:rPr>
                <w:rFonts w:eastAsia="Arial Unicode MS" w:cs="Arial"/>
                <w:b/>
                <w:noProof/>
                <w:sz w:val="20"/>
              </w:rPr>
            </w:pPr>
            <w:r>
              <w:rPr>
                <w:b/>
                <w:noProof/>
                <w:sz w:val="20"/>
              </w:rPr>
              <w:t>(52 479)</w:t>
            </w: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spacing w:after="0"/>
              <w:rPr>
                <w:rFonts w:eastAsia="Times New Roman" w:cs="Arial"/>
                <w:bCs/>
                <w:noProof/>
                <w:sz w:val="20"/>
              </w:rPr>
            </w:pPr>
            <w:r>
              <w:rPr>
                <w:noProof/>
                <w:sz w:val="20"/>
              </w:rPr>
              <w:t>Odhodki za obresti na denarna sredstva in njihove ustreznike</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tabs>
                <w:tab w:val="left" w:pos="1558"/>
              </w:tabs>
              <w:spacing w:after="0"/>
              <w:ind w:right="143"/>
              <w:jc w:val="right"/>
              <w:rPr>
                <w:rFonts w:eastAsia="Times New Roman" w:cs="Arial"/>
                <w:noProof/>
                <w:sz w:val="20"/>
              </w:rPr>
            </w:pPr>
            <w:r>
              <w:rPr>
                <w:noProof/>
                <w:sz w:val="20"/>
              </w:rPr>
              <w:t>(404 272)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65EE" w:rsidRDefault="00D61767">
            <w:pPr>
              <w:tabs>
                <w:tab w:val="left" w:pos="1558"/>
              </w:tabs>
              <w:spacing w:after="0"/>
              <w:ind w:right="143"/>
              <w:jc w:val="right"/>
              <w:rPr>
                <w:rFonts w:cs="Arial"/>
                <w:b/>
                <w:noProof/>
                <w:sz w:val="20"/>
              </w:rPr>
            </w:pPr>
            <w:r>
              <w:rPr>
                <w:noProof/>
                <w:sz w:val="20"/>
              </w:rPr>
              <w:t>(50 958)</w:t>
            </w: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spacing w:after="0"/>
              <w:rPr>
                <w:rFont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tabs>
                <w:tab w:val="left" w:pos="1558"/>
              </w:tabs>
              <w:spacing w:after="0"/>
              <w:ind w:right="143"/>
              <w:jc w:val="right"/>
              <w:rPr>
                <w:rFonts w:eastAsia="Times New Roman" w:cs="Arial"/>
                <w:b/>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C65EE" w:rsidRDefault="005C65EE">
            <w:pPr>
              <w:tabs>
                <w:tab w:val="left" w:pos="1558"/>
              </w:tabs>
              <w:spacing w:after="0"/>
              <w:ind w:right="143"/>
              <w:jc w:val="right"/>
              <w:rPr>
                <w:rFonts w:cs="Arial"/>
                <w:b/>
                <w:noProof/>
                <w:sz w:val="20"/>
                <w:lang w:eastAsia="ko-KR"/>
              </w:rPr>
            </w:pP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spacing w:after="0"/>
              <w:rPr>
                <w:rFonts w:cs="Arial"/>
                <w:b/>
                <w:bCs/>
                <w:noProof/>
                <w:sz w:val="20"/>
              </w:rPr>
            </w:pPr>
            <w:r>
              <w:rPr>
                <w:bCs/>
                <w:noProof/>
                <w:sz w:val="20"/>
              </w:rPr>
              <w:t xml:space="preserve">Realizirana izguba od prodaje sredstev, razpoložljivih za </w:t>
            </w:r>
            <w:r>
              <w:rPr>
                <w:bCs/>
                <w:noProof/>
                <w:sz w:val="20"/>
              </w:rPr>
              <w:t>prodajo</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tabs>
                <w:tab w:val="left" w:pos="1558"/>
              </w:tabs>
              <w:spacing w:after="0"/>
              <w:ind w:right="143"/>
              <w:jc w:val="right"/>
              <w:rPr>
                <w:rFonts w:eastAsia="Times New Roman" w:cs="Arial"/>
                <w:noProof/>
                <w:sz w:val="20"/>
              </w:rPr>
            </w:pPr>
            <w:r>
              <w:rPr>
                <w:noProof/>
                <w:sz w:val="20"/>
              </w:rPr>
              <w:t>(15)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65EE" w:rsidRDefault="00D61767">
            <w:pPr>
              <w:tabs>
                <w:tab w:val="left" w:pos="1558"/>
              </w:tabs>
              <w:spacing w:after="0"/>
              <w:ind w:right="143"/>
              <w:jc w:val="right"/>
              <w:rPr>
                <w:rFonts w:cs="Arial"/>
                <w:noProof/>
                <w:sz w:val="20"/>
              </w:rPr>
            </w:pPr>
            <w:r>
              <w:rPr>
                <w:i/>
                <w:noProof/>
                <w:sz w:val="20"/>
              </w:rPr>
              <w:t>–</w:t>
            </w: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spacing w:after="0"/>
              <w:rPr>
                <w:rFonts w:cs="Arial"/>
                <w:b/>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tabs>
                <w:tab w:val="left" w:pos="1558"/>
              </w:tabs>
              <w:spacing w:after="0"/>
              <w:ind w:right="143"/>
              <w:jc w:val="right"/>
              <w:rPr>
                <w:rFonts w:eastAsia="Times New Roman" w:cs="Arial"/>
                <w:b/>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C65EE" w:rsidRDefault="005C65EE">
            <w:pPr>
              <w:tabs>
                <w:tab w:val="left" w:pos="1558"/>
              </w:tabs>
              <w:spacing w:after="0"/>
              <w:ind w:right="143"/>
              <w:jc w:val="right"/>
              <w:rPr>
                <w:rFonts w:cs="Arial"/>
                <w:b/>
                <w:noProof/>
                <w:sz w:val="20"/>
                <w:lang w:eastAsia="ko-KR"/>
              </w:rPr>
            </w:pP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spacing w:after="0"/>
              <w:rPr>
                <w:rFonts w:cs="Arial"/>
                <w:bCs/>
                <w:noProof/>
                <w:sz w:val="20"/>
              </w:rPr>
            </w:pPr>
            <w:r>
              <w:rPr>
                <w:bCs/>
                <w:noProof/>
                <w:sz w:val="20"/>
              </w:rPr>
              <w:t>Skrbniške provizije in drugi finančni odhodki</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tabs>
                <w:tab w:val="left" w:pos="1558"/>
              </w:tabs>
              <w:spacing w:after="0"/>
              <w:ind w:right="143"/>
              <w:jc w:val="right"/>
              <w:rPr>
                <w:rFonts w:cs="Arial"/>
                <w:noProof/>
                <w:sz w:val="20"/>
              </w:rPr>
            </w:pPr>
            <w:r>
              <w:rPr>
                <w:noProof/>
                <w:sz w:val="20"/>
              </w:rPr>
              <w:t>(44 249)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65EE" w:rsidRDefault="00D61767">
            <w:pPr>
              <w:tabs>
                <w:tab w:val="left" w:pos="1558"/>
              </w:tabs>
              <w:spacing w:after="0"/>
              <w:ind w:right="143"/>
              <w:jc w:val="right"/>
              <w:rPr>
                <w:rFonts w:cs="Arial"/>
                <w:noProof/>
                <w:sz w:val="20"/>
              </w:rPr>
            </w:pPr>
            <w:r>
              <w:rPr>
                <w:noProof/>
                <w:sz w:val="20"/>
              </w:rPr>
              <w:t>(1 521)</w:t>
            </w: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spacing w:after="0"/>
              <w:rPr>
                <w:rFonts w:cs="Arial"/>
                <w:bCs/>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tabs>
                <w:tab w:val="left" w:pos="1558"/>
              </w:tabs>
              <w:spacing w:after="0"/>
              <w:ind w:right="143"/>
              <w:jc w:val="right"/>
              <w:rPr>
                <w:rFonts w:eastAsia="Times New Roman" w:cs="Arial"/>
                <w:noProof/>
                <w:sz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C65EE" w:rsidRDefault="005C65EE">
            <w:pPr>
              <w:tabs>
                <w:tab w:val="left" w:pos="1558"/>
              </w:tabs>
              <w:spacing w:after="0"/>
              <w:ind w:right="143"/>
              <w:jc w:val="right"/>
              <w:rPr>
                <w:rFonts w:cs="Arial"/>
                <w:noProof/>
                <w:sz w:val="20"/>
                <w:lang w:eastAsia="ko-KR"/>
              </w:rPr>
            </w:pP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spacing w:after="0"/>
              <w:rPr>
                <w:rFonts w:cs="Arial"/>
                <w:b/>
                <w:bCs/>
                <w:noProof/>
                <w:sz w:val="20"/>
              </w:rPr>
            </w:pPr>
            <w:r>
              <w:rPr>
                <w:b/>
                <w:bCs/>
                <w:noProof/>
                <w:sz w:val="20"/>
              </w:rPr>
              <w:t>FINANČNI REZULTAT</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tabs>
                <w:tab w:val="left" w:pos="1558"/>
              </w:tabs>
              <w:spacing w:after="0"/>
              <w:ind w:right="143"/>
              <w:jc w:val="right"/>
              <w:rPr>
                <w:rFonts w:eastAsia="Arial Unicode MS" w:cs="Arial"/>
                <w:b/>
                <w:noProof/>
                <w:sz w:val="20"/>
              </w:rPr>
            </w:pPr>
            <w:r>
              <w:rPr>
                <w:b/>
                <w:noProof/>
                <w:sz w:val="20"/>
              </w:rPr>
              <w:t>(260 133)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65EE" w:rsidRDefault="00D61767">
            <w:pPr>
              <w:tabs>
                <w:tab w:val="left" w:pos="1558"/>
              </w:tabs>
              <w:spacing w:after="0"/>
              <w:ind w:right="143"/>
              <w:jc w:val="right"/>
              <w:rPr>
                <w:rFonts w:eastAsia="Arial Unicode MS" w:cs="Arial"/>
                <w:b/>
                <w:noProof/>
                <w:sz w:val="20"/>
              </w:rPr>
            </w:pPr>
            <w:r>
              <w:rPr>
                <w:b/>
                <w:noProof/>
                <w:sz w:val="20"/>
              </w:rPr>
              <w:t>(53 567)</w:t>
            </w: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spacing w:after="0"/>
              <w:rPr>
                <w:rFonts w:eastAsia="Times New Roman" w:cs="Arial"/>
                <w:noProof/>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5EE" w:rsidRDefault="005C65EE">
            <w:pPr>
              <w:tabs>
                <w:tab w:val="left" w:pos="1558"/>
              </w:tabs>
              <w:spacing w:after="0"/>
              <w:ind w:right="143"/>
              <w:jc w:val="right"/>
              <w:rPr>
                <w:rFonts w:cs="Arial"/>
                <w:noProof/>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C65EE" w:rsidRDefault="005C65EE">
            <w:pPr>
              <w:tabs>
                <w:tab w:val="left" w:pos="1558"/>
              </w:tabs>
              <w:spacing w:after="0"/>
              <w:ind w:right="143"/>
              <w:jc w:val="right"/>
              <w:rPr>
                <w:rFonts w:cs="Arial"/>
                <w:noProof/>
                <w:sz w:val="20"/>
              </w:rPr>
            </w:pPr>
          </w:p>
        </w:tc>
      </w:tr>
      <w:tr w:rsidR="005C65EE">
        <w:trPr>
          <w:trHeight w:hRule="exact" w:val="284"/>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spacing w:after="0"/>
              <w:rPr>
                <w:rFonts w:eastAsia="Arial Unicode MS" w:cs="Arial"/>
                <w:b/>
                <w:bCs/>
                <w:noProof/>
                <w:sz w:val="20"/>
              </w:rPr>
            </w:pPr>
            <w:r>
              <w:rPr>
                <w:b/>
                <w:bCs/>
                <w:noProof/>
                <w:sz w:val="20"/>
              </w:rPr>
              <w:t>POSLOVNI IZID ZA ZADEVNO LETO</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65EE" w:rsidRDefault="00D61767">
            <w:pPr>
              <w:tabs>
                <w:tab w:val="left" w:pos="1558"/>
              </w:tabs>
              <w:spacing w:after="0"/>
              <w:ind w:right="143"/>
              <w:jc w:val="right"/>
              <w:rPr>
                <w:rFonts w:eastAsia="Times New Roman" w:cs="Arial"/>
                <w:b/>
                <w:noProof/>
                <w:sz w:val="20"/>
                <w:highlight w:val="yellow"/>
              </w:rPr>
            </w:pPr>
            <w:r>
              <w:rPr>
                <w:b/>
                <w:noProof/>
                <w:sz w:val="20"/>
              </w:rPr>
              <w:t>(275 133)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65EE" w:rsidRDefault="00D61767">
            <w:pPr>
              <w:tabs>
                <w:tab w:val="left" w:pos="1558"/>
              </w:tabs>
              <w:spacing w:after="0"/>
              <w:ind w:right="143"/>
              <w:jc w:val="right"/>
              <w:rPr>
                <w:rFonts w:cs="Arial"/>
                <w:b/>
                <w:noProof/>
                <w:sz w:val="20"/>
                <w:highlight w:val="yellow"/>
              </w:rPr>
            </w:pPr>
            <w:r>
              <w:rPr>
                <w:b/>
                <w:noProof/>
                <w:sz w:val="20"/>
              </w:rPr>
              <w:t>(68 567)</w:t>
            </w:r>
          </w:p>
        </w:tc>
      </w:tr>
    </w:tbl>
    <w:p w:rsidR="005C65EE" w:rsidRDefault="005C65EE">
      <w:pPr>
        <w:pStyle w:val="Footer"/>
        <w:tabs>
          <w:tab w:val="left" w:pos="708"/>
        </w:tabs>
        <w:rPr>
          <w:rFonts w:ascii="Arial" w:hAnsi="Arial" w:cs="Arial"/>
          <w:noProof/>
          <w:sz w:val="22"/>
          <w:szCs w:val="20"/>
        </w:rPr>
      </w:pPr>
    </w:p>
    <w:p w:rsidR="005C65EE" w:rsidRDefault="00D61767">
      <w:pPr>
        <w:rPr>
          <w:noProof/>
        </w:rPr>
      </w:pPr>
      <w:r>
        <w:rPr>
          <w:noProof/>
        </w:rPr>
        <w:br w:type="page"/>
      </w:r>
    </w:p>
    <w:p w:rsidR="005C65EE" w:rsidRDefault="00D61767">
      <w:pPr>
        <w:pStyle w:val="Heading2"/>
        <w:rPr>
          <w:noProof/>
        </w:rPr>
      </w:pPr>
      <w:bookmarkStart w:id="20" w:name="_Toc38891120"/>
      <w:bookmarkStart w:id="21" w:name="_Toc46389767"/>
      <w:r>
        <w:rPr>
          <w:noProof/>
        </w:rPr>
        <w:t>4.2 Oblikovanje rezervacij</w:t>
      </w:r>
      <w:bookmarkEnd w:id="20"/>
      <w:bookmarkEnd w:id="21"/>
    </w:p>
    <w:p w:rsidR="005C65EE" w:rsidRDefault="00D61767">
      <w:pPr>
        <w:jc w:val="both"/>
        <w:rPr>
          <w:noProof/>
          <w:szCs w:val="24"/>
        </w:rPr>
      </w:pPr>
      <w:r>
        <w:rPr>
          <w:noProof/>
        </w:rPr>
        <w:t>Jamstveni sklad EFSD se oskrbuje s sredstvi iz</w:t>
      </w:r>
      <w:r>
        <w:rPr>
          <w:noProof/>
        </w:rPr>
        <w:t xml:space="preserve"> proračuna Unije in Evropskega razvojnega sklada. Za sedanji večletni finančni okvir (2014–2020) podrobni viri financiranja jamstvenega sklada EFSD vključujejo: 400 000 000 EUR iz splošne rezerve Evropskega razvojnega sklada in 350 000 000 EUR iz splošnega</w:t>
      </w:r>
      <w:r>
        <w:rPr>
          <w:noProof/>
        </w:rPr>
        <w:t xml:space="preserve"> proračuna Unije, vključno iz evropskega instrumenta sosedstva. Jamstveni sklad EFSD se lahko financira tudi s prostovoljnimi prispevki držav članic ali drugih donatorjev, donosi na vložena sredstva, prihodki in zneski, izterjanimi od dolžnikov, ki niso po</w:t>
      </w:r>
      <w:r>
        <w:rPr>
          <w:noProof/>
        </w:rPr>
        <w:t>ravnali obveznosti. Estonija, Češka, Danska ter Fundacija Billa in Melinde Gates so do konca leta 2019 podpisale sporazume za dodatne prispevke v skupni višini približno 49 milijonov EUR</w:t>
      </w:r>
      <w:r>
        <w:rPr>
          <w:rStyle w:val="FootnoteReference"/>
          <w:noProof/>
          <w:szCs w:val="24"/>
        </w:rPr>
        <w:footnoteReference w:id="5"/>
      </w:r>
      <w:r>
        <w:rPr>
          <w:noProof/>
        </w:rPr>
        <w:t xml:space="preserve">. </w:t>
      </w:r>
    </w:p>
    <w:p w:rsidR="005C65EE" w:rsidRDefault="00D61767">
      <w:pPr>
        <w:suppressAutoHyphens/>
        <w:jc w:val="both"/>
        <w:rPr>
          <w:noProof/>
          <w:szCs w:val="24"/>
        </w:rPr>
      </w:pPr>
      <w:r>
        <w:rPr>
          <w:noProof/>
        </w:rPr>
        <w:t xml:space="preserve">Jamstveni sklad je bil ustanovljen leta 2018 in prvo plačilo v </w:t>
      </w:r>
      <w:r>
        <w:rPr>
          <w:noProof/>
        </w:rPr>
        <w:t>višini 75 milijonov EUR je bilo izvedeno novembra 2018. Do 31. decembra 2019 so skupna plačila, ko so bila v jamstveni sklad vplačana iz proračuna EU, znašala 600,1 milijona EUR.  Jamstvo EFSD do konca leta 2019 ni bilo unovčeno.</w:t>
      </w:r>
    </w:p>
    <w:p w:rsidR="005C65EE" w:rsidRDefault="00D61767">
      <w:pPr>
        <w:pStyle w:val="Heading1"/>
        <w:rPr>
          <w:noProof/>
        </w:rPr>
      </w:pPr>
      <w:bookmarkStart w:id="22" w:name="_Toc38891121"/>
      <w:bookmarkStart w:id="23" w:name="_Toc46389768"/>
      <w:r>
        <w:rPr>
          <w:noProof/>
        </w:rPr>
        <w:t>5. Ocena ustreznosti ciljn</w:t>
      </w:r>
      <w:r>
        <w:rPr>
          <w:noProof/>
        </w:rPr>
        <w:t>ega zneska in ravni sredstev v jamstvenem skladu EFSD</w:t>
      </w:r>
      <w:bookmarkEnd w:id="22"/>
      <w:bookmarkEnd w:id="23"/>
      <w:r>
        <w:rPr>
          <w:noProof/>
        </w:rPr>
        <w:t xml:space="preserve"> </w:t>
      </w:r>
    </w:p>
    <w:p w:rsidR="005C65EE" w:rsidRDefault="00D61767">
      <w:pPr>
        <w:jc w:val="both"/>
        <w:rPr>
          <w:noProof/>
        </w:rPr>
      </w:pPr>
      <w:r>
        <w:rPr>
          <w:noProof/>
        </w:rPr>
        <w:t>Do 31. decembra 2019 so bili sklenjeni skupno trije sporazumi o jamstvu EFSD v višini 165 milijona EUR, eden v letu 2018 in dva v letu 2019</w:t>
      </w:r>
      <w:r>
        <w:rPr>
          <w:rStyle w:val="FootnoteReference"/>
          <w:noProof/>
        </w:rPr>
        <w:footnoteReference w:id="6"/>
      </w:r>
      <w:r>
        <w:rPr>
          <w:noProof/>
        </w:rPr>
        <w:t xml:space="preserve">.  </w:t>
      </w:r>
    </w:p>
    <w:p w:rsidR="005C65EE" w:rsidRDefault="00D61767">
      <w:pPr>
        <w:jc w:val="both"/>
        <w:rPr>
          <w:noProof/>
        </w:rPr>
      </w:pPr>
      <w:r>
        <w:rPr>
          <w:noProof/>
        </w:rPr>
        <w:t>Ciljni znesek jamstvenega sklada EFSD je bil določen na r</w:t>
      </w:r>
      <w:r>
        <w:rPr>
          <w:noProof/>
        </w:rPr>
        <w:t xml:space="preserve">avni 50 % skupnih obveznosti jamstva EU. Skupna plačila iz proračuna EU v jamstveni sklad do 31. decembra 2019 znašajo 600,1 milijona EUR, zato rezervacije v celoti krijejo tveganje za podpisana jamstva. </w:t>
      </w:r>
    </w:p>
    <w:p w:rsidR="005C65EE" w:rsidRDefault="00D61767">
      <w:pPr>
        <w:jc w:val="both"/>
        <w:rPr>
          <w:noProof/>
          <w:szCs w:val="24"/>
        </w:rPr>
      </w:pPr>
      <w:r>
        <w:rPr>
          <w:noProof/>
        </w:rPr>
        <w:t>V skladu s členom 4(2) uredbe o EFSD Komisijo pri o</w:t>
      </w:r>
      <w:r>
        <w:rPr>
          <w:noProof/>
        </w:rPr>
        <w:t>perativnem upravljanju EFSD podpira tehnična skupina za ocenjevanje jamstva, ki jo sestavljajo strokovnjaki s področja kreditnega tveganja iz več evropskih finančnih institucij. Njena vloga je Komisiji zagotavljati neodvisno in nepristransko tehnično strok</w:t>
      </w:r>
      <w:r>
        <w:rPr>
          <w:noProof/>
        </w:rPr>
        <w:t>ovno znanje o zadevah, povezanih z bančnimi posli, podpirati njene odločitve v zvezi z dodelitvijo jamstva EFSD ter spremljanje tveganja med izvajanjem projektov, ki so upravičeni do jamstva.</w:t>
      </w:r>
    </w:p>
    <w:p w:rsidR="005C65EE" w:rsidRDefault="005C65EE">
      <w:pPr>
        <w:rPr>
          <w:noProof/>
        </w:rPr>
      </w:pPr>
    </w:p>
    <w:sectPr w:rsidR="005C65EE">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5EE" w:rsidRDefault="00D61767">
      <w:pPr>
        <w:spacing w:after="0" w:line="240" w:lineRule="auto"/>
      </w:pPr>
      <w:r>
        <w:separator/>
      </w:r>
    </w:p>
  </w:endnote>
  <w:endnote w:type="continuationSeparator" w:id="0">
    <w:p w:rsidR="005C65EE" w:rsidRDefault="00D61767">
      <w:pPr>
        <w:spacing w:after="0" w:line="240" w:lineRule="auto"/>
      </w:pPr>
      <w:r>
        <w:continuationSeparator/>
      </w:r>
    </w:p>
  </w:endnote>
  <w:endnote w:type="continuationNotice" w:id="1">
    <w:p w:rsidR="005C65EE" w:rsidRDefault="005C6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EE" w:rsidRDefault="005C6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EE" w:rsidRDefault="00D61767">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EE" w:rsidRDefault="005C65EE">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EE" w:rsidRDefault="005C65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79673"/>
      <w:docPartObj>
        <w:docPartGallery w:val="Page Numbers (Bottom of Page)"/>
        <w:docPartUnique/>
      </w:docPartObj>
    </w:sdtPr>
    <w:sdtEndPr>
      <w:rPr>
        <w:noProof/>
      </w:rPr>
    </w:sdtEndPr>
    <w:sdtContent>
      <w:p w:rsidR="005C65EE" w:rsidRDefault="00D61767">
        <w:pPr>
          <w:pStyle w:val="Footer"/>
          <w:jc w:val="right"/>
        </w:pPr>
        <w:r>
          <w:fldChar w:fldCharType="begin"/>
        </w:r>
        <w:r>
          <w:instrText xml:space="preserve"> PAGE   \* MERGEFORMAT </w:instrText>
        </w:r>
        <w:r>
          <w:fldChar w:fldCharType="separate"/>
        </w:r>
        <w:r>
          <w:rPr>
            <w:noProof/>
          </w:rPr>
          <w:t>1</w:t>
        </w:r>
        <w:r>
          <w:fldChar w:fldCharType="end"/>
        </w:r>
      </w:p>
    </w:sdtContent>
  </w:sdt>
  <w:p w:rsidR="005C65EE" w:rsidRDefault="005C65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EE" w:rsidRDefault="005C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5EE" w:rsidRDefault="00D61767">
      <w:pPr>
        <w:spacing w:after="0" w:line="240" w:lineRule="auto"/>
      </w:pPr>
      <w:r>
        <w:separator/>
      </w:r>
    </w:p>
  </w:footnote>
  <w:footnote w:type="continuationSeparator" w:id="0">
    <w:p w:rsidR="005C65EE" w:rsidRDefault="00D61767">
      <w:pPr>
        <w:spacing w:after="0" w:line="240" w:lineRule="auto"/>
      </w:pPr>
      <w:r>
        <w:continuationSeparator/>
      </w:r>
    </w:p>
  </w:footnote>
  <w:footnote w:type="continuationNotice" w:id="1">
    <w:p w:rsidR="005C65EE" w:rsidRDefault="005C65EE">
      <w:pPr>
        <w:spacing w:after="0" w:line="240" w:lineRule="auto"/>
      </w:pPr>
    </w:p>
  </w:footnote>
  <w:footnote w:id="2">
    <w:p w:rsidR="005C65EE" w:rsidRDefault="00D61767">
      <w:pPr>
        <w:pStyle w:val="FootnoteText"/>
        <w:ind w:left="284" w:hanging="284"/>
        <w:jc w:val="both"/>
      </w:pPr>
      <w:r>
        <w:rPr>
          <w:rStyle w:val="FootnoteReference"/>
        </w:rPr>
        <w:footnoteRef/>
      </w:r>
      <w:r>
        <w:t xml:space="preserve">Uredba </w:t>
      </w:r>
      <w:r>
        <w:t>(EU) 2017/1601 Evropskega parlamenta in Sveta z dne 26. septembra 2017 o vzpostavitvi Evropskega sklada za trajnostni razvoj (EFSD), jamstva EFSD ter jamstvenega sklada EFSD.</w:t>
      </w:r>
    </w:p>
  </w:footnote>
  <w:footnote w:id="3">
    <w:p w:rsidR="005C65EE" w:rsidRDefault="00D61767">
      <w:pPr>
        <w:pStyle w:val="FootnoteText"/>
        <w:ind w:left="284" w:hanging="284"/>
        <w:jc w:val="both"/>
      </w:pPr>
      <w:r>
        <w:rPr>
          <w:rStyle w:val="FootnoteReference"/>
        </w:rPr>
        <w:footnoteRef/>
      </w:r>
      <w:r>
        <w:t xml:space="preserve"> COM(2020) 224, Poročilo Komisije Evropskemu parlamentu in Svetu o izvajanju Evr</w:t>
      </w:r>
      <w:r>
        <w:t xml:space="preserve">opskega sklada za trajnostni razvoj. </w:t>
      </w:r>
    </w:p>
  </w:footnote>
  <w:footnote w:id="4">
    <w:p w:rsidR="005C65EE" w:rsidRDefault="00D61767">
      <w:pPr>
        <w:pStyle w:val="FootnoteText"/>
        <w:ind w:left="284" w:hanging="284"/>
        <w:jc w:val="both"/>
      </w:pPr>
      <w:r>
        <w:rPr>
          <w:rStyle w:val="FootnoteReference"/>
        </w:rPr>
        <w:footnoteRef/>
      </w:r>
      <w:r>
        <w:t xml:space="preserve"> To je v skladu s denarno tehtanim donosom v višini –0,103 %, ki upošteva znatno povečanje velikosti jamstvenega sklada EFSD v letu 2019 zaradi proračunskih prispevkov v fazi priprave. V letu 2019 je bil denarno tehta</w:t>
      </w:r>
      <w:r>
        <w:t>ni donos nižji kot časovno tehtana donosnost iz točke 3.3. Časovno tehtani donos je uradna donosnost, sporočena za vse dejavnosti upravljanja sredstev ES, saj omogoča odpravo učinkov izkrivljanja, ki so nastali zaradi prilivov in odlivov.</w:t>
      </w:r>
    </w:p>
  </w:footnote>
  <w:footnote w:id="5">
    <w:p w:rsidR="005C65EE" w:rsidRDefault="00D61767">
      <w:pPr>
        <w:pStyle w:val="FootnoteText"/>
        <w:ind w:left="284" w:hanging="284"/>
      </w:pPr>
      <w:r>
        <w:rPr>
          <w:rStyle w:val="FootnoteReference"/>
        </w:rPr>
        <w:footnoteRef/>
      </w:r>
      <w:r>
        <w:t xml:space="preserve"> Estonija: 100 0</w:t>
      </w:r>
      <w:r>
        <w:t>00 EUR; Češka: 300 000 EUR; Danska: približno 9,4 milijona EUR; Fundacija Billa in Melinde Gates: približno 39,2 milijona EUR (50 milijonov USD) – že vplačani znesek znaša 19,2 milijona EUR.</w:t>
      </w:r>
    </w:p>
  </w:footnote>
  <w:footnote w:id="6">
    <w:p w:rsidR="005C65EE" w:rsidRDefault="00D61767">
      <w:pPr>
        <w:pStyle w:val="FootnoteText"/>
        <w:ind w:left="284" w:hanging="284"/>
        <w:jc w:val="both"/>
      </w:pPr>
      <w:r>
        <w:rPr>
          <w:rStyle w:val="FootnoteReference"/>
        </w:rPr>
        <w:footnoteRef/>
      </w:r>
      <w:r>
        <w:t xml:space="preserve"> Do aprila 2020 so bili podpisani še štirje sporazumi v skupni v</w:t>
      </w:r>
      <w:r>
        <w:t>išini 196 milijonov 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EE" w:rsidRDefault="005C6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EE" w:rsidRDefault="005C65EE">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EE" w:rsidRDefault="005C65EE">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EE" w:rsidRDefault="005C65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EE" w:rsidRDefault="005C65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EE" w:rsidRDefault="005C6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34728B7"/>
    <w:multiLevelType w:val="hybridMultilevel"/>
    <w:tmpl w:val="66D0BF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37CE190-6145-4A0D-BDB3-608C4E892B5C"/>
    <w:docVar w:name="LW_COVERPAGE_TYPE" w:val="1"/>
    <w:docVar w:name="LW_CROSSREFERENCE" w:val="&lt;UNUSED&gt;"/>
    <w:docVar w:name="LW_DocType" w:val="NORMAL"/>
    <w:docVar w:name="LW_EMISSION" w:val="31.7.2020"/>
    <w:docVar w:name="LW_EMISSION_ISODATE" w:val="2020-07-31"/>
    <w:docVar w:name="LW_EMISSION_LOCATION" w:val="BRX"/>
    <w:docVar w:name="LW_EMISSION_PREFIX" w:val="Bruselj, "/>
    <w:docVar w:name="LW_EMISSION_SUFFIX" w:val=" "/>
    <w:docVar w:name="LW_ID_DOCTYPE_NONLW" w:val="CP-035"/>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3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upravljanju jamstvenega sklada Evropskega sklada za trajnostni razvoj"/>
    <w:docVar w:name="LW_TYPE.DOC.CP" w:val="PORO\u268?ILO KOMISIJE EVROPSKEMU PARLAMENTU, SVETU IN RA\u268?UNSKEMU SODI\u352?\u268?U"/>
  </w:docVars>
  <w:rsids>
    <w:rsidRoot w:val="005C65EE"/>
    <w:rsid w:val="005C65EE"/>
    <w:rsid w:val="00D61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0C67027-6662-4403-96C1-B1E9FBD7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keepNext/>
      <w:keepLines/>
      <w:spacing w:before="600" w:after="360"/>
      <w:outlineLvl w:val="0"/>
    </w:pPr>
    <w:rPr>
      <w:rFonts w:eastAsiaTheme="majorEastAsia" w:cstheme="majorBidi"/>
      <w:b/>
      <w:smallCaps/>
      <w:color w:val="000000" w:themeColor="text1"/>
      <w:sz w:val="28"/>
      <w:szCs w:val="32"/>
    </w:rPr>
  </w:style>
  <w:style w:type="paragraph" w:styleId="Heading2">
    <w:name w:val="heading 2"/>
    <w:basedOn w:val="Normal"/>
    <w:next w:val="Normal"/>
    <w:link w:val="Heading2Char"/>
    <w:uiPriority w:val="9"/>
    <w:unhideWhenUsed/>
    <w:qFormat/>
    <w:pPr>
      <w:keepNext/>
      <w:keepLines/>
      <w:spacing w:before="360" w:after="36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mallCaps/>
      <w:color w:val="000000" w:themeColor="text1"/>
      <w:sz w:val="28"/>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b/>
      <w:color w:val="000000" w:themeColor="text1"/>
      <w:sz w:val="24"/>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paragraph" w:styleId="TOCHeading">
    <w:name w:val="TOC Heading"/>
    <w:basedOn w:val="Heading1"/>
    <w:next w:val="Normal"/>
    <w:link w:val="TOCHeadingChar"/>
    <w:uiPriority w:val="39"/>
    <w:unhideWhenUsed/>
    <w:qFormat/>
    <w:pPr>
      <w:spacing w:line="259" w:lineRule="auto"/>
      <w:outlineLvl w:val="9"/>
    </w:p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ootnote,Fußnote,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Footnote Char"/>
    <w:basedOn w:val="DefaultParagraphFont"/>
    <w:link w:val="FootnoteText"/>
    <w:uiPriority w:val="99"/>
    <w:rPr>
      <w:rFonts w:ascii="Times New Roman" w:hAnsi="Times New Roman"/>
      <w:sz w:val="20"/>
      <w:szCs w:val="20"/>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BVI fnr,ftref"/>
    <w:basedOn w:val="DefaultParagraphFont"/>
    <w:link w:val="BVIfnrChar"/>
    <w:uiPriority w:val="99"/>
    <w:unhideWhenUsed/>
    <w:qFormat/>
    <w:rPr>
      <w:vertAlign w:val="superscript"/>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Appel note de bas de p."/>
    <w:basedOn w:val="Normal"/>
    <w:link w:val="FootnoteReference"/>
    <w:uiPriority w:val="99"/>
    <w:pPr>
      <w:spacing w:after="160" w:line="240" w:lineRule="exact"/>
    </w:pPr>
    <w:rPr>
      <w:rFonts w:asciiTheme="minorHAnsi" w:hAnsiTheme="minorHAnsi"/>
      <w:sz w:val="22"/>
      <w:vertAlign w:val="superscript"/>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paragraph" w:styleId="TOC2">
    <w:name w:val="toc 2"/>
    <w:basedOn w:val="Normal"/>
    <w:next w:val="Normal"/>
    <w:autoRedefine/>
    <w:uiPriority w:val="39"/>
    <w:unhideWhenUsed/>
    <w:pPr>
      <w:spacing w:after="100"/>
      <w:ind w:left="240"/>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TOCHeadingChar">
    <w:name w:val="TOC Heading Char"/>
    <w:basedOn w:val="Heading1Char"/>
    <w:link w:val="TOCHeading"/>
    <w:uiPriority w:val="39"/>
    <w:rPr>
      <w:rFonts w:ascii="Times New Roman" w:eastAsiaTheme="majorEastAsia" w:hAnsi="Times New Roman" w:cstheme="majorBidi"/>
      <w:b/>
      <w:smallCaps/>
      <w:color w:val="000000" w:themeColor="text1"/>
      <w:sz w:val="28"/>
      <w:szCs w:val="32"/>
      <w:lang w:val="sl-SI"/>
    </w:rPr>
  </w:style>
  <w:style w:type="character" w:customStyle="1" w:styleId="FooterCoverPageChar">
    <w:name w:val="Footer Cover Page Char"/>
    <w:basedOn w:val="TOCHeadingChar"/>
    <w:link w:val="FooterCoverPage"/>
    <w:rPr>
      <w:rFonts w:ascii="Times New Roman" w:eastAsiaTheme="majorEastAsia" w:hAnsi="Times New Roman" w:cstheme="majorBidi"/>
      <w:b w:val="0"/>
      <w:smallCaps w:val="0"/>
      <w:color w:val="000000" w:themeColor="text1"/>
      <w:sz w:val="24"/>
      <w:szCs w:val="32"/>
      <w:lang w:val="sl-SI"/>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TOCHeadingChar"/>
    <w:link w:val="FooterSensitivity"/>
    <w:rPr>
      <w:rFonts w:ascii="Times New Roman" w:eastAsiaTheme="majorEastAsia" w:hAnsi="Times New Roman" w:cstheme="majorBidi"/>
      <w:b/>
      <w:smallCaps w:val="0"/>
      <w:color w:val="000000" w:themeColor="text1"/>
      <w:sz w:val="32"/>
      <w:szCs w:val="32"/>
      <w:lang w:val="sl-SI"/>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TOCHeadingChar"/>
    <w:link w:val="HeaderCoverPage"/>
    <w:rPr>
      <w:rFonts w:ascii="Times New Roman" w:eastAsiaTheme="majorEastAsia" w:hAnsi="Times New Roman" w:cstheme="majorBidi"/>
      <w:b w:val="0"/>
      <w:smallCaps w:val="0"/>
      <w:color w:val="000000" w:themeColor="text1"/>
      <w:sz w:val="24"/>
      <w:szCs w:val="32"/>
      <w:lang w:val="sl-SI"/>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TOCHeadingChar"/>
    <w:link w:val="HeaderSensitivity"/>
    <w:rPr>
      <w:rFonts w:ascii="Times New Roman" w:eastAsiaTheme="majorEastAsia" w:hAnsi="Times New Roman" w:cstheme="majorBidi"/>
      <w:b/>
      <w:smallCaps w:val="0"/>
      <w:color w:val="000000" w:themeColor="text1"/>
      <w:sz w:val="32"/>
      <w:szCs w:val="32"/>
      <w:lang w:val="sl-SI"/>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TOCHeadingChar"/>
    <w:link w:val="HeaderSensitivityRight"/>
    <w:rPr>
      <w:rFonts w:ascii="Times New Roman" w:eastAsiaTheme="majorEastAsia" w:hAnsi="Times New Roman" w:cstheme="majorBidi"/>
      <w:b w:val="0"/>
      <w:smallCaps w:val="0"/>
      <w:color w:val="000000" w:themeColor="text1"/>
      <w:sz w:val="28"/>
      <w:szCs w:val="32"/>
      <w:lang w:val="sl-SI"/>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egalNumPar">
    <w:name w:val="LegalNumPar"/>
    <w:basedOn w:val="Normal"/>
    <w:pPr>
      <w:numPr>
        <w:numId w:val="4"/>
      </w:numPr>
      <w:spacing w:line="360" w:lineRule="auto"/>
    </w:pPr>
  </w:style>
  <w:style w:type="paragraph" w:customStyle="1" w:styleId="LegalNumPar2">
    <w:name w:val="LegalNumPar2"/>
    <w:basedOn w:val="Normal"/>
    <w:pPr>
      <w:numPr>
        <w:ilvl w:val="1"/>
        <w:numId w:val="4"/>
      </w:numPr>
      <w:spacing w:line="360" w:lineRule="auto"/>
    </w:pPr>
  </w:style>
  <w:style w:type="paragraph" w:customStyle="1" w:styleId="LegalNumPar3">
    <w:name w:val="LegalNumPar3"/>
    <w:basedOn w:val="Normal"/>
    <w:pPr>
      <w:numPr>
        <w:ilvl w:val="2"/>
        <w:numId w:val="4"/>
      </w:numPr>
      <w:spacing w:line="360" w:lineRule="auto"/>
    </w:pPr>
  </w:style>
  <w:style w:type="paragraph" w:styleId="ListParagraph">
    <w:name w:val="List Paragraph"/>
    <w:basedOn w:val="Normal"/>
    <w:uiPriority w:val="34"/>
    <w:qFormat/>
    <w:pPr>
      <w:spacing w:after="0" w:line="240" w:lineRule="auto"/>
      <w:ind w:left="720"/>
    </w:pPr>
    <w:rPr>
      <w:rFonts w:ascii="Calibri" w:hAnsi="Calibri" w:cs="Calibr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character" w:customStyle="1" w:styleId="e24kjd">
    <w:name w:val="e24kj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6252">
      <w:bodyDiv w:val="1"/>
      <w:marLeft w:val="0"/>
      <w:marRight w:val="0"/>
      <w:marTop w:val="0"/>
      <w:marBottom w:val="0"/>
      <w:divBdr>
        <w:top w:val="none" w:sz="0" w:space="0" w:color="auto"/>
        <w:left w:val="none" w:sz="0" w:space="0" w:color="auto"/>
        <w:bottom w:val="none" w:sz="0" w:space="0" w:color="auto"/>
        <w:right w:val="none" w:sz="0" w:space="0" w:color="auto"/>
      </w:divBdr>
    </w:div>
    <w:div w:id="9923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cid:image001.jpg@01D6134B.2AD5AD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c.cec/sg/vista/home?documentDetails&amp;DocRef=C/2017/7693&amp;ComCat=SPINE"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3AFD0-E0DF-4585-AA85-1D17BB2A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1812</Words>
  <Characters>10058</Characters>
  <Application>Microsoft Office Word</Application>
  <DocSecurity>0</DocSecurity>
  <Lines>402</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LAGES CARVALHO Patrick (SG)</cp:lastModifiedBy>
  <cp:revision>16</cp:revision>
  <dcterms:created xsi:type="dcterms:W3CDTF">2020-07-17T11:55:00Z</dcterms:created>
  <dcterms:modified xsi:type="dcterms:W3CDTF">2020-07-31T06:17:00Z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CP-035</vt:lpwstr>
  </property>
  <property fmtid="{D5CDD505-2E9C-101B-9397-08002B2CF9AE}" pid="7" name="Last edited using">
    <vt:lpwstr>LW 7.0, Build 20190717</vt:lpwstr>
  </property>
  <property fmtid="{D5CDD505-2E9C-101B-9397-08002B2CF9AE}" pid="8" name="Created using">
    <vt:lpwstr>LW 7.0.1, Build 20190916</vt:lpwstr>
  </property>
</Properties>
</file>