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8AD" w:rsidRDefault="00181E4C">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7499A129-6342-48EF-8C3B-8A88ED3F5B04" style="width:450.6pt;height:348pt">
            <v:imagedata r:id="rId7" o:title=""/>
          </v:shape>
        </w:pict>
      </w:r>
    </w:p>
    <w:bookmarkEnd w:id="0"/>
    <w:p w:rsidR="001268AD" w:rsidRDefault="001268AD">
      <w:pPr>
        <w:rPr>
          <w:noProof/>
        </w:rPr>
        <w:sectPr w:rsidR="001268AD">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rsidR="001268AD" w:rsidRDefault="001268AD">
      <w:pPr>
        <w:pStyle w:val="TOCHeading"/>
        <w:rPr>
          <w:rFonts w:eastAsiaTheme="minorHAnsi" w:cstheme="minorBidi"/>
          <w:b w:val="0"/>
          <w:smallCaps w:val="0"/>
          <w:noProof/>
          <w:color w:val="auto"/>
          <w:sz w:val="24"/>
          <w:szCs w:val="22"/>
        </w:rPr>
      </w:pPr>
    </w:p>
    <w:sdt>
      <w:sdtPr>
        <w:rPr>
          <w:rFonts w:eastAsiaTheme="minorHAnsi" w:cstheme="minorBidi"/>
          <w:b w:val="0"/>
          <w:smallCaps w:val="0"/>
          <w:noProof/>
          <w:color w:val="auto"/>
          <w:sz w:val="24"/>
          <w:szCs w:val="22"/>
        </w:rPr>
        <w:id w:val="-255520447"/>
        <w:docPartObj>
          <w:docPartGallery w:val="Table of Contents"/>
          <w:docPartUnique/>
        </w:docPartObj>
      </w:sdtPr>
      <w:sdtEndPr>
        <w:rPr>
          <w:bCs/>
        </w:rPr>
      </w:sdtEndPr>
      <w:sdtContent>
        <w:p w:rsidR="001268AD" w:rsidRDefault="00181E4C">
          <w:pPr>
            <w:pStyle w:val="TOCHeading"/>
            <w:rPr>
              <w:noProof/>
            </w:rPr>
          </w:pPr>
          <w:r>
            <w:rPr>
              <w:noProof/>
            </w:rPr>
            <w:t>Obsah</w:t>
          </w:r>
        </w:p>
        <w:p w:rsidR="001268AD" w:rsidRDefault="00181E4C">
          <w:pPr>
            <w:pStyle w:val="TOC1"/>
            <w:tabs>
              <w:tab w:val="right" w:leader="dot" w:pos="9062"/>
            </w:tabs>
            <w:rPr>
              <w:rFonts w:asciiTheme="minorHAnsi" w:eastAsiaTheme="minorEastAsia" w:hAnsiTheme="minorHAnsi" w:cs="Arial Unicode MS"/>
              <w:noProof/>
              <w:sz w:val="22"/>
              <w:lang w:bidi="lo-LA"/>
            </w:rPr>
          </w:pPr>
          <w:r>
            <w:rPr>
              <w:noProof/>
            </w:rPr>
            <w:fldChar w:fldCharType="begin"/>
          </w:r>
          <w:r>
            <w:rPr>
              <w:noProof/>
            </w:rPr>
            <w:instrText xml:space="preserve"> TOC \o "1-3" \h \z \u </w:instrText>
          </w:r>
          <w:r>
            <w:rPr>
              <w:noProof/>
            </w:rPr>
            <w:fldChar w:fldCharType="separate"/>
          </w:r>
          <w:hyperlink w:anchor="_Toc46412277" w:history="1">
            <w:r>
              <w:rPr>
                <w:rStyle w:val="Hyperlink"/>
                <w:noProof/>
              </w:rPr>
              <w:t>1. Úvod</w:t>
            </w:r>
            <w:r>
              <w:rPr>
                <w:noProof/>
                <w:webHidden/>
              </w:rPr>
              <w:tab/>
            </w:r>
            <w:r>
              <w:rPr>
                <w:noProof/>
                <w:webHidden/>
              </w:rPr>
              <w:fldChar w:fldCharType="begin"/>
            </w:r>
            <w:r>
              <w:rPr>
                <w:noProof/>
                <w:webHidden/>
              </w:rPr>
              <w:instrText xml:space="preserve"> PAGEREF _Toc46412277 \h </w:instrText>
            </w:r>
            <w:r>
              <w:rPr>
                <w:noProof/>
                <w:webHidden/>
              </w:rPr>
            </w:r>
            <w:r>
              <w:rPr>
                <w:noProof/>
                <w:webHidden/>
              </w:rPr>
              <w:fldChar w:fldCharType="separate"/>
            </w:r>
            <w:r>
              <w:rPr>
                <w:noProof/>
                <w:webHidden/>
              </w:rPr>
              <w:t>2</w:t>
            </w:r>
            <w:r>
              <w:rPr>
                <w:noProof/>
                <w:webHidden/>
              </w:rPr>
              <w:fldChar w:fldCharType="end"/>
            </w:r>
          </w:hyperlink>
        </w:p>
        <w:p w:rsidR="001268AD" w:rsidRDefault="00181E4C">
          <w:pPr>
            <w:pStyle w:val="TOC1"/>
            <w:tabs>
              <w:tab w:val="right" w:leader="dot" w:pos="9062"/>
            </w:tabs>
            <w:rPr>
              <w:rFonts w:asciiTheme="minorHAnsi" w:eastAsiaTheme="minorEastAsia" w:hAnsiTheme="minorHAnsi" w:cs="Arial Unicode MS"/>
              <w:noProof/>
              <w:sz w:val="22"/>
              <w:lang w:bidi="lo-LA"/>
            </w:rPr>
          </w:pPr>
          <w:hyperlink w:anchor="_Toc46412278" w:history="1">
            <w:r>
              <w:rPr>
                <w:rStyle w:val="Hyperlink"/>
                <w:noProof/>
              </w:rPr>
              <w:t>2. Kontext operácií</w:t>
            </w:r>
            <w:r>
              <w:rPr>
                <w:noProof/>
                <w:webHidden/>
              </w:rPr>
              <w:tab/>
            </w:r>
            <w:r>
              <w:rPr>
                <w:noProof/>
                <w:webHidden/>
              </w:rPr>
              <w:fldChar w:fldCharType="begin"/>
            </w:r>
            <w:r>
              <w:rPr>
                <w:noProof/>
                <w:webHidden/>
              </w:rPr>
              <w:instrText xml:space="preserve"> PAGEREF _Toc46412278 \h </w:instrText>
            </w:r>
            <w:r>
              <w:rPr>
                <w:noProof/>
                <w:webHidden/>
              </w:rPr>
            </w:r>
            <w:r>
              <w:rPr>
                <w:noProof/>
                <w:webHidden/>
              </w:rPr>
              <w:fldChar w:fldCharType="separate"/>
            </w:r>
            <w:r>
              <w:rPr>
                <w:noProof/>
                <w:webHidden/>
              </w:rPr>
              <w:t>2</w:t>
            </w:r>
            <w:r>
              <w:rPr>
                <w:noProof/>
                <w:webHidden/>
              </w:rPr>
              <w:fldChar w:fldCharType="end"/>
            </w:r>
          </w:hyperlink>
        </w:p>
        <w:p w:rsidR="001268AD" w:rsidRDefault="00181E4C">
          <w:pPr>
            <w:pStyle w:val="TOC1"/>
            <w:tabs>
              <w:tab w:val="right" w:leader="dot" w:pos="9062"/>
            </w:tabs>
            <w:rPr>
              <w:rFonts w:asciiTheme="minorHAnsi" w:eastAsiaTheme="minorEastAsia" w:hAnsiTheme="minorHAnsi" w:cs="Arial Unicode MS"/>
              <w:noProof/>
              <w:sz w:val="22"/>
              <w:lang w:bidi="lo-LA"/>
            </w:rPr>
          </w:pPr>
          <w:hyperlink w:anchor="_Toc46412279" w:history="1">
            <w:r>
              <w:rPr>
                <w:rStyle w:val="Hyperlink"/>
                <w:noProof/>
              </w:rPr>
              <w:t>3. Riadenie zá</w:t>
            </w:r>
            <w:r>
              <w:rPr>
                <w:rStyle w:val="Hyperlink"/>
                <w:noProof/>
              </w:rPr>
              <w:t xml:space="preserve">ručného fondu EFSD </w:t>
            </w:r>
            <w:bookmarkStart w:id="1" w:name="_GoBack"/>
            <w:bookmarkEnd w:id="1"/>
            <w:r>
              <w:rPr>
                <w:rStyle w:val="Hyperlink"/>
                <w:noProof/>
              </w:rPr>
              <w:t>v roku 2019</w:t>
            </w:r>
            <w:r>
              <w:rPr>
                <w:noProof/>
                <w:webHidden/>
              </w:rPr>
              <w:tab/>
            </w:r>
            <w:r>
              <w:rPr>
                <w:noProof/>
                <w:webHidden/>
              </w:rPr>
              <w:fldChar w:fldCharType="begin"/>
            </w:r>
            <w:r>
              <w:rPr>
                <w:noProof/>
                <w:webHidden/>
              </w:rPr>
              <w:instrText xml:space="preserve"> PAGEREF _Toc46412279 \h </w:instrText>
            </w:r>
            <w:r>
              <w:rPr>
                <w:noProof/>
                <w:webHidden/>
              </w:rPr>
            </w:r>
            <w:r>
              <w:rPr>
                <w:noProof/>
                <w:webHidden/>
              </w:rPr>
              <w:fldChar w:fldCharType="separate"/>
            </w:r>
            <w:r>
              <w:rPr>
                <w:noProof/>
                <w:webHidden/>
              </w:rPr>
              <w:t>3</w:t>
            </w:r>
            <w:r>
              <w:rPr>
                <w:noProof/>
                <w:webHidden/>
              </w:rPr>
              <w:fldChar w:fldCharType="end"/>
            </w:r>
          </w:hyperlink>
        </w:p>
        <w:p w:rsidR="001268AD" w:rsidRDefault="00181E4C">
          <w:pPr>
            <w:pStyle w:val="TOC2"/>
            <w:tabs>
              <w:tab w:val="right" w:leader="dot" w:pos="9062"/>
            </w:tabs>
            <w:rPr>
              <w:rFonts w:asciiTheme="minorHAnsi" w:eastAsiaTheme="minorEastAsia" w:hAnsiTheme="minorHAnsi" w:cs="Arial Unicode MS"/>
              <w:noProof/>
              <w:sz w:val="22"/>
              <w:lang w:bidi="lo-LA"/>
            </w:rPr>
          </w:pPr>
          <w:hyperlink w:anchor="_Toc46412280" w:history="1">
            <w:r>
              <w:rPr>
                <w:rStyle w:val="Hyperlink"/>
                <w:noProof/>
              </w:rPr>
              <w:t>3.1. Finančné riadenie</w:t>
            </w:r>
            <w:r>
              <w:rPr>
                <w:noProof/>
                <w:webHidden/>
              </w:rPr>
              <w:tab/>
            </w:r>
            <w:r>
              <w:rPr>
                <w:noProof/>
                <w:webHidden/>
              </w:rPr>
              <w:fldChar w:fldCharType="begin"/>
            </w:r>
            <w:r>
              <w:rPr>
                <w:noProof/>
                <w:webHidden/>
              </w:rPr>
              <w:instrText xml:space="preserve"> PAGEREF _Toc46412280 \h </w:instrText>
            </w:r>
            <w:r>
              <w:rPr>
                <w:noProof/>
                <w:webHidden/>
              </w:rPr>
            </w:r>
            <w:r>
              <w:rPr>
                <w:noProof/>
                <w:webHidden/>
              </w:rPr>
              <w:fldChar w:fldCharType="separate"/>
            </w:r>
            <w:r>
              <w:rPr>
                <w:noProof/>
                <w:webHidden/>
              </w:rPr>
              <w:t>3</w:t>
            </w:r>
            <w:r>
              <w:rPr>
                <w:noProof/>
                <w:webHidden/>
              </w:rPr>
              <w:fldChar w:fldCharType="end"/>
            </w:r>
          </w:hyperlink>
        </w:p>
        <w:p w:rsidR="001268AD" w:rsidRDefault="00181E4C">
          <w:pPr>
            <w:pStyle w:val="TOC2"/>
            <w:tabs>
              <w:tab w:val="right" w:leader="dot" w:pos="9062"/>
            </w:tabs>
            <w:rPr>
              <w:rFonts w:asciiTheme="minorHAnsi" w:eastAsiaTheme="minorEastAsia" w:hAnsiTheme="minorHAnsi" w:cs="Arial Unicode MS"/>
              <w:noProof/>
              <w:sz w:val="22"/>
              <w:lang w:bidi="lo-LA"/>
            </w:rPr>
          </w:pPr>
          <w:hyperlink w:anchor="_Toc46412281" w:history="1">
            <w:r>
              <w:rPr>
                <w:rStyle w:val="Hyperlink"/>
                <w:noProof/>
              </w:rPr>
              <w:t>3.2. Zloženie a kľúčové charakteristiky portfólia</w:t>
            </w:r>
            <w:r>
              <w:rPr>
                <w:noProof/>
                <w:webHidden/>
              </w:rPr>
              <w:tab/>
            </w:r>
            <w:r>
              <w:rPr>
                <w:noProof/>
                <w:webHidden/>
              </w:rPr>
              <w:fldChar w:fldCharType="begin"/>
            </w:r>
            <w:r>
              <w:rPr>
                <w:noProof/>
                <w:webHidden/>
              </w:rPr>
              <w:instrText xml:space="preserve"> PAGEREF _Toc46412281 \h </w:instrText>
            </w:r>
            <w:r>
              <w:rPr>
                <w:noProof/>
                <w:webHidden/>
              </w:rPr>
            </w:r>
            <w:r>
              <w:rPr>
                <w:noProof/>
                <w:webHidden/>
              </w:rPr>
              <w:fldChar w:fldCharType="separate"/>
            </w:r>
            <w:r>
              <w:rPr>
                <w:noProof/>
                <w:webHidden/>
              </w:rPr>
              <w:t>3</w:t>
            </w:r>
            <w:r>
              <w:rPr>
                <w:noProof/>
                <w:webHidden/>
              </w:rPr>
              <w:fldChar w:fldCharType="end"/>
            </w:r>
          </w:hyperlink>
        </w:p>
        <w:p w:rsidR="001268AD" w:rsidRDefault="00181E4C">
          <w:pPr>
            <w:pStyle w:val="TOC2"/>
            <w:tabs>
              <w:tab w:val="right" w:leader="dot" w:pos="9062"/>
            </w:tabs>
            <w:rPr>
              <w:rFonts w:asciiTheme="minorHAnsi" w:eastAsiaTheme="minorEastAsia" w:hAnsiTheme="minorHAnsi" w:cs="Arial Unicode MS"/>
              <w:noProof/>
              <w:sz w:val="22"/>
              <w:lang w:bidi="lo-LA"/>
            </w:rPr>
          </w:pPr>
          <w:hyperlink w:anchor="_Toc46412282" w:history="1">
            <w:r>
              <w:rPr>
                <w:rStyle w:val="Hyperlink"/>
                <w:noProof/>
              </w:rPr>
              <w:t>3.3. Výkonnosť</w:t>
            </w:r>
            <w:r>
              <w:rPr>
                <w:noProof/>
                <w:webHidden/>
              </w:rPr>
              <w:tab/>
            </w:r>
            <w:r>
              <w:rPr>
                <w:noProof/>
                <w:webHidden/>
              </w:rPr>
              <w:fldChar w:fldCharType="begin"/>
            </w:r>
            <w:r>
              <w:rPr>
                <w:noProof/>
                <w:webHidden/>
              </w:rPr>
              <w:instrText xml:space="preserve"> PAGEREF _Toc46412282 \h </w:instrText>
            </w:r>
            <w:r>
              <w:rPr>
                <w:noProof/>
                <w:webHidden/>
              </w:rPr>
            </w:r>
            <w:r>
              <w:rPr>
                <w:noProof/>
                <w:webHidden/>
              </w:rPr>
              <w:fldChar w:fldCharType="separate"/>
            </w:r>
            <w:r>
              <w:rPr>
                <w:noProof/>
                <w:webHidden/>
              </w:rPr>
              <w:t>4</w:t>
            </w:r>
            <w:r>
              <w:rPr>
                <w:noProof/>
                <w:webHidden/>
              </w:rPr>
              <w:fldChar w:fldCharType="end"/>
            </w:r>
          </w:hyperlink>
        </w:p>
        <w:p w:rsidR="001268AD" w:rsidRDefault="00181E4C">
          <w:pPr>
            <w:pStyle w:val="TOC1"/>
            <w:tabs>
              <w:tab w:val="right" w:leader="dot" w:pos="9062"/>
            </w:tabs>
            <w:rPr>
              <w:rFonts w:asciiTheme="minorHAnsi" w:eastAsiaTheme="minorEastAsia" w:hAnsiTheme="minorHAnsi" w:cs="Arial Unicode MS"/>
              <w:noProof/>
              <w:sz w:val="22"/>
              <w:lang w:bidi="lo-LA"/>
            </w:rPr>
          </w:pPr>
          <w:hyperlink w:anchor="_Toc46412283" w:history="1">
            <w:r>
              <w:rPr>
                <w:rStyle w:val="Hyperlink"/>
                <w:noProof/>
              </w:rPr>
              <w:t>4. Finančné účty</w:t>
            </w:r>
            <w:r>
              <w:rPr>
                <w:noProof/>
                <w:webHidden/>
              </w:rPr>
              <w:tab/>
            </w:r>
            <w:r>
              <w:rPr>
                <w:noProof/>
                <w:webHidden/>
              </w:rPr>
              <w:fldChar w:fldCharType="begin"/>
            </w:r>
            <w:r>
              <w:rPr>
                <w:noProof/>
                <w:webHidden/>
              </w:rPr>
              <w:instrText xml:space="preserve"> PAGEREF _Toc46412283 \h </w:instrText>
            </w:r>
            <w:r>
              <w:rPr>
                <w:noProof/>
                <w:webHidden/>
              </w:rPr>
            </w:r>
            <w:r>
              <w:rPr>
                <w:noProof/>
                <w:webHidden/>
              </w:rPr>
              <w:fldChar w:fldCharType="separate"/>
            </w:r>
            <w:r>
              <w:rPr>
                <w:noProof/>
                <w:webHidden/>
              </w:rPr>
              <w:t>4</w:t>
            </w:r>
            <w:r>
              <w:rPr>
                <w:noProof/>
                <w:webHidden/>
              </w:rPr>
              <w:fldChar w:fldCharType="end"/>
            </w:r>
          </w:hyperlink>
        </w:p>
        <w:p w:rsidR="001268AD" w:rsidRDefault="00181E4C">
          <w:pPr>
            <w:pStyle w:val="TOC2"/>
            <w:tabs>
              <w:tab w:val="right" w:leader="dot" w:pos="9062"/>
            </w:tabs>
            <w:rPr>
              <w:rFonts w:asciiTheme="minorHAnsi" w:eastAsiaTheme="minorEastAsia" w:hAnsiTheme="minorHAnsi" w:cs="Arial Unicode MS"/>
              <w:noProof/>
              <w:sz w:val="22"/>
              <w:lang w:bidi="lo-LA"/>
            </w:rPr>
          </w:pPr>
          <w:hyperlink w:anchor="_Toc46412284" w:history="1">
            <w:r>
              <w:rPr>
                <w:rStyle w:val="Hyperlink"/>
                <w:noProof/>
              </w:rPr>
              <w:t>4.1. Účtovná závierka záručného fondu EFSD k 31. decembru 2019</w:t>
            </w:r>
            <w:r>
              <w:rPr>
                <w:noProof/>
                <w:webHidden/>
              </w:rPr>
              <w:tab/>
            </w:r>
            <w:r>
              <w:rPr>
                <w:noProof/>
                <w:webHidden/>
              </w:rPr>
              <w:fldChar w:fldCharType="begin"/>
            </w:r>
            <w:r>
              <w:rPr>
                <w:noProof/>
                <w:webHidden/>
              </w:rPr>
              <w:instrText xml:space="preserve"> PAGEREF _Toc46412284 \h </w:instrText>
            </w:r>
            <w:r>
              <w:rPr>
                <w:noProof/>
                <w:webHidden/>
              </w:rPr>
            </w:r>
            <w:r>
              <w:rPr>
                <w:noProof/>
                <w:webHidden/>
              </w:rPr>
              <w:fldChar w:fldCharType="separate"/>
            </w:r>
            <w:r>
              <w:rPr>
                <w:noProof/>
                <w:webHidden/>
              </w:rPr>
              <w:t>4</w:t>
            </w:r>
            <w:r>
              <w:rPr>
                <w:noProof/>
                <w:webHidden/>
              </w:rPr>
              <w:fldChar w:fldCharType="end"/>
            </w:r>
          </w:hyperlink>
        </w:p>
        <w:p w:rsidR="001268AD" w:rsidRDefault="00181E4C">
          <w:pPr>
            <w:pStyle w:val="TOC2"/>
            <w:tabs>
              <w:tab w:val="right" w:leader="dot" w:pos="9062"/>
            </w:tabs>
            <w:rPr>
              <w:rFonts w:asciiTheme="minorHAnsi" w:eastAsiaTheme="minorEastAsia" w:hAnsiTheme="minorHAnsi" w:cs="Arial Unicode MS"/>
              <w:noProof/>
              <w:sz w:val="22"/>
              <w:lang w:bidi="lo-LA"/>
            </w:rPr>
          </w:pPr>
          <w:hyperlink w:anchor="_Toc46412285" w:history="1">
            <w:r>
              <w:rPr>
                <w:rStyle w:val="Hyperlink"/>
                <w:noProof/>
              </w:rPr>
              <w:t>4.2. Tvorba rezerv</w:t>
            </w:r>
            <w:r>
              <w:rPr>
                <w:noProof/>
                <w:webHidden/>
              </w:rPr>
              <w:tab/>
            </w:r>
            <w:r>
              <w:rPr>
                <w:noProof/>
                <w:webHidden/>
              </w:rPr>
              <w:fldChar w:fldCharType="begin"/>
            </w:r>
            <w:r>
              <w:rPr>
                <w:noProof/>
                <w:webHidden/>
              </w:rPr>
              <w:instrText xml:space="preserve"> PAGEREF _Toc46412285 \h </w:instrText>
            </w:r>
            <w:r>
              <w:rPr>
                <w:noProof/>
                <w:webHidden/>
              </w:rPr>
            </w:r>
            <w:r>
              <w:rPr>
                <w:noProof/>
                <w:webHidden/>
              </w:rPr>
              <w:fldChar w:fldCharType="separate"/>
            </w:r>
            <w:r>
              <w:rPr>
                <w:noProof/>
                <w:webHidden/>
              </w:rPr>
              <w:t>8</w:t>
            </w:r>
            <w:r>
              <w:rPr>
                <w:noProof/>
                <w:webHidden/>
              </w:rPr>
              <w:fldChar w:fldCharType="end"/>
            </w:r>
          </w:hyperlink>
        </w:p>
        <w:p w:rsidR="001268AD" w:rsidRDefault="00181E4C">
          <w:pPr>
            <w:pStyle w:val="TOC1"/>
            <w:tabs>
              <w:tab w:val="right" w:leader="dot" w:pos="9062"/>
            </w:tabs>
            <w:rPr>
              <w:rFonts w:asciiTheme="minorHAnsi" w:eastAsiaTheme="minorEastAsia" w:hAnsiTheme="minorHAnsi" w:cs="Arial Unicode MS"/>
              <w:noProof/>
              <w:sz w:val="22"/>
              <w:lang w:bidi="lo-LA"/>
            </w:rPr>
          </w:pPr>
          <w:hyperlink w:anchor="_Toc46412286" w:history="1">
            <w:r>
              <w:rPr>
                <w:rStyle w:val="Hyperlink"/>
                <w:noProof/>
              </w:rPr>
              <w:t>5. Posúdenie primeranosti cieľovej sumy a úrovne záručného fondu EFSD</w:t>
            </w:r>
            <w:r>
              <w:rPr>
                <w:noProof/>
                <w:webHidden/>
              </w:rPr>
              <w:tab/>
            </w:r>
            <w:r>
              <w:rPr>
                <w:noProof/>
                <w:webHidden/>
              </w:rPr>
              <w:fldChar w:fldCharType="begin"/>
            </w:r>
            <w:r>
              <w:rPr>
                <w:noProof/>
                <w:webHidden/>
              </w:rPr>
              <w:instrText xml:space="preserve"> PAGEREF _Toc46412286 \h </w:instrText>
            </w:r>
            <w:r>
              <w:rPr>
                <w:noProof/>
                <w:webHidden/>
              </w:rPr>
            </w:r>
            <w:r>
              <w:rPr>
                <w:noProof/>
                <w:webHidden/>
              </w:rPr>
              <w:fldChar w:fldCharType="separate"/>
            </w:r>
            <w:r>
              <w:rPr>
                <w:noProof/>
                <w:webHidden/>
              </w:rPr>
              <w:t>8</w:t>
            </w:r>
            <w:r>
              <w:rPr>
                <w:noProof/>
                <w:webHidden/>
              </w:rPr>
              <w:fldChar w:fldCharType="end"/>
            </w:r>
          </w:hyperlink>
        </w:p>
        <w:p w:rsidR="001268AD" w:rsidRDefault="00181E4C">
          <w:pPr>
            <w:rPr>
              <w:noProof/>
            </w:rPr>
          </w:pPr>
          <w:r>
            <w:rPr>
              <w:b/>
              <w:bCs/>
              <w:noProof/>
            </w:rPr>
            <w:fldChar w:fldCharType="end"/>
          </w:r>
        </w:p>
      </w:sdtContent>
    </w:sdt>
    <w:p w:rsidR="001268AD" w:rsidRDefault="00181E4C">
      <w:pPr>
        <w:rPr>
          <w:noProof/>
        </w:rPr>
      </w:pPr>
      <w:r>
        <w:rPr>
          <w:noProof/>
        </w:rPr>
        <w:br w:type="page"/>
      </w:r>
    </w:p>
    <w:p w:rsidR="001268AD" w:rsidRDefault="00181E4C">
      <w:pPr>
        <w:pStyle w:val="Heading1"/>
        <w:rPr>
          <w:noProof/>
        </w:rPr>
      </w:pPr>
      <w:bookmarkStart w:id="2" w:name="_Toc46412277"/>
      <w:r>
        <w:rPr>
          <w:noProof/>
        </w:rPr>
        <w:t>1. Úvod</w:t>
      </w:r>
      <w:bookmarkEnd w:id="2"/>
    </w:p>
    <w:p w:rsidR="001268AD" w:rsidRDefault="00181E4C">
      <w:pPr>
        <w:jc w:val="both"/>
        <w:rPr>
          <w:noProof/>
        </w:rPr>
      </w:pPr>
      <w:r>
        <w:rPr>
          <w:noProof/>
        </w:rPr>
        <w:t>Právnym základom pre túto správu je nariadenie (EÚ) 2017/1601 (ďalej len „nariadenie o EFSD“)</w:t>
      </w:r>
      <w:r>
        <w:rPr>
          <w:rStyle w:val="FootnoteReference"/>
          <w:noProof/>
        </w:rPr>
        <w:footnoteReference w:id="1"/>
      </w:r>
      <w:r>
        <w:rPr>
          <w:noProof/>
        </w:rPr>
        <w:t>. V článku 16 ods. 3 nariadenia o EFSD sa stanovuje, že Komisia poskytne Európskemu parlamentu, Rade a Dvoru audítorov správu o spravovaní zár</w:t>
      </w:r>
      <w:r>
        <w:rPr>
          <w:noProof/>
        </w:rPr>
        <w:t>učného fondu Európskeho fondu pre udržateľný rozvoj (ďalej len „EFSD“) v predchádzajúcom kalendárnom roku vrátane posúdenia primeranosti financovania, úrovne záručného fondu EFSD a potreby jeho doplnenia.</w:t>
      </w:r>
    </w:p>
    <w:p w:rsidR="001268AD" w:rsidRDefault="00181E4C">
      <w:pPr>
        <w:pStyle w:val="Heading1"/>
        <w:rPr>
          <w:noProof/>
        </w:rPr>
      </w:pPr>
      <w:bookmarkStart w:id="3" w:name="_Toc46412278"/>
      <w:r>
        <w:rPr>
          <w:noProof/>
        </w:rPr>
        <w:t>2. Kontext operácií</w:t>
      </w:r>
      <w:bookmarkEnd w:id="3"/>
    </w:p>
    <w:p w:rsidR="001268AD" w:rsidRDefault="00181E4C">
      <w:pPr>
        <w:jc w:val="both"/>
        <w:rPr>
          <w:noProof/>
          <w:szCs w:val="24"/>
        </w:rPr>
      </w:pPr>
      <w:r>
        <w:rPr>
          <w:noProof/>
        </w:rPr>
        <w:t>EFSD kryje financovanie operáci</w:t>
      </w:r>
      <w:r>
        <w:rPr>
          <w:noProof/>
        </w:rPr>
        <w:t>í v Afrike a krajinách susedstva EÚ vrátane operácií kombinovaného financovania a záruky EFSD. Záruka EFSD je kľúčový inovačný prvok, ktorý slúži na znižovanie rizík spojených s investíciami do udržateľného rozvoja v partnerských krajinách, čím prispieva k</w:t>
      </w:r>
      <w:r>
        <w:rPr>
          <w:noProof/>
        </w:rPr>
        <w:t> mobilizácii investícií, podporuje udržateľný a inkluzívny hospodársky a sociálny rozvoj, maximalizuje doplnkovosť a združuje finančné prostriedky súkromného sektora. Záruka má slúžiť ako mechanizmus na zmierňovanie rizika, ktorý mobilizuje finančné prostr</w:t>
      </w:r>
      <w:r>
        <w:rPr>
          <w:noProof/>
        </w:rPr>
        <w:t>iedky súkromného sektora a zároveň zabraňuje narušeniam trhu.</w:t>
      </w:r>
    </w:p>
    <w:p w:rsidR="001268AD" w:rsidRDefault="00181E4C">
      <w:pPr>
        <w:jc w:val="both"/>
        <w:rPr>
          <w:noProof/>
          <w:szCs w:val="24"/>
        </w:rPr>
      </w:pPr>
      <w:r>
        <w:rPr>
          <w:noProof/>
        </w:rPr>
        <w:t>Záruka EFSD bola stanovená v celkovej výške 1,5 miliardy EUR a bude krytá zo všeobecného rozpočtu. Ku koncu roka 2019 dodatočné príspevky na podporu záručného fondu EFSD zahŕňali 50 miliónov USD</w:t>
      </w:r>
      <w:r>
        <w:rPr>
          <w:noProof/>
        </w:rPr>
        <w:t xml:space="preserve"> od Nadácie Billa a Melindy Gatesových, 9,6 milióna EUR od Dánska, 300 000 EUR od Českej republiky a 100 000 EUR od Estónska.</w:t>
      </w:r>
    </w:p>
    <w:p w:rsidR="001268AD" w:rsidRDefault="00181E4C">
      <w:pPr>
        <w:jc w:val="both"/>
        <w:rPr>
          <w:noProof/>
        </w:rPr>
      </w:pPr>
      <w:r>
        <w:rPr>
          <w:noProof/>
        </w:rPr>
        <w:t xml:space="preserve">V článku 14 nariadenia o EFSD sa zriaďuje záručný fond EFSD, ktorý predstavuje rezervu likvidity určenú na vyplatenie oprávnených </w:t>
      </w:r>
      <w:r>
        <w:rPr>
          <w:noProof/>
        </w:rPr>
        <w:t>protistrán v prípade výzvy na uplatnenie záruky EFSD. Únia sprístupnila 750 miliónov EUR na krytie svojich finančných záväzkov, čo zodpovedá 50 % záväzkov záruky EÚ.</w:t>
      </w:r>
    </w:p>
    <w:p w:rsidR="001268AD" w:rsidRDefault="00181E4C">
      <w:pPr>
        <w:jc w:val="both"/>
        <w:rPr>
          <w:noProof/>
        </w:rPr>
      </w:pPr>
      <w:r>
        <w:rPr>
          <w:noProof/>
        </w:rPr>
        <w:t>Záručný fond EFSD bol fakticky zriadený v roku 2018. K 31. decembru 2019 bolo do fondu zap</w:t>
      </w:r>
      <w:r>
        <w:rPr>
          <w:noProof/>
        </w:rPr>
        <w:t>latených 600,1 milióna EUR.</w:t>
      </w:r>
    </w:p>
    <w:p w:rsidR="001268AD" w:rsidRDefault="00181E4C">
      <w:pPr>
        <w:jc w:val="both"/>
        <w:rPr>
          <w:noProof/>
        </w:rPr>
      </w:pPr>
      <w:r>
        <w:rPr>
          <w:noProof/>
        </w:rPr>
        <w:t>Informácie o vykonávaní EFSD boli uvedené v nedávnej správe Komisie Európskemu parlamentu a Rade</w:t>
      </w:r>
      <w:r>
        <w:rPr>
          <w:rStyle w:val="FootnoteReference"/>
          <w:noProof/>
        </w:rPr>
        <w:footnoteReference w:id="2"/>
      </w:r>
      <w:r>
        <w:rPr>
          <w:noProof/>
        </w:rPr>
        <w:t>. V uvedenej správe sa na základe výsledku nezávislého externého posúdenia dospelo k záveru, že EFSD je veľmi relevantný z hľadiska</w:t>
      </w:r>
      <w:r>
        <w:rPr>
          <w:noProof/>
        </w:rPr>
        <w:t xml:space="preserve"> potreby nového globálneho modelu rozvojového financovania, ako aj z hľadiska investičných potrieb subsaharskej Afriky a regiónov susedstva EÚ.</w:t>
      </w:r>
    </w:p>
    <w:p w:rsidR="001268AD" w:rsidRDefault="00181E4C">
      <w:pPr>
        <w:pStyle w:val="Heading1"/>
        <w:rPr>
          <w:noProof/>
          <w:szCs w:val="24"/>
        </w:rPr>
      </w:pPr>
      <w:bookmarkStart w:id="4" w:name="_Toc46412279"/>
      <w:r>
        <w:rPr>
          <w:noProof/>
        </w:rPr>
        <w:t>3. Riadenie záručného fondu EFSD v roku 2019</w:t>
      </w:r>
      <w:bookmarkEnd w:id="4"/>
    </w:p>
    <w:p w:rsidR="001268AD" w:rsidRDefault="00181E4C">
      <w:pPr>
        <w:pStyle w:val="Heading2"/>
        <w:rPr>
          <w:noProof/>
        </w:rPr>
      </w:pPr>
      <w:bookmarkStart w:id="5" w:name="_Toc46412280"/>
      <w:r>
        <w:rPr>
          <w:noProof/>
        </w:rPr>
        <w:t>3.1. Finančné riadenie</w:t>
      </w:r>
      <w:bookmarkEnd w:id="5"/>
    </w:p>
    <w:p w:rsidR="001268AD" w:rsidRDefault="00181E4C">
      <w:pPr>
        <w:jc w:val="both"/>
        <w:rPr>
          <w:noProof/>
        </w:rPr>
      </w:pPr>
      <w:r>
        <w:rPr>
          <w:noProof/>
          <w:sz w:val="23"/>
          <w:szCs w:val="23"/>
        </w:rPr>
        <w:t>I</w:t>
      </w:r>
      <w:r>
        <w:rPr>
          <w:noProof/>
        </w:rPr>
        <w:t xml:space="preserve">nvestičné portfólio záručného fondu EFSD sa investuje v súlade so zásadami riadenia stanovenými v rozhodnutí Komisie </w:t>
      </w:r>
      <w:hyperlink r:id="rId14" w:history="1">
        <w:r>
          <w:rPr>
            <w:noProof/>
          </w:rPr>
          <w:t>C(2017) 7693</w:t>
        </w:r>
      </w:hyperlink>
      <w:r>
        <w:rPr>
          <w:noProof/>
        </w:rPr>
        <w:t xml:space="preserve"> z 22. novembra 2017, </w:t>
      </w:r>
      <w:r>
        <w:rPr>
          <w:noProof/>
          <w:color w:val="000000" w:themeColor="text1"/>
        </w:rPr>
        <w:t>ktorým sa</w:t>
      </w:r>
      <w:r>
        <w:rPr>
          <w:noProof/>
          <w:color w:val="000000" w:themeColor="text1"/>
        </w:rPr>
        <w:t xml:space="preserve"> schvaľujú usmernenia </w:t>
      </w:r>
      <w:r>
        <w:rPr>
          <w:noProof/>
        </w:rPr>
        <w:t>pre správu aktív záručného fondu EFSD.</w:t>
      </w:r>
    </w:p>
    <w:p w:rsidR="001268AD" w:rsidRDefault="00181E4C">
      <w:pPr>
        <w:jc w:val="both"/>
        <w:rPr>
          <w:noProof/>
        </w:rPr>
      </w:pPr>
      <w:r>
        <w:rPr>
          <w:noProof/>
        </w:rPr>
        <w:t>V týchto usmerneniach sa stanovuje, že aktíva v investičnom portfóliu musia zabezpečiť dostatočnú likviditu na krytie prípadných výziev na uplatnenie záruky a zároveň musia sledovať optimalizáciu</w:t>
      </w:r>
      <w:r>
        <w:rPr>
          <w:noProof/>
        </w:rPr>
        <w:t xml:space="preserve"> miery rizík a výnosov, ktorá je zlučiteľná so zachovaním vysokého stupňa bezpečnosti a stability.</w:t>
      </w:r>
    </w:p>
    <w:p w:rsidR="001268AD" w:rsidRDefault="00181E4C">
      <w:pPr>
        <w:jc w:val="both"/>
        <w:rPr>
          <w:noProof/>
        </w:rPr>
      </w:pPr>
      <w:r>
        <w:rPr>
          <w:noProof/>
        </w:rPr>
        <w:t>Stratégie investovania a riadenia rizík boli prijaté s ohľadom na investičné ciele a predpokladaný vývoj na trhu. Investičný prístup bol zacielený na posilne</w:t>
      </w:r>
      <w:r>
        <w:rPr>
          <w:noProof/>
        </w:rPr>
        <w:t>nie diverzifikácie naprieč rôznymi triedami aktív s pevným výnosom.</w:t>
      </w:r>
    </w:p>
    <w:p w:rsidR="001268AD" w:rsidRDefault="00181E4C">
      <w:pPr>
        <w:pStyle w:val="Heading2"/>
        <w:rPr>
          <w:noProof/>
        </w:rPr>
      </w:pPr>
      <w:bookmarkStart w:id="6" w:name="_Toc46412281"/>
      <w:r>
        <w:rPr>
          <w:noProof/>
        </w:rPr>
        <w:t>3.2. Zloženie a kľúčové charakteristiky portfólia</w:t>
      </w:r>
      <w:bookmarkEnd w:id="6"/>
    </w:p>
    <w:p w:rsidR="001268AD" w:rsidRDefault="00181E4C">
      <w:pPr>
        <w:jc w:val="both"/>
        <w:rPr>
          <w:noProof/>
        </w:rPr>
      </w:pPr>
      <w:r>
        <w:rPr>
          <w:noProof/>
        </w:rPr>
        <w:t>Správa aktív investičného portfólia záručného fondu EFSD sa riadi investičnou stratégiou s cieľom dosiahnuť investičné ciele. Táto investi</w:t>
      </w:r>
      <w:r>
        <w:rPr>
          <w:noProof/>
        </w:rPr>
        <w:t>čná stratégia je vyjadrená formou referenčnej hodnoty, ktorou sa stanovujú orientačné cieľové alokácie do jednotlivých kategórií oprávnených finančných aktív portfólia.</w:t>
      </w:r>
    </w:p>
    <w:p w:rsidR="001268AD" w:rsidRDefault="00181E4C">
      <w:pPr>
        <w:jc w:val="both"/>
        <w:rPr>
          <w:noProof/>
        </w:rPr>
      </w:pPr>
      <w:r>
        <w:rPr>
          <w:noProof/>
        </w:rPr>
        <w:t>K 31. decembru 2019 investičné portfólio pozostávalo predovšetkým z cenných papierov em</w:t>
      </w:r>
      <w:r>
        <w:rPr>
          <w:noProof/>
        </w:rPr>
        <w:t>itovaných štátmi, ako aj subjektmi na nižšej ako štátnej úrovni, nadnárodnými spoločnosťami a agentúrami a zahraničnými vládami (45 % trhovej hodnoty v porovnaní s referenčnou hodnotou 52 %), nezabezpečených dlhopisov vydávaných podnikmi a finančnými inšti</w:t>
      </w:r>
      <w:r>
        <w:rPr>
          <w:noProof/>
        </w:rPr>
        <w:t>túciami (22 % trhovej hodnoty v porovnaní s referenčnou hodnotou 18 %) a z krytých dlhopisov (14 % trhovej hodnoty v porovnaní s referenčnou hodnotou 0 %). Zvyšok bol umiestnený najmä vo fondoch peňažného trhu.</w:t>
      </w:r>
    </w:p>
    <w:p w:rsidR="001268AD" w:rsidRDefault="00181E4C">
      <w:pPr>
        <w:jc w:val="both"/>
        <w:rPr>
          <w:noProof/>
        </w:rPr>
      </w:pPr>
      <w:r>
        <w:rPr>
          <w:noProof/>
        </w:rPr>
        <w:t>Na konci roka 2019 bola expozícia portfólia v</w:t>
      </w:r>
      <w:r>
        <w:rPr>
          <w:noProof/>
        </w:rPr>
        <w:t>oči dlhopisom, ktoré spĺňajú environmentálne a sociálne kritériá a kritériá správy, viac než 2-násobne vyššia ako zodpovedajúca referenčná hodnota.</w:t>
      </w:r>
    </w:p>
    <w:p w:rsidR="001268AD" w:rsidRDefault="00181E4C">
      <w:pPr>
        <w:jc w:val="both"/>
        <w:rPr>
          <w:noProof/>
        </w:rPr>
      </w:pPr>
      <w:r>
        <w:rPr>
          <w:noProof/>
        </w:rPr>
        <w:t>Durácia portfólia</w:t>
      </w:r>
      <w:r>
        <w:rPr>
          <w:noProof/>
          <w:sz w:val="16"/>
          <w:szCs w:val="16"/>
        </w:rPr>
        <w:t xml:space="preserve"> </w:t>
      </w:r>
      <w:r>
        <w:rPr>
          <w:noProof/>
        </w:rPr>
        <w:t>ku koncu roka 2019 bola 2,51 roka a úverové ratingy cenných papierov EFSD boli rozdelené t</w:t>
      </w:r>
      <w:r>
        <w:rPr>
          <w:noProof/>
        </w:rPr>
        <w:t>akto:</w:t>
      </w:r>
    </w:p>
    <w:p w:rsidR="001268AD" w:rsidRDefault="00181E4C">
      <w:pPr>
        <w:pStyle w:val="Default"/>
        <w:jc w:val="center"/>
        <w:rPr>
          <w:rFonts w:ascii="Calibri" w:hAnsi="Calibri" w:cs="Calibri"/>
          <w:noProof/>
          <w:color w:val="1F497D"/>
          <w:sz w:val="22"/>
          <w:szCs w:val="22"/>
        </w:rPr>
      </w:pPr>
      <w:r>
        <w:rPr>
          <w:noProof/>
          <w:lang w:val="fr-BE" w:eastAsia="fr-BE"/>
        </w:rPr>
        <w:drawing>
          <wp:inline distT="0" distB="0" distL="0" distR="0">
            <wp:extent cx="3906982" cy="2269375"/>
            <wp:effectExtent l="0" t="0" r="0" b="0"/>
            <wp:docPr id="2" name="Picture 2" descr="cid:image001.jpg@01D6134B.2AD5A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6134B.2AD5ADD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997914" cy="2322193"/>
                    </a:xfrm>
                    <a:prstGeom prst="rect">
                      <a:avLst/>
                    </a:prstGeom>
                    <a:noFill/>
                    <a:ln>
                      <a:noFill/>
                    </a:ln>
                  </pic:spPr>
                </pic:pic>
              </a:graphicData>
            </a:graphic>
          </wp:inline>
        </w:drawing>
      </w:r>
    </w:p>
    <w:p w:rsidR="001268AD" w:rsidRDefault="001268AD">
      <w:pPr>
        <w:pStyle w:val="Default"/>
        <w:rPr>
          <w:noProof/>
          <w:color w:val="auto"/>
          <w:sz w:val="23"/>
          <w:szCs w:val="23"/>
        </w:rPr>
      </w:pPr>
    </w:p>
    <w:p w:rsidR="001268AD" w:rsidRDefault="00181E4C">
      <w:pPr>
        <w:jc w:val="both"/>
        <w:rPr>
          <w:noProof/>
        </w:rPr>
      </w:pPr>
      <w:r>
        <w:rPr>
          <w:noProof/>
        </w:rPr>
        <w:t>Väčšina portfólia je investovaná do likvidných cenných papierov a primeraná časť (14 % celkovej hodnoty portfólia) je splatná za menej ako 12 mesiacov.</w:t>
      </w:r>
    </w:p>
    <w:p w:rsidR="001268AD" w:rsidRDefault="00181E4C">
      <w:pPr>
        <w:jc w:val="both"/>
        <w:rPr>
          <w:noProof/>
        </w:rPr>
      </w:pPr>
      <w:r>
        <w:rPr>
          <w:noProof/>
        </w:rPr>
        <w:t xml:space="preserve">Profil portfólia z hľadiska durácie, kreditného rizika a likvidity sa upravil v súlade </w:t>
      </w:r>
      <w:r>
        <w:rPr>
          <w:noProof/>
        </w:rPr>
        <w:t>s predpokladanými peňažnými tokmi vyplývajúcimi z operácií EFSD v rámci záruky EÚ (napr. predpokladané uplatnenie, príjmy).</w:t>
      </w:r>
    </w:p>
    <w:p w:rsidR="001268AD" w:rsidRDefault="001268AD">
      <w:pPr>
        <w:jc w:val="both"/>
        <w:rPr>
          <w:noProof/>
        </w:rPr>
      </w:pPr>
    </w:p>
    <w:p w:rsidR="001268AD" w:rsidRDefault="00181E4C">
      <w:pPr>
        <w:pStyle w:val="Heading2"/>
        <w:rPr>
          <w:noProof/>
        </w:rPr>
      </w:pPr>
      <w:bookmarkStart w:id="7" w:name="_Toc46412282"/>
      <w:r>
        <w:rPr>
          <w:noProof/>
        </w:rPr>
        <w:t>3.3. Výkonnosť</w:t>
      </w:r>
      <w:bookmarkEnd w:id="7"/>
    </w:p>
    <w:p w:rsidR="001268AD" w:rsidRDefault="00181E4C">
      <w:pPr>
        <w:jc w:val="both"/>
        <w:rPr>
          <w:noProof/>
        </w:rPr>
      </w:pPr>
      <w:r>
        <w:rPr>
          <w:noProof/>
        </w:rPr>
        <w:t>Ročná výkonnosť sa vypočítava na časovo váženom základe, aby nebola ovplyvnená veľkosťou portfólia, ktoré počas roka</w:t>
      </w:r>
      <w:r>
        <w:rPr>
          <w:noProof/>
        </w:rPr>
        <w:t xml:space="preserve"> významne narástlo.</w:t>
      </w:r>
    </w:p>
    <w:p w:rsidR="001268AD" w:rsidRDefault="00181E4C">
      <w:pPr>
        <w:jc w:val="both"/>
        <w:rPr>
          <w:noProof/>
        </w:rPr>
      </w:pPr>
      <w:r>
        <w:rPr>
          <w:noProof/>
        </w:rPr>
        <w:t>Vo veľmi náročnom trhovom prostredí, ktoré charakterizovali celkové záporné alebo historicky nízke výnosy spojené s významnou volatilitou trhu a neistotami, vykázal fond v roku 2019 absolútnu ročnú výkonnosť na úrovni 0,242 % (časovo vá</w:t>
      </w:r>
      <w:r>
        <w:rPr>
          <w:noProof/>
        </w:rPr>
        <w:t>žená výkonnosť, pred odpočítaním nákladov a poplatkov). Táto návratnosť je v súlade s ročnou výkonnosťou referenčnej hodnoty EFSD (0,149 %) a bola dosiahnutá na pozadí negatívnych sadzieb v eurozóne (najmä pokiaľ ide o expozície, ktoré trhy vnímajú v Európ</w:t>
      </w:r>
      <w:r>
        <w:rPr>
          <w:noProof/>
        </w:rPr>
        <w:t>e ako „bez úverového rizika“ a likvidné).</w:t>
      </w:r>
    </w:p>
    <w:p w:rsidR="001268AD" w:rsidRDefault="00181E4C">
      <w:pPr>
        <w:pStyle w:val="Heading1"/>
        <w:rPr>
          <w:noProof/>
        </w:rPr>
      </w:pPr>
      <w:bookmarkStart w:id="8" w:name="_Toc46412283"/>
      <w:r>
        <w:rPr>
          <w:noProof/>
        </w:rPr>
        <w:t>4. Finančné účty</w:t>
      </w:r>
      <w:bookmarkEnd w:id="8"/>
    </w:p>
    <w:p w:rsidR="001268AD" w:rsidRDefault="00181E4C">
      <w:pPr>
        <w:rPr>
          <w:noProof/>
          <w:szCs w:val="24"/>
        </w:rPr>
      </w:pPr>
      <w:r>
        <w:rPr>
          <w:noProof/>
        </w:rPr>
        <w:t>Nižšie sa uvádzajú finančné informácie týkajúce sa záručného fondu EFSD. V roku 2019 nedošlo k žiadnym výzvam na uplatnenie záruky EFSD.</w:t>
      </w:r>
    </w:p>
    <w:p w:rsidR="001268AD" w:rsidRDefault="00181E4C">
      <w:pPr>
        <w:pStyle w:val="Heading2"/>
        <w:jc w:val="both"/>
        <w:rPr>
          <w:noProof/>
        </w:rPr>
      </w:pPr>
      <w:bookmarkStart w:id="9" w:name="_Toc46412284"/>
      <w:r>
        <w:rPr>
          <w:noProof/>
        </w:rPr>
        <w:t>4.1. Účtovná závierka záručného fondu EFSD k 31. decembru 20</w:t>
      </w:r>
      <w:r>
        <w:rPr>
          <w:noProof/>
        </w:rPr>
        <w:t>19</w:t>
      </w:r>
      <w:bookmarkEnd w:id="9"/>
    </w:p>
    <w:p w:rsidR="001268AD" w:rsidRDefault="00181E4C">
      <w:pPr>
        <w:jc w:val="both"/>
        <w:rPr>
          <w:noProof/>
        </w:rPr>
      </w:pPr>
      <w:bookmarkStart w:id="10" w:name="_Toc475538090"/>
      <w:r>
        <w:rPr>
          <w:noProof/>
        </w:rPr>
        <w:t>Vďaka pozitívnemu vývoju na trhu, s poklesom výnosovej krivky v eurách v kombinácii s dobrými výsledkami väčšiny odvetví s pevným výnosom, ako sa opisuje v bode 3.3. vyššie, sa celková výška aktív záručného fondu EFSD blížila k celkovým príspevkom do fo</w:t>
      </w:r>
      <w:r>
        <w:rPr>
          <w:noProof/>
        </w:rPr>
        <w:t>ndu vo výške 600,1 milióna EUR a k 31. decembru 2019 dosahovala výšku 599,59 milióna EUR aj napriek záporným úrokovým sadzbám. Aktíva sa skladali z portfólia investičných cenných papierov klasifikovaných ako k dispozícii na predaj (594,71 milióna EUR) a pe</w:t>
      </w:r>
      <w:r>
        <w:rPr>
          <w:noProof/>
        </w:rPr>
        <w:t>ňažných prostriedkov (4,88 milióna EUR).</w:t>
      </w:r>
    </w:p>
    <w:p w:rsidR="001268AD" w:rsidRDefault="00181E4C">
      <w:pPr>
        <w:jc w:val="both"/>
        <w:rPr>
          <w:noProof/>
        </w:rPr>
      </w:pPr>
      <w:r>
        <w:rPr>
          <w:noProof/>
        </w:rPr>
        <w:t>Z hľadiska výkazu ziskov a strát za rok 2019 záručný fond EFSD ukončil rok s mierne negatívnym hospodárskym výsledkom vo výške –0,26 milióna EUR</w:t>
      </w:r>
      <w:r>
        <w:rPr>
          <w:rStyle w:val="FootnoteReference"/>
          <w:noProof/>
        </w:rPr>
        <w:footnoteReference w:id="3"/>
      </w:r>
      <w:r>
        <w:rPr>
          <w:noProof/>
        </w:rPr>
        <w:t>. Hlavným dôvodom tohto výsledku boli záporné úrokové sadzby na hotovo</w:t>
      </w:r>
      <w:r>
        <w:rPr>
          <w:noProof/>
        </w:rPr>
        <w:t>sť aj cenné papiere (–0,45 milióna EUR) vzhľadom na prostredie s veľmi negatívnymi úrokovými sadzbami, čo bolo možné iba čiastočne kompenzovať ziskmi realizovanými z predaja cenných papierov a príjmami z požičiavania cenných papierov (0,19 milióna EUR).</w:t>
      </w:r>
    </w:p>
    <w:p w:rsidR="001268AD" w:rsidRDefault="001268AD">
      <w:pPr>
        <w:rPr>
          <w:b/>
          <w:noProof/>
        </w:rPr>
      </w:pPr>
    </w:p>
    <w:p w:rsidR="001268AD" w:rsidRDefault="00181E4C">
      <w:pPr>
        <w:rPr>
          <w:noProof/>
        </w:rPr>
      </w:pPr>
      <w:r>
        <w:rPr>
          <w:noProof/>
        </w:rPr>
        <w:br w:type="page"/>
      </w:r>
    </w:p>
    <w:p w:rsidR="001268AD" w:rsidRDefault="001268AD">
      <w:pPr>
        <w:rPr>
          <w:b/>
          <w:noProof/>
        </w:rPr>
      </w:pPr>
    </w:p>
    <w:p w:rsidR="001268AD" w:rsidRDefault="00181E4C">
      <w:pPr>
        <w:rPr>
          <w:b/>
          <w:noProof/>
        </w:rPr>
      </w:pPr>
      <w:r>
        <w:rPr>
          <w:b/>
          <w:noProof/>
        </w:rPr>
        <w:t>Súvaha k 31. decembru 201</w:t>
      </w:r>
      <w:bookmarkEnd w:id="10"/>
      <w:r>
        <w:rPr>
          <w:b/>
          <w:noProof/>
        </w:rPr>
        <w:t>9</w:t>
      </w:r>
    </w:p>
    <w:p w:rsidR="001268AD" w:rsidRDefault="00181E4C">
      <w:pPr>
        <w:spacing w:after="0" w:line="240" w:lineRule="auto"/>
        <w:ind w:left="-284" w:firstLine="284"/>
        <w:rPr>
          <w:rFonts w:cs="Arial"/>
          <w:b/>
          <w:bCs/>
          <w:noProof/>
          <w:sz w:val="20"/>
        </w:rPr>
      </w:pPr>
      <w:r>
        <w:rPr>
          <w:noProof/>
          <w:sz w:val="20"/>
        </w:rPr>
        <w:t>(sumy vyjadrené v eurách)</w:t>
      </w:r>
    </w:p>
    <w:p w:rsidR="001268AD" w:rsidRDefault="001268AD">
      <w:pPr>
        <w:spacing w:after="0" w:line="240" w:lineRule="auto"/>
        <w:ind w:left="-284"/>
        <w:rPr>
          <w:rFonts w:cs="Arial"/>
          <w:noProof/>
          <w:sz w:val="20"/>
        </w:rPr>
      </w:pPr>
    </w:p>
    <w:tbl>
      <w:tblPr>
        <w:tblW w:w="8505" w:type="dxa"/>
        <w:tblLayout w:type="fixed"/>
        <w:tblCellMar>
          <w:left w:w="0" w:type="dxa"/>
          <w:right w:w="0" w:type="dxa"/>
        </w:tblCellMar>
        <w:tblLook w:val="04A0" w:firstRow="1" w:lastRow="0" w:firstColumn="1" w:lastColumn="0" w:noHBand="0" w:noVBand="1"/>
      </w:tblPr>
      <w:tblGrid>
        <w:gridCol w:w="4678"/>
        <w:gridCol w:w="1985"/>
        <w:gridCol w:w="1842"/>
      </w:tblGrid>
      <w:tr w:rsidR="001268AD">
        <w:trPr>
          <w:trHeight w:hRule="exact" w:val="283"/>
        </w:trPr>
        <w:tc>
          <w:tcPr>
            <w:tcW w:w="4678" w:type="dxa"/>
            <w:noWrap/>
            <w:vAlign w:val="bottom"/>
            <w:hideMark/>
          </w:tcPr>
          <w:p w:rsidR="001268AD" w:rsidRDefault="00181E4C">
            <w:pPr>
              <w:rPr>
                <w:rFonts w:eastAsia="Arial Unicode MS" w:cs="Arial"/>
                <w:b/>
                <w:noProof/>
                <w:sz w:val="20"/>
                <w:u w:val="single"/>
              </w:rPr>
            </w:pPr>
            <w:r>
              <w:rPr>
                <w:b/>
                <w:noProof/>
                <w:sz w:val="20"/>
                <w:u w:val="single"/>
              </w:rPr>
              <w:t>AKTÍVA</w:t>
            </w:r>
          </w:p>
        </w:tc>
        <w:tc>
          <w:tcPr>
            <w:tcW w:w="1985" w:type="dxa"/>
            <w:noWrap/>
            <w:vAlign w:val="bottom"/>
          </w:tcPr>
          <w:p w:rsidR="001268AD" w:rsidRDefault="001268AD">
            <w:pPr>
              <w:rPr>
                <w:rFonts w:eastAsia="Arial Unicode MS" w:cs="Arial"/>
                <w:noProof/>
                <w:sz w:val="20"/>
              </w:rPr>
            </w:pPr>
          </w:p>
        </w:tc>
        <w:tc>
          <w:tcPr>
            <w:tcW w:w="1842" w:type="dxa"/>
            <w:noWrap/>
            <w:vAlign w:val="bottom"/>
          </w:tcPr>
          <w:p w:rsidR="001268AD" w:rsidRDefault="001268AD">
            <w:pPr>
              <w:rPr>
                <w:rFonts w:eastAsia="Arial Unicode MS" w:cs="Arial"/>
                <w:noProof/>
                <w:sz w:val="20"/>
              </w:rPr>
            </w:pPr>
          </w:p>
        </w:tc>
      </w:tr>
      <w:tr w:rsidR="001268AD">
        <w:trPr>
          <w:trHeight w:hRule="exact" w:val="283"/>
        </w:trPr>
        <w:tc>
          <w:tcPr>
            <w:tcW w:w="4678" w:type="dxa"/>
            <w:tcBorders>
              <w:top w:val="nil"/>
              <w:left w:val="nil"/>
              <w:bottom w:val="single" w:sz="4" w:space="0" w:color="auto"/>
              <w:right w:val="nil"/>
            </w:tcBorders>
            <w:noWrap/>
            <w:vAlign w:val="bottom"/>
          </w:tcPr>
          <w:p w:rsidR="001268AD" w:rsidRDefault="001268AD">
            <w:pPr>
              <w:rPr>
                <w:rFonts w:eastAsia="Arial Unicode MS" w:cs="Arial"/>
                <w:noProof/>
                <w:sz w:val="20"/>
                <w:u w:val="single"/>
              </w:rPr>
            </w:pPr>
          </w:p>
        </w:tc>
        <w:tc>
          <w:tcPr>
            <w:tcW w:w="1985" w:type="dxa"/>
            <w:tcBorders>
              <w:top w:val="nil"/>
              <w:left w:val="nil"/>
              <w:bottom w:val="single" w:sz="4" w:space="0" w:color="auto"/>
              <w:right w:val="nil"/>
            </w:tcBorders>
            <w:noWrap/>
            <w:vAlign w:val="bottom"/>
          </w:tcPr>
          <w:p w:rsidR="001268AD" w:rsidRDefault="001268AD">
            <w:pPr>
              <w:rPr>
                <w:rFonts w:eastAsia="Arial Unicode MS" w:cs="Arial"/>
                <w:noProof/>
                <w:sz w:val="20"/>
              </w:rPr>
            </w:pPr>
          </w:p>
        </w:tc>
        <w:tc>
          <w:tcPr>
            <w:tcW w:w="1842" w:type="dxa"/>
            <w:tcBorders>
              <w:top w:val="nil"/>
              <w:left w:val="nil"/>
              <w:bottom w:val="single" w:sz="4" w:space="0" w:color="auto"/>
              <w:right w:val="nil"/>
            </w:tcBorders>
            <w:noWrap/>
            <w:vAlign w:val="bottom"/>
          </w:tcPr>
          <w:p w:rsidR="001268AD" w:rsidRDefault="001268AD">
            <w:pPr>
              <w:rPr>
                <w:rFonts w:eastAsia="Arial Unicode MS" w:cs="Arial"/>
                <w:noProof/>
                <w:sz w:val="20"/>
              </w:rPr>
            </w:pPr>
          </w:p>
        </w:tc>
      </w:tr>
      <w:tr w:rsidR="001268AD">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8AD" w:rsidRDefault="00181E4C">
            <w:pPr>
              <w:rPr>
                <w:rFonts w:eastAsia="Arial Unicode MS" w:cs="Arial"/>
                <w:noProof/>
                <w:sz w:val="20"/>
              </w:rPr>
            </w:pPr>
            <w:r>
              <w:rPr>
                <w:noProof/>
                <w:sz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8AD" w:rsidRDefault="00181E4C">
            <w:pPr>
              <w:jc w:val="center"/>
              <w:rPr>
                <w:rFonts w:eastAsia="Arial Unicode MS" w:cs="Arial"/>
                <w:b/>
                <w:bCs/>
                <w:noProof/>
                <w:sz w:val="20"/>
              </w:rPr>
            </w:pPr>
            <w:r>
              <w:rPr>
                <w:b/>
                <w:bCs/>
                <w:noProof/>
                <w:sz w:val="20"/>
              </w:rPr>
              <w:t>31. decembra 2019</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8AD" w:rsidRDefault="00181E4C">
            <w:pPr>
              <w:jc w:val="center"/>
              <w:rPr>
                <w:rFonts w:eastAsia="Arial Unicode MS" w:cs="Arial"/>
                <w:b/>
                <w:bCs/>
                <w:noProof/>
                <w:sz w:val="20"/>
              </w:rPr>
            </w:pPr>
            <w:r>
              <w:rPr>
                <w:b/>
                <w:bCs/>
                <w:noProof/>
                <w:sz w:val="20"/>
              </w:rPr>
              <w:t>31. decembra 2018</w:t>
            </w:r>
          </w:p>
        </w:tc>
      </w:tr>
      <w:tr w:rsidR="001268AD">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268AD" w:rsidRDefault="001268AD">
            <w:pPr>
              <w:rPr>
                <w:rFonts w:eastAsia="Times New Roman" w:cs="Arial"/>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8AD" w:rsidRDefault="00181E4C">
            <w:pPr>
              <w:jc w:val="center"/>
              <w:rPr>
                <w:rFonts w:cs="Arial"/>
                <w:b/>
                <w:bCs/>
                <w:noProof/>
                <w:sz w:val="20"/>
              </w:rPr>
            </w:pPr>
            <w:r>
              <w:rPr>
                <w:b/>
                <w:bCs/>
                <w:noProof/>
                <w:sz w:val="20"/>
              </w:rPr>
              <w:t>EUR</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8AD" w:rsidRDefault="00181E4C">
            <w:pPr>
              <w:jc w:val="center"/>
              <w:rPr>
                <w:rFonts w:cs="Arial"/>
                <w:b/>
                <w:bCs/>
                <w:noProof/>
                <w:sz w:val="20"/>
              </w:rPr>
            </w:pPr>
            <w:r>
              <w:rPr>
                <w:b/>
                <w:bCs/>
                <w:noProof/>
                <w:sz w:val="20"/>
              </w:rPr>
              <w:t>EUR</w:t>
            </w:r>
          </w:p>
        </w:tc>
      </w:tr>
      <w:tr w:rsidR="001268AD">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8AD" w:rsidRDefault="00181E4C">
            <w:pPr>
              <w:spacing w:after="0"/>
              <w:rPr>
                <w:rFonts w:cs="Arial"/>
                <w:b/>
                <w:bCs/>
                <w:noProof/>
                <w:sz w:val="20"/>
              </w:rPr>
            </w:pPr>
            <w:r>
              <w:rPr>
                <w:b/>
                <w:bCs/>
                <w:noProof/>
                <w:sz w:val="20"/>
              </w:rPr>
              <w:t>NEOBEŽNÉ AKTÍVA</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8AD" w:rsidRDefault="00181E4C">
            <w:pPr>
              <w:spacing w:after="0"/>
              <w:ind w:right="142"/>
              <w:jc w:val="right"/>
              <w:rPr>
                <w:rFonts w:cs="Arial"/>
                <w:b/>
                <w:noProof/>
                <w:sz w:val="20"/>
              </w:rPr>
            </w:pPr>
            <w:r>
              <w:rPr>
                <w:b/>
                <w:noProof/>
                <w:sz w:val="20"/>
              </w:rPr>
              <w:t>348 061 980</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8AD" w:rsidRDefault="00181E4C">
            <w:pPr>
              <w:spacing w:after="0"/>
              <w:ind w:right="142"/>
              <w:jc w:val="right"/>
              <w:rPr>
                <w:rFonts w:cs="Arial"/>
                <w:b/>
                <w:noProof/>
                <w:sz w:val="20"/>
              </w:rPr>
            </w:pPr>
            <w:r>
              <w:rPr>
                <w:b/>
                <w:noProof/>
                <w:sz w:val="20"/>
              </w:rPr>
              <w:t>3 577 001</w:t>
            </w:r>
          </w:p>
        </w:tc>
      </w:tr>
      <w:tr w:rsidR="001268AD">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268AD" w:rsidRDefault="001268AD">
            <w:pPr>
              <w:spacing w:after="0"/>
              <w:rPr>
                <w:rFonts w:eastAsia="Arial Unicode MS" w:cs="Arial"/>
                <w:b/>
                <w:bCs/>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268AD" w:rsidRDefault="001268AD">
            <w:pPr>
              <w:spacing w:after="0"/>
              <w:ind w:right="142"/>
              <w:jc w:val="right"/>
              <w:rPr>
                <w:rFonts w:cs="Arial"/>
                <w:b/>
                <w:noProof/>
                <w:sz w:val="20"/>
                <w:lang w:eastAsia="ko-KR"/>
              </w:rPr>
            </w:pP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268AD" w:rsidRDefault="001268AD">
            <w:pPr>
              <w:spacing w:after="0"/>
              <w:ind w:right="142"/>
              <w:jc w:val="right"/>
              <w:rPr>
                <w:rFonts w:cs="Arial"/>
                <w:b/>
                <w:noProof/>
                <w:sz w:val="20"/>
                <w:lang w:eastAsia="ko-KR"/>
              </w:rPr>
            </w:pPr>
          </w:p>
        </w:tc>
      </w:tr>
      <w:tr w:rsidR="001268AD">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8AD" w:rsidRDefault="00181E4C">
            <w:pPr>
              <w:spacing w:after="0"/>
              <w:rPr>
                <w:rFonts w:cs="Arial"/>
                <w:bCs/>
                <w:noProof/>
                <w:sz w:val="20"/>
              </w:rPr>
            </w:pPr>
            <w:r>
              <w:rPr>
                <w:bCs/>
                <w:noProof/>
                <w:sz w:val="20"/>
              </w:rPr>
              <w:t>Finančné aktíva k dispozícii na predaj</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8AD" w:rsidRDefault="00181E4C">
            <w:pPr>
              <w:spacing w:after="0"/>
              <w:ind w:right="142"/>
              <w:jc w:val="right"/>
              <w:rPr>
                <w:rFonts w:cs="Arial"/>
                <w:noProof/>
                <w:sz w:val="20"/>
              </w:rPr>
            </w:pPr>
            <w:r>
              <w:rPr>
                <w:noProof/>
                <w:sz w:val="20"/>
              </w:rPr>
              <w:t>348 061 980</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8AD" w:rsidRDefault="00181E4C">
            <w:pPr>
              <w:spacing w:after="0"/>
              <w:ind w:right="142"/>
              <w:jc w:val="right"/>
              <w:rPr>
                <w:rFonts w:cs="Arial"/>
                <w:noProof/>
                <w:sz w:val="20"/>
              </w:rPr>
            </w:pPr>
            <w:r>
              <w:rPr>
                <w:noProof/>
                <w:sz w:val="20"/>
              </w:rPr>
              <w:t>3 577 001</w:t>
            </w:r>
          </w:p>
        </w:tc>
      </w:tr>
      <w:tr w:rsidR="001268AD">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268AD" w:rsidRDefault="001268AD">
            <w:pPr>
              <w:spacing w:after="0"/>
              <w:rPr>
                <w:rFonts w:cs="Arial"/>
                <w:b/>
                <w:bCs/>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268AD" w:rsidRDefault="001268AD">
            <w:pPr>
              <w:spacing w:after="0"/>
              <w:ind w:right="142"/>
              <w:jc w:val="right"/>
              <w:rPr>
                <w:rFonts w:cs="Arial"/>
                <w:b/>
                <w:noProof/>
                <w:sz w:val="20"/>
                <w:lang w:eastAsia="ko-KR"/>
              </w:rPr>
            </w:pP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268AD" w:rsidRDefault="001268AD">
            <w:pPr>
              <w:spacing w:after="0"/>
              <w:ind w:right="142"/>
              <w:jc w:val="right"/>
              <w:rPr>
                <w:rFonts w:cs="Arial"/>
                <w:b/>
                <w:noProof/>
                <w:sz w:val="20"/>
                <w:lang w:eastAsia="ko-KR"/>
              </w:rPr>
            </w:pPr>
          </w:p>
        </w:tc>
      </w:tr>
      <w:tr w:rsidR="001268AD">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8AD" w:rsidRDefault="00181E4C">
            <w:pPr>
              <w:spacing w:after="0"/>
              <w:rPr>
                <w:rFonts w:eastAsia="Arial Unicode MS" w:cs="Arial"/>
                <w:b/>
                <w:bCs/>
                <w:noProof/>
                <w:sz w:val="20"/>
              </w:rPr>
            </w:pPr>
            <w:r>
              <w:rPr>
                <w:b/>
                <w:bCs/>
                <w:noProof/>
                <w:sz w:val="20"/>
              </w:rPr>
              <w:t>OBEŽNÉ AKTÍVA</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8AD" w:rsidRDefault="00181E4C">
            <w:pPr>
              <w:spacing w:after="0"/>
              <w:ind w:right="142"/>
              <w:jc w:val="right"/>
              <w:rPr>
                <w:rFonts w:eastAsia="Times New Roman" w:cs="Arial"/>
                <w:b/>
                <w:noProof/>
                <w:sz w:val="20"/>
              </w:rPr>
            </w:pPr>
            <w:r>
              <w:rPr>
                <w:b/>
                <w:noProof/>
                <w:sz w:val="20"/>
              </w:rPr>
              <w:t>251 527 281</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8AD" w:rsidRDefault="00181E4C">
            <w:pPr>
              <w:spacing w:after="0"/>
              <w:ind w:right="142"/>
              <w:jc w:val="right"/>
              <w:rPr>
                <w:rFonts w:cs="Arial"/>
                <w:b/>
                <w:noProof/>
                <w:sz w:val="20"/>
              </w:rPr>
            </w:pPr>
            <w:r>
              <w:rPr>
                <w:b/>
                <w:noProof/>
                <w:sz w:val="20"/>
              </w:rPr>
              <w:t>271 469 460</w:t>
            </w:r>
          </w:p>
        </w:tc>
      </w:tr>
      <w:tr w:rsidR="001268AD">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268AD" w:rsidRDefault="001268AD">
            <w:pPr>
              <w:spacing w:after="0"/>
              <w:rPr>
                <w:rFonts w:eastAsia="Arial Unicode MS" w:cs="Arial"/>
                <w:b/>
                <w:bCs/>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268AD" w:rsidRDefault="001268AD">
            <w:pPr>
              <w:spacing w:after="0" w:line="240" w:lineRule="auto"/>
              <w:jc w:val="right"/>
              <w:rPr>
                <w:rFonts w:cs="Arial"/>
                <w:b/>
                <w:noProof/>
                <w:sz w:val="20"/>
                <w:lang w:eastAsia="ko-KR"/>
              </w:rPr>
            </w:pP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268AD" w:rsidRDefault="001268AD">
            <w:pPr>
              <w:spacing w:after="0" w:line="240" w:lineRule="auto"/>
              <w:jc w:val="right"/>
              <w:rPr>
                <w:rFonts w:cs="Arial"/>
                <w:b/>
                <w:noProof/>
                <w:sz w:val="20"/>
                <w:lang w:eastAsia="ko-KR"/>
              </w:rPr>
            </w:pPr>
          </w:p>
        </w:tc>
      </w:tr>
      <w:tr w:rsidR="001268AD">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8AD" w:rsidRDefault="00181E4C">
            <w:pPr>
              <w:spacing w:after="0"/>
              <w:rPr>
                <w:rFonts w:eastAsia="Arial Unicode MS" w:cs="Arial"/>
                <w:bCs/>
                <w:noProof/>
                <w:sz w:val="20"/>
              </w:rPr>
            </w:pPr>
            <w:r>
              <w:rPr>
                <w:bCs/>
                <w:noProof/>
                <w:sz w:val="20"/>
              </w:rPr>
              <w:t>Finančné aktíva k dispozícii na predaj</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8AD" w:rsidRDefault="00181E4C">
            <w:pPr>
              <w:spacing w:after="0"/>
              <w:ind w:right="142"/>
              <w:jc w:val="right"/>
              <w:rPr>
                <w:rFonts w:eastAsia="Arial Unicode MS" w:cs="Arial"/>
                <w:noProof/>
                <w:sz w:val="20"/>
              </w:rPr>
            </w:pPr>
            <w:r>
              <w:rPr>
                <w:noProof/>
                <w:sz w:val="20"/>
              </w:rPr>
              <w:t>246 643 539</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8AD" w:rsidRDefault="00181E4C">
            <w:pPr>
              <w:spacing w:after="0"/>
              <w:ind w:right="142"/>
              <w:jc w:val="right"/>
              <w:rPr>
                <w:rFonts w:eastAsia="Arial Unicode MS" w:cs="Arial"/>
                <w:noProof/>
                <w:sz w:val="20"/>
              </w:rPr>
            </w:pPr>
            <w:r>
              <w:rPr>
                <w:noProof/>
                <w:sz w:val="20"/>
              </w:rPr>
              <w:t>5 795 882</w:t>
            </w:r>
          </w:p>
        </w:tc>
      </w:tr>
      <w:tr w:rsidR="001268AD">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vAlign w:val="bottom"/>
          </w:tcPr>
          <w:p w:rsidR="001268AD" w:rsidRDefault="001268AD">
            <w:pPr>
              <w:spacing w:after="0"/>
              <w:rPr>
                <w:rFonts w:eastAsia="Times New Roman" w:cs="Arial"/>
                <w:bCs/>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268AD" w:rsidRDefault="001268AD">
            <w:pPr>
              <w:spacing w:after="0"/>
              <w:ind w:right="142"/>
              <w:jc w:val="right"/>
              <w:rPr>
                <w:rFonts w:eastAsia="Times New Roman" w:cs="Arial"/>
                <w:noProof/>
                <w:sz w:val="20"/>
                <w:highlight w:val="yellow"/>
                <w:lang w:eastAsia="ko-KR"/>
              </w:rPr>
            </w:pP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268AD" w:rsidRDefault="001268AD">
            <w:pPr>
              <w:spacing w:after="0"/>
              <w:ind w:right="142"/>
              <w:jc w:val="right"/>
              <w:rPr>
                <w:rFonts w:cs="Arial"/>
                <w:noProof/>
                <w:sz w:val="20"/>
                <w:highlight w:val="yellow"/>
                <w:lang w:eastAsia="ko-KR"/>
              </w:rPr>
            </w:pPr>
          </w:p>
        </w:tc>
      </w:tr>
      <w:tr w:rsidR="001268AD">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268AD" w:rsidRDefault="00181E4C">
            <w:pPr>
              <w:spacing w:after="0"/>
              <w:rPr>
                <w:rFonts w:cs="Arial"/>
                <w:bCs/>
                <w:noProof/>
                <w:sz w:val="20"/>
              </w:rPr>
            </w:pPr>
            <w:r>
              <w:rPr>
                <w:bCs/>
                <w:noProof/>
                <w:sz w:val="20"/>
              </w:rPr>
              <w:t>Pohľadávky (t. j. poplatky za požičanie cenných papierov)</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8AD" w:rsidRDefault="00181E4C">
            <w:pPr>
              <w:spacing w:after="0"/>
              <w:ind w:right="142"/>
              <w:jc w:val="right"/>
              <w:rPr>
                <w:rFonts w:eastAsia="Arial Unicode MS" w:cs="Arial"/>
                <w:noProof/>
                <w:sz w:val="20"/>
              </w:rPr>
            </w:pPr>
            <w:r>
              <w:rPr>
                <w:noProof/>
                <w:sz w:val="20"/>
              </w:rPr>
              <w:t>1 595</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8AD" w:rsidRDefault="00181E4C">
            <w:pPr>
              <w:spacing w:after="0"/>
              <w:ind w:right="142"/>
              <w:jc w:val="right"/>
              <w:rPr>
                <w:rFonts w:eastAsia="Arial Unicode MS" w:cs="Arial"/>
                <w:noProof/>
                <w:sz w:val="20"/>
              </w:rPr>
            </w:pPr>
            <w:r>
              <w:rPr>
                <w:noProof/>
                <w:sz w:val="20"/>
              </w:rPr>
              <w:t>‒</w:t>
            </w:r>
          </w:p>
        </w:tc>
      </w:tr>
      <w:tr w:rsidR="001268AD">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vAlign w:val="bottom"/>
          </w:tcPr>
          <w:p w:rsidR="001268AD" w:rsidRDefault="001268AD">
            <w:pPr>
              <w:spacing w:after="0"/>
              <w:rPr>
                <w:rFonts w:eastAsia="Times New Roman" w:cs="Arial"/>
                <w:bCs/>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268AD" w:rsidRDefault="001268AD">
            <w:pPr>
              <w:spacing w:after="0"/>
              <w:ind w:right="142"/>
              <w:jc w:val="right"/>
              <w:rPr>
                <w:rFonts w:eastAsia="Times New Roman" w:cs="Arial"/>
                <w:noProof/>
                <w:sz w:val="20"/>
                <w:highlight w:val="yellow"/>
                <w:lang w:eastAsia="ko-KR"/>
              </w:rPr>
            </w:pP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268AD" w:rsidRDefault="001268AD">
            <w:pPr>
              <w:spacing w:after="0"/>
              <w:ind w:right="142"/>
              <w:jc w:val="right"/>
              <w:rPr>
                <w:rFonts w:cs="Arial"/>
                <w:noProof/>
                <w:sz w:val="20"/>
                <w:highlight w:val="yellow"/>
                <w:lang w:eastAsia="ko-KR"/>
              </w:rPr>
            </w:pPr>
          </w:p>
        </w:tc>
      </w:tr>
      <w:tr w:rsidR="001268AD">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vAlign w:val="bottom"/>
          </w:tcPr>
          <w:p w:rsidR="001268AD" w:rsidRDefault="001268AD">
            <w:pPr>
              <w:spacing w:after="0"/>
              <w:rPr>
                <w:rFonts w:eastAsia="Arial Unicode MS" w:cs="Arial"/>
                <w:bCs/>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268AD" w:rsidRDefault="001268AD">
            <w:pPr>
              <w:spacing w:after="0"/>
              <w:ind w:right="142"/>
              <w:jc w:val="right"/>
              <w:rPr>
                <w:rFonts w:eastAsia="Arial Unicode MS" w:cs="Arial"/>
                <w:noProof/>
                <w:sz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268AD" w:rsidRDefault="001268AD">
            <w:pPr>
              <w:spacing w:after="0"/>
              <w:ind w:right="142"/>
              <w:jc w:val="right"/>
              <w:rPr>
                <w:rFonts w:eastAsia="Arial Unicode MS" w:cs="Arial"/>
                <w:noProof/>
                <w:sz w:val="20"/>
              </w:rPr>
            </w:pPr>
          </w:p>
        </w:tc>
      </w:tr>
      <w:tr w:rsidR="001268AD">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268AD" w:rsidRDefault="00181E4C">
            <w:pPr>
              <w:spacing w:after="0"/>
              <w:rPr>
                <w:rFonts w:eastAsia="Arial Unicode MS" w:cs="Arial"/>
                <w:b/>
                <w:bCs/>
                <w:noProof/>
                <w:sz w:val="20"/>
              </w:rPr>
            </w:pPr>
            <w:r>
              <w:rPr>
                <w:b/>
                <w:bCs/>
                <w:noProof/>
                <w:sz w:val="20"/>
              </w:rPr>
              <w:t>Peňažné prostriedky a peňažné ekvivalenty</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8AD" w:rsidRDefault="00181E4C">
            <w:pPr>
              <w:spacing w:after="0"/>
              <w:ind w:right="142"/>
              <w:jc w:val="right"/>
              <w:rPr>
                <w:rFonts w:eastAsia="Arial Unicode MS" w:cs="Arial"/>
                <w:noProof/>
                <w:sz w:val="20"/>
              </w:rPr>
            </w:pPr>
            <w:r>
              <w:rPr>
                <w:noProof/>
                <w:sz w:val="20"/>
              </w:rPr>
              <w:t>4 882 147</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8AD" w:rsidRDefault="00181E4C">
            <w:pPr>
              <w:spacing w:after="0"/>
              <w:ind w:right="142"/>
              <w:jc w:val="right"/>
              <w:rPr>
                <w:rFonts w:eastAsia="Arial Unicode MS" w:cs="Arial"/>
                <w:noProof/>
                <w:sz w:val="20"/>
              </w:rPr>
            </w:pPr>
            <w:r>
              <w:rPr>
                <w:noProof/>
                <w:sz w:val="20"/>
              </w:rPr>
              <w:t>265 673 578</w:t>
            </w:r>
          </w:p>
        </w:tc>
      </w:tr>
      <w:tr w:rsidR="001268AD">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268AD" w:rsidRDefault="00181E4C">
            <w:pPr>
              <w:spacing w:after="0"/>
              <w:ind w:firstLine="142"/>
              <w:rPr>
                <w:rFonts w:eastAsia="Arial Unicode MS" w:cs="Arial"/>
                <w:bCs/>
                <w:i/>
                <w:noProof/>
                <w:sz w:val="20"/>
              </w:rPr>
            </w:pPr>
            <w:r>
              <w:rPr>
                <w:bCs/>
                <w:i/>
                <w:noProof/>
                <w:sz w:val="20"/>
              </w:rPr>
              <w:t>Bežné účty</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8AD" w:rsidRDefault="00181E4C">
            <w:pPr>
              <w:spacing w:after="0"/>
              <w:ind w:right="142"/>
              <w:jc w:val="right"/>
              <w:rPr>
                <w:rFonts w:eastAsia="Arial Unicode MS" w:cs="Arial"/>
                <w:i/>
                <w:noProof/>
                <w:sz w:val="20"/>
              </w:rPr>
            </w:pPr>
            <w:r>
              <w:rPr>
                <w:i/>
                <w:noProof/>
                <w:sz w:val="20"/>
              </w:rPr>
              <w:t>4 885 215</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8AD" w:rsidRDefault="00181E4C">
            <w:pPr>
              <w:spacing w:after="0"/>
              <w:ind w:right="142"/>
              <w:jc w:val="right"/>
              <w:rPr>
                <w:rFonts w:eastAsia="Arial Unicode MS" w:cs="Arial"/>
                <w:i/>
                <w:noProof/>
                <w:sz w:val="20"/>
              </w:rPr>
            </w:pPr>
            <w:r>
              <w:rPr>
                <w:i/>
                <w:noProof/>
                <w:sz w:val="20"/>
              </w:rPr>
              <w:t>265 721 781</w:t>
            </w:r>
          </w:p>
        </w:tc>
      </w:tr>
      <w:tr w:rsidR="001268AD">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268AD" w:rsidRDefault="00181E4C">
            <w:pPr>
              <w:spacing w:after="0"/>
              <w:ind w:firstLine="142"/>
              <w:rPr>
                <w:rFonts w:eastAsia="Times New Roman" w:cs="Arial"/>
                <w:bCs/>
                <w:i/>
                <w:noProof/>
                <w:sz w:val="20"/>
              </w:rPr>
            </w:pPr>
            <w:r>
              <w:rPr>
                <w:bCs/>
                <w:i/>
                <w:noProof/>
                <w:sz w:val="20"/>
              </w:rPr>
              <w:t>Vzniknutý úrok z peňažných prostriedkov a peňažných ekvivalentov</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8AD" w:rsidRDefault="00181E4C">
            <w:pPr>
              <w:spacing w:after="0"/>
              <w:ind w:right="142"/>
              <w:jc w:val="right"/>
              <w:rPr>
                <w:rFonts w:eastAsia="Arial Unicode MS" w:cs="Arial"/>
                <w:i/>
                <w:noProof/>
                <w:sz w:val="20"/>
              </w:rPr>
            </w:pPr>
            <w:r>
              <w:rPr>
                <w:i/>
                <w:noProof/>
                <w:sz w:val="20"/>
              </w:rPr>
              <w:t>(3 068)</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8AD" w:rsidRDefault="00181E4C">
            <w:pPr>
              <w:spacing w:after="0"/>
              <w:ind w:right="142"/>
              <w:jc w:val="right"/>
              <w:rPr>
                <w:rFonts w:eastAsia="Arial Unicode MS" w:cs="Arial"/>
                <w:i/>
                <w:noProof/>
                <w:sz w:val="20"/>
              </w:rPr>
            </w:pPr>
            <w:r>
              <w:rPr>
                <w:i/>
                <w:noProof/>
                <w:sz w:val="20"/>
              </w:rPr>
              <w:t>(48 203)</w:t>
            </w:r>
          </w:p>
        </w:tc>
      </w:tr>
      <w:tr w:rsidR="001268AD">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268AD" w:rsidRDefault="001268AD">
            <w:pPr>
              <w:spacing w:after="0"/>
              <w:rPr>
                <w:rFonts w:eastAsia="Arial Unicode MS" w:cs="Arial"/>
                <w:b/>
                <w:bCs/>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268AD" w:rsidRDefault="001268AD">
            <w:pPr>
              <w:spacing w:after="0"/>
              <w:ind w:right="142"/>
              <w:jc w:val="right"/>
              <w:rPr>
                <w:rFonts w:eastAsia="Arial Unicode MS" w:cs="Arial"/>
                <w:noProof/>
                <w:sz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268AD" w:rsidRDefault="001268AD">
            <w:pPr>
              <w:spacing w:after="0"/>
              <w:ind w:right="142"/>
              <w:jc w:val="right"/>
              <w:rPr>
                <w:rFonts w:eastAsia="Arial Unicode MS" w:cs="Arial"/>
                <w:noProof/>
                <w:sz w:val="20"/>
              </w:rPr>
            </w:pPr>
          </w:p>
        </w:tc>
      </w:tr>
      <w:tr w:rsidR="001268AD">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8AD" w:rsidRDefault="00181E4C">
            <w:pPr>
              <w:spacing w:after="0"/>
              <w:rPr>
                <w:rFonts w:eastAsia="Arial Unicode MS" w:cs="Arial"/>
                <w:b/>
                <w:bCs/>
                <w:noProof/>
                <w:sz w:val="20"/>
              </w:rPr>
            </w:pPr>
            <w:r>
              <w:rPr>
                <w:b/>
                <w:bCs/>
                <w:noProof/>
                <w:sz w:val="20"/>
              </w:rPr>
              <w:t xml:space="preserve">CELKOVÉ AKTÍVA </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8AD" w:rsidRDefault="00181E4C">
            <w:pPr>
              <w:spacing w:after="0"/>
              <w:ind w:right="142"/>
              <w:jc w:val="right"/>
              <w:rPr>
                <w:rFonts w:eastAsia="Arial Unicode MS" w:cs="Arial"/>
                <w:b/>
                <w:bCs/>
                <w:noProof/>
                <w:sz w:val="20"/>
              </w:rPr>
            </w:pPr>
            <w:r>
              <w:rPr>
                <w:b/>
                <w:bCs/>
                <w:noProof/>
                <w:sz w:val="20"/>
              </w:rPr>
              <w:t>599 589 261</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8AD" w:rsidRDefault="00181E4C">
            <w:pPr>
              <w:spacing w:after="0"/>
              <w:ind w:right="142"/>
              <w:jc w:val="right"/>
              <w:rPr>
                <w:rFonts w:eastAsia="Arial Unicode MS" w:cs="Arial"/>
                <w:b/>
                <w:bCs/>
                <w:noProof/>
                <w:sz w:val="20"/>
              </w:rPr>
            </w:pPr>
            <w:r>
              <w:rPr>
                <w:b/>
                <w:bCs/>
                <w:noProof/>
                <w:sz w:val="20"/>
              </w:rPr>
              <w:t>275 046 461</w:t>
            </w:r>
          </w:p>
        </w:tc>
      </w:tr>
      <w:tr w:rsidR="001268AD">
        <w:trPr>
          <w:trHeight w:hRule="exact" w:val="283"/>
        </w:trPr>
        <w:tc>
          <w:tcPr>
            <w:tcW w:w="4678" w:type="dxa"/>
            <w:tcBorders>
              <w:top w:val="single" w:sz="4" w:space="0" w:color="auto"/>
              <w:left w:val="nil"/>
              <w:bottom w:val="nil"/>
              <w:right w:val="nil"/>
            </w:tcBorders>
            <w:noWrap/>
            <w:vAlign w:val="bottom"/>
          </w:tcPr>
          <w:p w:rsidR="001268AD" w:rsidRDefault="001268AD">
            <w:pPr>
              <w:spacing w:after="0"/>
              <w:rPr>
                <w:rFonts w:eastAsia="Arial Unicode MS" w:cs="Arial"/>
                <w:noProof/>
                <w:sz w:val="20"/>
                <w:u w:val="single"/>
              </w:rPr>
            </w:pPr>
          </w:p>
        </w:tc>
        <w:tc>
          <w:tcPr>
            <w:tcW w:w="1985" w:type="dxa"/>
            <w:tcBorders>
              <w:top w:val="single" w:sz="4" w:space="0" w:color="auto"/>
              <w:left w:val="nil"/>
              <w:bottom w:val="nil"/>
              <w:right w:val="nil"/>
            </w:tcBorders>
            <w:noWrap/>
            <w:vAlign w:val="bottom"/>
          </w:tcPr>
          <w:p w:rsidR="001268AD" w:rsidRDefault="001268AD">
            <w:pPr>
              <w:spacing w:after="0"/>
              <w:rPr>
                <w:rFonts w:eastAsia="Arial Unicode MS" w:cs="Arial"/>
                <w:noProof/>
                <w:sz w:val="20"/>
              </w:rPr>
            </w:pPr>
          </w:p>
        </w:tc>
        <w:tc>
          <w:tcPr>
            <w:tcW w:w="1842" w:type="dxa"/>
            <w:tcBorders>
              <w:top w:val="single" w:sz="4" w:space="0" w:color="auto"/>
              <w:left w:val="nil"/>
              <w:bottom w:val="nil"/>
              <w:right w:val="nil"/>
            </w:tcBorders>
            <w:noWrap/>
            <w:vAlign w:val="bottom"/>
          </w:tcPr>
          <w:p w:rsidR="001268AD" w:rsidRDefault="001268AD">
            <w:pPr>
              <w:spacing w:after="0"/>
              <w:rPr>
                <w:rFonts w:eastAsia="Arial Unicode MS" w:cs="Arial"/>
                <w:noProof/>
                <w:sz w:val="20"/>
              </w:rPr>
            </w:pPr>
          </w:p>
        </w:tc>
      </w:tr>
      <w:tr w:rsidR="001268AD">
        <w:trPr>
          <w:trHeight w:hRule="exact" w:val="283"/>
        </w:trPr>
        <w:tc>
          <w:tcPr>
            <w:tcW w:w="4678" w:type="dxa"/>
            <w:noWrap/>
            <w:vAlign w:val="bottom"/>
          </w:tcPr>
          <w:p w:rsidR="001268AD" w:rsidRDefault="001268AD">
            <w:pPr>
              <w:spacing w:after="0" w:line="240" w:lineRule="auto"/>
              <w:rPr>
                <w:rFonts w:eastAsia="Arial Unicode MS" w:cs="Arial"/>
                <w:noProof/>
                <w:sz w:val="20"/>
                <w:u w:val="single"/>
              </w:rPr>
            </w:pPr>
          </w:p>
        </w:tc>
        <w:tc>
          <w:tcPr>
            <w:tcW w:w="1985" w:type="dxa"/>
            <w:noWrap/>
            <w:vAlign w:val="bottom"/>
          </w:tcPr>
          <w:p w:rsidR="001268AD" w:rsidRDefault="001268AD">
            <w:pPr>
              <w:spacing w:after="0" w:line="240" w:lineRule="auto"/>
              <w:rPr>
                <w:rFonts w:eastAsia="Arial Unicode MS" w:cs="Arial"/>
                <w:noProof/>
                <w:sz w:val="20"/>
              </w:rPr>
            </w:pPr>
          </w:p>
        </w:tc>
        <w:tc>
          <w:tcPr>
            <w:tcW w:w="1842" w:type="dxa"/>
            <w:noWrap/>
            <w:vAlign w:val="bottom"/>
          </w:tcPr>
          <w:p w:rsidR="001268AD" w:rsidRDefault="001268AD">
            <w:pPr>
              <w:spacing w:after="0" w:line="240" w:lineRule="auto"/>
              <w:rPr>
                <w:rFonts w:eastAsia="Arial Unicode MS" w:cs="Arial"/>
                <w:noProof/>
                <w:sz w:val="20"/>
              </w:rPr>
            </w:pPr>
          </w:p>
        </w:tc>
      </w:tr>
      <w:tr w:rsidR="001268AD">
        <w:trPr>
          <w:trHeight w:hRule="exact" w:val="283"/>
        </w:trPr>
        <w:tc>
          <w:tcPr>
            <w:tcW w:w="4678" w:type="dxa"/>
            <w:noWrap/>
            <w:vAlign w:val="bottom"/>
            <w:hideMark/>
          </w:tcPr>
          <w:p w:rsidR="001268AD" w:rsidRDefault="00181E4C">
            <w:pPr>
              <w:spacing w:after="0"/>
              <w:rPr>
                <w:rFonts w:eastAsia="Arial Unicode MS" w:cs="Arial"/>
                <w:b/>
                <w:noProof/>
                <w:sz w:val="20"/>
                <w:u w:val="single"/>
              </w:rPr>
            </w:pPr>
            <w:r>
              <w:rPr>
                <w:b/>
                <w:noProof/>
                <w:sz w:val="20"/>
                <w:u w:val="single"/>
              </w:rPr>
              <w:t>ČISTÉ AKTÍVA A ZÁVÄZKY</w:t>
            </w:r>
          </w:p>
        </w:tc>
        <w:tc>
          <w:tcPr>
            <w:tcW w:w="1985" w:type="dxa"/>
            <w:noWrap/>
            <w:vAlign w:val="bottom"/>
          </w:tcPr>
          <w:p w:rsidR="001268AD" w:rsidRDefault="001268AD">
            <w:pPr>
              <w:spacing w:after="0"/>
              <w:rPr>
                <w:rFonts w:eastAsia="Arial Unicode MS" w:cs="Arial"/>
                <w:noProof/>
                <w:sz w:val="20"/>
              </w:rPr>
            </w:pPr>
          </w:p>
        </w:tc>
        <w:tc>
          <w:tcPr>
            <w:tcW w:w="1842" w:type="dxa"/>
            <w:noWrap/>
            <w:vAlign w:val="bottom"/>
          </w:tcPr>
          <w:p w:rsidR="001268AD" w:rsidRDefault="001268AD">
            <w:pPr>
              <w:spacing w:after="0"/>
              <w:rPr>
                <w:rFonts w:eastAsia="Arial Unicode MS" w:cs="Arial"/>
                <w:noProof/>
                <w:sz w:val="20"/>
              </w:rPr>
            </w:pPr>
          </w:p>
        </w:tc>
      </w:tr>
      <w:tr w:rsidR="001268AD">
        <w:trPr>
          <w:trHeight w:hRule="exact" w:val="283"/>
        </w:trPr>
        <w:tc>
          <w:tcPr>
            <w:tcW w:w="4678" w:type="dxa"/>
            <w:tcBorders>
              <w:top w:val="nil"/>
              <w:left w:val="nil"/>
              <w:bottom w:val="single" w:sz="4" w:space="0" w:color="auto"/>
              <w:right w:val="nil"/>
            </w:tcBorders>
            <w:noWrap/>
            <w:vAlign w:val="bottom"/>
          </w:tcPr>
          <w:p w:rsidR="001268AD" w:rsidRDefault="001268AD">
            <w:pPr>
              <w:spacing w:after="0"/>
              <w:rPr>
                <w:rFonts w:eastAsia="Arial Unicode MS" w:cs="Arial"/>
                <w:noProof/>
                <w:sz w:val="20"/>
                <w:u w:val="single"/>
              </w:rPr>
            </w:pPr>
          </w:p>
        </w:tc>
        <w:tc>
          <w:tcPr>
            <w:tcW w:w="1985" w:type="dxa"/>
            <w:tcBorders>
              <w:top w:val="nil"/>
              <w:left w:val="nil"/>
              <w:bottom w:val="single" w:sz="4" w:space="0" w:color="auto"/>
              <w:right w:val="nil"/>
            </w:tcBorders>
            <w:noWrap/>
            <w:vAlign w:val="bottom"/>
          </w:tcPr>
          <w:p w:rsidR="001268AD" w:rsidRDefault="001268AD">
            <w:pPr>
              <w:spacing w:after="0"/>
              <w:rPr>
                <w:rFonts w:eastAsia="Arial Unicode MS" w:cs="Arial"/>
                <w:noProof/>
                <w:sz w:val="20"/>
              </w:rPr>
            </w:pPr>
          </w:p>
        </w:tc>
        <w:tc>
          <w:tcPr>
            <w:tcW w:w="1842" w:type="dxa"/>
            <w:tcBorders>
              <w:top w:val="nil"/>
              <w:left w:val="nil"/>
              <w:bottom w:val="single" w:sz="4" w:space="0" w:color="auto"/>
              <w:right w:val="nil"/>
            </w:tcBorders>
            <w:noWrap/>
            <w:vAlign w:val="bottom"/>
          </w:tcPr>
          <w:p w:rsidR="001268AD" w:rsidRDefault="001268AD">
            <w:pPr>
              <w:spacing w:after="0"/>
              <w:rPr>
                <w:rFonts w:eastAsia="Arial Unicode MS" w:cs="Arial"/>
                <w:noProof/>
                <w:sz w:val="20"/>
              </w:rPr>
            </w:pPr>
          </w:p>
        </w:tc>
      </w:tr>
      <w:tr w:rsidR="001268AD">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8AD" w:rsidRDefault="00181E4C">
            <w:pPr>
              <w:spacing w:after="0"/>
              <w:rPr>
                <w:rFonts w:eastAsia="Arial Unicode MS" w:cs="Arial"/>
                <w:noProof/>
                <w:sz w:val="20"/>
              </w:rPr>
            </w:pPr>
            <w:r>
              <w:rPr>
                <w:noProof/>
                <w:sz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8AD" w:rsidRDefault="00181E4C">
            <w:pPr>
              <w:spacing w:after="0"/>
              <w:jc w:val="center"/>
              <w:rPr>
                <w:rFonts w:eastAsia="Arial Unicode MS" w:cs="Arial"/>
                <w:b/>
                <w:bCs/>
                <w:noProof/>
                <w:sz w:val="20"/>
              </w:rPr>
            </w:pPr>
            <w:r>
              <w:rPr>
                <w:b/>
                <w:bCs/>
                <w:noProof/>
                <w:sz w:val="20"/>
              </w:rPr>
              <w:t>31. decembra 2019</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8AD" w:rsidRDefault="00181E4C">
            <w:pPr>
              <w:spacing w:after="0"/>
              <w:jc w:val="center"/>
              <w:rPr>
                <w:rFonts w:eastAsia="Arial Unicode MS" w:cs="Arial"/>
                <w:b/>
                <w:bCs/>
                <w:noProof/>
                <w:sz w:val="20"/>
              </w:rPr>
            </w:pPr>
            <w:r>
              <w:rPr>
                <w:b/>
                <w:bCs/>
                <w:noProof/>
                <w:sz w:val="20"/>
              </w:rPr>
              <w:t>31. decembra 2018</w:t>
            </w:r>
          </w:p>
        </w:tc>
      </w:tr>
      <w:tr w:rsidR="001268AD">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268AD" w:rsidRDefault="001268AD">
            <w:pPr>
              <w:spacing w:after="0"/>
              <w:rPr>
                <w:rFonts w:eastAsia="Times New Roman" w:cs="Arial"/>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8AD" w:rsidRDefault="00181E4C">
            <w:pPr>
              <w:spacing w:after="0"/>
              <w:jc w:val="center"/>
              <w:rPr>
                <w:rFonts w:cs="Arial"/>
                <w:b/>
                <w:bCs/>
                <w:noProof/>
                <w:sz w:val="20"/>
              </w:rPr>
            </w:pPr>
            <w:r>
              <w:rPr>
                <w:b/>
                <w:bCs/>
                <w:noProof/>
                <w:sz w:val="20"/>
              </w:rPr>
              <w:t>EUR</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8AD" w:rsidRDefault="00181E4C">
            <w:pPr>
              <w:spacing w:after="0"/>
              <w:jc w:val="center"/>
              <w:rPr>
                <w:rFonts w:cs="Arial"/>
                <w:b/>
                <w:bCs/>
                <w:noProof/>
                <w:sz w:val="20"/>
              </w:rPr>
            </w:pPr>
            <w:r>
              <w:rPr>
                <w:b/>
                <w:bCs/>
                <w:noProof/>
                <w:sz w:val="20"/>
              </w:rPr>
              <w:t>EUR</w:t>
            </w:r>
          </w:p>
        </w:tc>
      </w:tr>
      <w:tr w:rsidR="001268AD">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8AD" w:rsidRDefault="00181E4C">
            <w:pPr>
              <w:spacing w:after="0"/>
              <w:rPr>
                <w:rFonts w:eastAsia="Arial Unicode MS" w:cs="Arial"/>
                <w:b/>
                <w:bCs/>
                <w:noProof/>
                <w:sz w:val="20"/>
              </w:rPr>
            </w:pPr>
            <w:r>
              <w:rPr>
                <w:b/>
                <w:bCs/>
                <w:noProof/>
                <w:sz w:val="20"/>
              </w:rPr>
              <w:t>ČISTÉ AKTÍVA</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8AD" w:rsidRDefault="00181E4C">
            <w:pPr>
              <w:spacing w:after="0"/>
              <w:ind w:right="142"/>
              <w:jc w:val="right"/>
              <w:rPr>
                <w:rFonts w:eastAsia="Times New Roman" w:cs="Arial"/>
                <w:b/>
                <w:bCs/>
                <w:noProof/>
                <w:sz w:val="20"/>
              </w:rPr>
            </w:pPr>
            <w:r>
              <w:rPr>
                <w:b/>
                <w:bCs/>
                <w:noProof/>
                <w:sz w:val="20"/>
              </w:rPr>
              <w:t>599 567 587</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8AD" w:rsidRDefault="00181E4C">
            <w:pPr>
              <w:spacing w:after="0"/>
              <w:ind w:right="142"/>
              <w:jc w:val="right"/>
              <w:rPr>
                <w:rFonts w:cs="Arial"/>
                <w:b/>
                <w:bCs/>
                <w:noProof/>
                <w:sz w:val="20"/>
              </w:rPr>
            </w:pPr>
            <w:r>
              <w:rPr>
                <w:b/>
                <w:bCs/>
                <w:noProof/>
                <w:sz w:val="20"/>
              </w:rPr>
              <w:t>275 030 778</w:t>
            </w:r>
          </w:p>
        </w:tc>
      </w:tr>
      <w:tr w:rsidR="001268AD">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268AD" w:rsidRDefault="001268AD">
            <w:pPr>
              <w:spacing w:after="0"/>
              <w:rPr>
                <w:rFonts w:cs="Arial"/>
                <w:b/>
                <w:bCs/>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268AD" w:rsidRDefault="001268AD">
            <w:pPr>
              <w:spacing w:after="0"/>
              <w:jc w:val="right"/>
              <w:rPr>
                <w:rFonts w:cs="Arial"/>
                <w:b/>
                <w:bCs/>
                <w:noProof/>
                <w:sz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268AD" w:rsidRDefault="001268AD">
            <w:pPr>
              <w:spacing w:after="0"/>
              <w:jc w:val="right"/>
              <w:rPr>
                <w:rFonts w:cs="Arial"/>
                <w:b/>
                <w:bCs/>
                <w:noProof/>
                <w:sz w:val="20"/>
              </w:rPr>
            </w:pPr>
          </w:p>
        </w:tc>
      </w:tr>
      <w:tr w:rsidR="001268AD">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268AD" w:rsidRDefault="001268AD">
            <w:pPr>
              <w:spacing w:after="0"/>
              <w:rPr>
                <w:rFonts w:cs="Arial"/>
                <w:b/>
                <w:bCs/>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268AD" w:rsidRDefault="001268AD">
            <w:pPr>
              <w:spacing w:after="0"/>
              <w:jc w:val="right"/>
              <w:rPr>
                <w:rFonts w:cs="Arial"/>
                <w:b/>
                <w:bCs/>
                <w:noProof/>
                <w:sz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268AD" w:rsidRDefault="001268AD">
            <w:pPr>
              <w:spacing w:after="0"/>
              <w:jc w:val="right"/>
              <w:rPr>
                <w:rFonts w:cs="Arial"/>
                <w:b/>
                <w:bCs/>
                <w:noProof/>
                <w:sz w:val="20"/>
              </w:rPr>
            </w:pPr>
          </w:p>
        </w:tc>
      </w:tr>
      <w:tr w:rsidR="001268AD">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8AD" w:rsidRDefault="00181E4C">
            <w:pPr>
              <w:spacing w:after="0"/>
              <w:rPr>
                <w:rFonts w:cs="Arial"/>
                <w:bCs/>
                <w:noProof/>
                <w:sz w:val="20"/>
              </w:rPr>
            </w:pPr>
            <w:r>
              <w:rPr>
                <w:bCs/>
                <w:noProof/>
                <w:sz w:val="20"/>
              </w:rPr>
              <w:t>Príspevok z rozpočtu EÚ</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8AD" w:rsidRDefault="00181E4C">
            <w:pPr>
              <w:spacing w:after="0"/>
              <w:ind w:right="142"/>
              <w:jc w:val="right"/>
              <w:rPr>
                <w:rFonts w:cs="Arial"/>
                <w:bCs/>
                <w:noProof/>
                <w:sz w:val="20"/>
              </w:rPr>
            </w:pPr>
            <w:r>
              <w:rPr>
                <w:bCs/>
                <w:noProof/>
                <w:sz w:val="20"/>
              </w:rPr>
              <w:t>600 100 000</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8AD" w:rsidRDefault="00181E4C">
            <w:pPr>
              <w:spacing w:after="0"/>
              <w:ind w:right="142"/>
              <w:jc w:val="right"/>
              <w:rPr>
                <w:rFonts w:cs="Arial"/>
                <w:bCs/>
                <w:noProof/>
                <w:sz w:val="20"/>
              </w:rPr>
            </w:pPr>
            <w:r>
              <w:rPr>
                <w:bCs/>
                <w:noProof/>
                <w:sz w:val="20"/>
              </w:rPr>
              <w:t>275 100 000</w:t>
            </w:r>
          </w:p>
        </w:tc>
      </w:tr>
      <w:tr w:rsidR="001268AD">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8AD" w:rsidRDefault="00181E4C">
            <w:pPr>
              <w:spacing w:after="0"/>
              <w:rPr>
                <w:rFonts w:eastAsia="Arial Unicode MS" w:cs="Arial"/>
                <w:bCs/>
                <w:noProof/>
                <w:sz w:val="20"/>
              </w:rPr>
            </w:pPr>
            <w:r>
              <w:rPr>
                <w:bCs/>
                <w:noProof/>
                <w:sz w:val="20"/>
              </w:rPr>
              <w:t>Oceňovací rozdiel vyplývajúci z oceňovania reálnou cenou</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8AD" w:rsidRDefault="00181E4C">
            <w:pPr>
              <w:spacing w:after="0"/>
              <w:ind w:right="142"/>
              <w:jc w:val="right"/>
              <w:rPr>
                <w:rFonts w:eastAsia="Times New Roman" w:cs="Arial"/>
                <w:bCs/>
                <w:noProof/>
                <w:sz w:val="20"/>
              </w:rPr>
            </w:pPr>
            <w:r>
              <w:rPr>
                <w:bCs/>
                <w:noProof/>
                <w:sz w:val="20"/>
              </w:rPr>
              <w:t>(188 713)</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8AD" w:rsidRDefault="00181E4C">
            <w:pPr>
              <w:spacing w:after="0"/>
              <w:ind w:right="142"/>
              <w:jc w:val="right"/>
              <w:rPr>
                <w:rFonts w:cs="Arial"/>
                <w:bCs/>
                <w:noProof/>
                <w:sz w:val="20"/>
              </w:rPr>
            </w:pPr>
            <w:r>
              <w:rPr>
                <w:bCs/>
                <w:noProof/>
                <w:sz w:val="20"/>
              </w:rPr>
              <w:t>(655)</w:t>
            </w:r>
          </w:p>
        </w:tc>
      </w:tr>
      <w:tr w:rsidR="001268AD">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8AD" w:rsidRDefault="00181E4C">
            <w:pPr>
              <w:spacing w:after="0"/>
              <w:rPr>
                <w:rFonts w:cs="Arial"/>
                <w:noProof/>
                <w:sz w:val="20"/>
              </w:rPr>
            </w:pPr>
            <w:r>
              <w:rPr>
                <w:noProof/>
                <w:sz w:val="20"/>
              </w:rPr>
              <w:t>Nerozdelené zisky</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268AD" w:rsidRDefault="00181E4C">
            <w:pPr>
              <w:spacing w:after="0"/>
              <w:ind w:right="142"/>
              <w:jc w:val="right"/>
              <w:rPr>
                <w:rFonts w:eastAsia="Arial Unicode MS" w:cs="Arial"/>
                <w:noProof/>
                <w:sz w:val="20"/>
              </w:rPr>
            </w:pPr>
            <w:r>
              <w:rPr>
                <w:noProof/>
                <w:sz w:val="20"/>
              </w:rPr>
              <w:t>(68 567)</w:t>
            </w:r>
          </w:p>
          <w:p w:rsidR="001268AD" w:rsidRDefault="001268AD">
            <w:pPr>
              <w:spacing w:after="0"/>
              <w:ind w:right="142"/>
              <w:jc w:val="right"/>
              <w:rPr>
                <w:rFonts w:eastAsia="Times New Roman" w:cs="Arial"/>
                <w:noProof/>
                <w:sz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268AD" w:rsidRDefault="00181E4C">
            <w:pPr>
              <w:spacing w:after="0"/>
              <w:ind w:right="142"/>
              <w:jc w:val="right"/>
              <w:rPr>
                <w:rFonts w:eastAsia="Arial Unicode MS" w:cs="Arial"/>
                <w:noProof/>
                <w:sz w:val="20"/>
              </w:rPr>
            </w:pPr>
            <w:r>
              <w:rPr>
                <w:noProof/>
                <w:sz w:val="20"/>
              </w:rPr>
              <w:t>‒</w:t>
            </w:r>
          </w:p>
          <w:p w:rsidR="001268AD" w:rsidRDefault="001268AD">
            <w:pPr>
              <w:spacing w:after="0"/>
              <w:ind w:right="142"/>
              <w:jc w:val="right"/>
              <w:rPr>
                <w:rFonts w:eastAsia="Times New Roman" w:cs="Arial"/>
                <w:noProof/>
                <w:sz w:val="20"/>
              </w:rPr>
            </w:pPr>
          </w:p>
        </w:tc>
      </w:tr>
      <w:tr w:rsidR="001268AD">
        <w:trPr>
          <w:trHeight w:hRule="exact" w:val="297"/>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268AD" w:rsidRDefault="00181E4C">
            <w:pPr>
              <w:spacing w:after="0"/>
              <w:rPr>
                <w:rFonts w:cs="Arial"/>
                <w:noProof/>
                <w:sz w:val="20"/>
              </w:rPr>
            </w:pPr>
            <w:r>
              <w:rPr>
                <w:noProof/>
                <w:sz w:val="20"/>
              </w:rPr>
              <w:t>Hospodársky výsledok za rok</w:t>
            </w:r>
          </w:p>
          <w:p w:rsidR="001268AD" w:rsidRDefault="001268AD">
            <w:pPr>
              <w:spacing w:after="0"/>
              <w:rPr>
                <w:rFonts w:cs="Arial"/>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8AD" w:rsidRDefault="00181E4C">
            <w:pPr>
              <w:spacing w:after="0"/>
              <w:ind w:right="142"/>
              <w:jc w:val="right"/>
              <w:rPr>
                <w:rFonts w:cs="Arial"/>
                <w:noProof/>
                <w:sz w:val="20"/>
              </w:rPr>
            </w:pPr>
            <w:r>
              <w:rPr>
                <w:noProof/>
                <w:sz w:val="20"/>
              </w:rPr>
              <w:t>(275 133)</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8AD" w:rsidRDefault="00181E4C">
            <w:pPr>
              <w:spacing w:after="0"/>
              <w:ind w:right="142"/>
              <w:jc w:val="right"/>
              <w:rPr>
                <w:rFonts w:cs="Arial"/>
                <w:noProof/>
                <w:sz w:val="20"/>
              </w:rPr>
            </w:pPr>
            <w:r>
              <w:rPr>
                <w:noProof/>
                <w:sz w:val="20"/>
              </w:rPr>
              <w:t>(68 567)</w:t>
            </w:r>
          </w:p>
        </w:tc>
      </w:tr>
      <w:tr w:rsidR="001268AD">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268AD" w:rsidRDefault="001268AD">
            <w:pPr>
              <w:spacing w:after="0"/>
              <w:rPr>
                <w:rFonts w:eastAsia="Arial Unicode MS" w:cs="Arial"/>
                <w:b/>
                <w:bCs/>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268AD" w:rsidRDefault="001268AD">
            <w:pPr>
              <w:spacing w:after="0"/>
              <w:jc w:val="right"/>
              <w:rPr>
                <w:rFonts w:cs="Arial"/>
                <w:b/>
                <w:noProof/>
                <w:sz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268AD" w:rsidRDefault="001268AD">
            <w:pPr>
              <w:spacing w:after="0"/>
              <w:jc w:val="right"/>
              <w:rPr>
                <w:rFonts w:cs="Arial"/>
                <w:b/>
                <w:noProof/>
                <w:sz w:val="20"/>
              </w:rPr>
            </w:pPr>
          </w:p>
        </w:tc>
      </w:tr>
      <w:tr w:rsidR="001268AD">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8AD" w:rsidRDefault="00181E4C">
            <w:pPr>
              <w:spacing w:after="0"/>
              <w:rPr>
                <w:rFonts w:eastAsia="Arial Unicode MS" w:cs="Arial"/>
                <w:b/>
                <w:bCs/>
                <w:noProof/>
                <w:sz w:val="20"/>
              </w:rPr>
            </w:pPr>
            <w:r>
              <w:rPr>
                <w:b/>
                <w:bCs/>
                <w:noProof/>
                <w:sz w:val="20"/>
              </w:rPr>
              <w:t>KRÁTKODOBÉ ZÁVÄZKY</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8AD" w:rsidRDefault="00181E4C">
            <w:pPr>
              <w:tabs>
                <w:tab w:val="left" w:pos="1558"/>
              </w:tabs>
              <w:spacing w:after="0"/>
              <w:ind w:right="143"/>
              <w:jc w:val="right"/>
              <w:rPr>
                <w:rFonts w:eastAsia="Arial Unicode MS" w:cs="Arial"/>
                <w:b/>
                <w:noProof/>
                <w:sz w:val="20"/>
              </w:rPr>
            </w:pPr>
            <w:r>
              <w:rPr>
                <w:b/>
                <w:noProof/>
                <w:sz w:val="20"/>
              </w:rPr>
              <w:t>21 674</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8AD" w:rsidRDefault="00181E4C">
            <w:pPr>
              <w:tabs>
                <w:tab w:val="left" w:pos="1558"/>
              </w:tabs>
              <w:spacing w:after="0"/>
              <w:ind w:right="143"/>
              <w:jc w:val="right"/>
              <w:rPr>
                <w:rFonts w:eastAsia="Arial Unicode MS" w:cs="Arial"/>
                <w:b/>
                <w:noProof/>
                <w:sz w:val="20"/>
              </w:rPr>
            </w:pPr>
            <w:r>
              <w:rPr>
                <w:b/>
                <w:noProof/>
                <w:sz w:val="20"/>
              </w:rPr>
              <w:t>15 683</w:t>
            </w:r>
          </w:p>
        </w:tc>
      </w:tr>
      <w:tr w:rsidR="001268AD">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268AD" w:rsidRDefault="001268AD">
            <w:pPr>
              <w:spacing w:after="0"/>
              <w:rPr>
                <w:rFonts w:eastAsia="Times New Roman" w:cs="Arial"/>
                <w:b/>
                <w:bCs/>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268AD" w:rsidRDefault="001268AD">
            <w:pPr>
              <w:spacing w:after="0"/>
              <w:jc w:val="right"/>
              <w:rPr>
                <w:rFonts w:cs="Arial"/>
                <w:noProof/>
                <w:sz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268AD" w:rsidRDefault="001268AD">
            <w:pPr>
              <w:spacing w:after="0"/>
              <w:jc w:val="right"/>
              <w:rPr>
                <w:rFonts w:cs="Arial"/>
                <w:noProof/>
                <w:sz w:val="20"/>
              </w:rPr>
            </w:pPr>
          </w:p>
        </w:tc>
      </w:tr>
      <w:tr w:rsidR="001268AD">
        <w:trPr>
          <w:trHeight w:hRule="exact" w:val="34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8AD" w:rsidRDefault="00181E4C">
            <w:pPr>
              <w:spacing w:after="0"/>
              <w:rPr>
                <w:rFonts w:cs="Arial"/>
                <w:bCs/>
                <w:noProof/>
                <w:sz w:val="20"/>
              </w:rPr>
            </w:pPr>
            <w:r>
              <w:rPr>
                <w:bCs/>
                <w:noProof/>
                <w:sz w:val="20"/>
              </w:rPr>
              <w:t>Ostatné záväzky</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8AD" w:rsidRDefault="00181E4C">
            <w:pPr>
              <w:spacing w:after="0"/>
              <w:ind w:right="142"/>
              <w:jc w:val="right"/>
              <w:rPr>
                <w:rFonts w:cs="Arial"/>
                <w:noProof/>
                <w:sz w:val="20"/>
              </w:rPr>
            </w:pPr>
            <w:r>
              <w:rPr>
                <w:noProof/>
                <w:sz w:val="20"/>
              </w:rPr>
              <w:t>21 674</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8AD" w:rsidRDefault="00181E4C">
            <w:pPr>
              <w:spacing w:after="0"/>
              <w:ind w:right="142"/>
              <w:jc w:val="right"/>
              <w:rPr>
                <w:rFonts w:cs="Arial"/>
                <w:noProof/>
                <w:sz w:val="20"/>
              </w:rPr>
            </w:pPr>
            <w:r>
              <w:rPr>
                <w:noProof/>
                <w:sz w:val="20"/>
              </w:rPr>
              <w:t>15 683</w:t>
            </w:r>
          </w:p>
        </w:tc>
      </w:tr>
      <w:tr w:rsidR="001268AD">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268AD" w:rsidRDefault="001268AD">
            <w:pPr>
              <w:spacing w:after="0"/>
              <w:rPr>
                <w:rFonts w:eastAsia="Arial Unicode MS" w:cs="Arial"/>
                <w:bCs/>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268AD" w:rsidRDefault="001268AD">
            <w:pPr>
              <w:spacing w:after="0"/>
              <w:ind w:right="142"/>
              <w:jc w:val="right"/>
              <w:rPr>
                <w:rFonts w:eastAsia="Arial Unicode MS" w:cs="Arial"/>
                <w:noProof/>
                <w:sz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268AD" w:rsidRDefault="001268AD">
            <w:pPr>
              <w:spacing w:after="0"/>
              <w:ind w:right="142"/>
              <w:jc w:val="right"/>
              <w:rPr>
                <w:rFonts w:eastAsia="Arial Unicode MS" w:cs="Arial"/>
                <w:noProof/>
                <w:sz w:val="20"/>
              </w:rPr>
            </w:pPr>
          </w:p>
        </w:tc>
      </w:tr>
      <w:tr w:rsidR="001268AD">
        <w:trPr>
          <w:trHeight w:hRule="exact" w:val="40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8AD" w:rsidRDefault="00181E4C">
            <w:pPr>
              <w:spacing w:after="0"/>
              <w:rPr>
                <w:rFonts w:eastAsia="Arial Unicode MS" w:cs="Arial"/>
                <w:b/>
                <w:bCs/>
                <w:noProof/>
                <w:sz w:val="20"/>
              </w:rPr>
            </w:pPr>
            <w:r>
              <w:rPr>
                <w:b/>
                <w:bCs/>
                <w:noProof/>
                <w:sz w:val="20"/>
              </w:rPr>
              <w:t>SPOLU ČISTÉ AKTÍVA A ZÁVÄZKY</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8AD" w:rsidRDefault="00181E4C">
            <w:pPr>
              <w:spacing w:after="0"/>
              <w:ind w:right="142"/>
              <w:jc w:val="right"/>
              <w:rPr>
                <w:rFonts w:eastAsia="Times New Roman" w:cs="Arial"/>
                <w:b/>
                <w:noProof/>
                <w:sz w:val="20"/>
              </w:rPr>
            </w:pPr>
            <w:r>
              <w:rPr>
                <w:b/>
                <w:bCs/>
                <w:noProof/>
                <w:sz w:val="20"/>
              </w:rPr>
              <w:t>599 589 261</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8AD" w:rsidRDefault="00181E4C">
            <w:pPr>
              <w:spacing w:after="0"/>
              <w:ind w:right="142"/>
              <w:jc w:val="right"/>
              <w:rPr>
                <w:rFonts w:cs="Arial"/>
                <w:b/>
                <w:noProof/>
                <w:sz w:val="20"/>
              </w:rPr>
            </w:pPr>
            <w:r>
              <w:rPr>
                <w:b/>
                <w:bCs/>
                <w:noProof/>
                <w:sz w:val="20"/>
              </w:rPr>
              <w:t>275 046 461</w:t>
            </w:r>
          </w:p>
        </w:tc>
      </w:tr>
    </w:tbl>
    <w:p w:rsidR="001268AD" w:rsidRDefault="001268AD">
      <w:pPr>
        <w:rPr>
          <w:noProof/>
        </w:rPr>
      </w:pPr>
    </w:p>
    <w:p w:rsidR="001268AD" w:rsidRDefault="00181E4C">
      <w:pPr>
        <w:rPr>
          <w:b/>
          <w:noProof/>
        </w:rPr>
      </w:pPr>
      <w:r>
        <w:rPr>
          <w:noProof/>
        </w:rPr>
        <w:br w:type="page"/>
      </w:r>
    </w:p>
    <w:p w:rsidR="001268AD" w:rsidRDefault="00181E4C">
      <w:pPr>
        <w:jc w:val="both"/>
        <w:rPr>
          <w:b/>
          <w:noProof/>
        </w:rPr>
      </w:pPr>
      <w:r>
        <w:rPr>
          <w:b/>
          <w:noProof/>
        </w:rPr>
        <w:t>Výkaz ziskov a strát za rok končiaci 31. decembra 2019</w:t>
      </w:r>
    </w:p>
    <w:p w:rsidR="001268AD" w:rsidRDefault="00181E4C">
      <w:pPr>
        <w:spacing w:after="0" w:line="240" w:lineRule="auto"/>
        <w:ind w:left="-142" w:firstLine="120"/>
        <w:rPr>
          <w:rFonts w:cs="Arial"/>
          <w:noProof/>
          <w:sz w:val="20"/>
        </w:rPr>
      </w:pPr>
      <w:r>
        <w:rPr>
          <w:noProof/>
          <w:sz w:val="20"/>
        </w:rPr>
        <w:t>(sumy vyjadrené v eurách)</w:t>
      </w:r>
    </w:p>
    <w:p w:rsidR="001268AD" w:rsidRDefault="001268AD">
      <w:pPr>
        <w:spacing w:after="0" w:line="240" w:lineRule="auto"/>
        <w:ind w:left="-142" w:firstLine="120"/>
        <w:rPr>
          <w:rFonts w:cs="Arial"/>
          <w:b/>
          <w:bCs/>
          <w:noProof/>
          <w:sz w:val="20"/>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8"/>
        <w:gridCol w:w="1985"/>
        <w:gridCol w:w="1842"/>
      </w:tblGrid>
      <w:tr w:rsidR="001268AD">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268AD" w:rsidRDefault="00181E4C">
            <w:pPr>
              <w:rPr>
                <w:rFonts w:eastAsia="Arial Unicode MS" w:cs="Arial"/>
                <w:noProof/>
                <w:sz w:val="20"/>
              </w:rPr>
            </w:pPr>
            <w:r>
              <w:rPr>
                <w:b/>
                <w:bCs/>
                <w:noProof/>
                <w:sz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268AD" w:rsidRDefault="00181E4C">
            <w:pPr>
              <w:jc w:val="center"/>
              <w:rPr>
                <w:rFonts w:eastAsia="Arial Unicode MS" w:cs="Arial"/>
                <w:b/>
                <w:bCs/>
                <w:noProof/>
                <w:sz w:val="20"/>
              </w:rPr>
            </w:pPr>
            <w:r>
              <w:rPr>
                <w:b/>
                <w:bCs/>
                <w:noProof/>
                <w:sz w:val="20"/>
              </w:rPr>
              <w:t>2019</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68AD" w:rsidRDefault="00181E4C">
            <w:pPr>
              <w:jc w:val="center"/>
              <w:rPr>
                <w:rFonts w:eastAsia="Arial Unicode MS" w:cs="Arial"/>
                <w:b/>
                <w:bCs/>
                <w:noProof/>
                <w:sz w:val="20"/>
              </w:rPr>
            </w:pPr>
            <w:r>
              <w:rPr>
                <w:b/>
                <w:bCs/>
                <w:noProof/>
                <w:sz w:val="20"/>
              </w:rPr>
              <w:t>2018</w:t>
            </w:r>
          </w:p>
        </w:tc>
      </w:tr>
      <w:tr w:rsidR="001268AD">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268AD" w:rsidRDefault="001268AD">
            <w:pPr>
              <w:rPr>
                <w:rFonts w:eastAsia="Times New Roman" w:cs="Arial"/>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268AD" w:rsidRDefault="00181E4C">
            <w:pPr>
              <w:jc w:val="center"/>
              <w:rPr>
                <w:rFonts w:cs="Arial"/>
                <w:b/>
                <w:bCs/>
                <w:noProof/>
                <w:sz w:val="20"/>
              </w:rPr>
            </w:pPr>
            <w:r>
              <w:rPr>
                <w:b/>
                <w:bCs/>
                <w:noProof/>
                <w:sz w:val="20"/>
              </w:rPr>
              <w:t>EUR</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68AD" w:rsidRDefault="00181E4C">
            <w:pPr>
              <w:jc w:val="center"/>
              <w:rPr>
                <w:rFonts w:cs="Arial"/>
                <w:b/>
                <w:bCs/>
                <w:noProof/>
                <w:sz w:val="20"/>
              </w:rPr>
            </w:pPr>
            <w:r>
              <w:rPr>
                <w:b/>
                <w:bCs/>
                <w:noProof/>
                <w:sz w:val="20"/>
              </w:rPr>
              <w:t>EUR</w:t>
            </w:r>
          </w:p>
        </w:tc>
      </w:tr>
      <w:tr w:rsidR="001268AD">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268AD" w:rsidRDefault="00181E4C">
            <w:pPr>
              <w:rPr>
                <w:rFonts w:cs="Arial"/>
                <w:noProof/>
                <w:sz w:val="20"/>
              </w:rPr>
            </w:pPr>
            <w:r>
              <w:rPr>
                <w:b/>
                <w:noProof/>
                <w:sz w:val="20"/>
              </w:rPr>
              <w:t>Príjem z prevádzkových činností</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8AD" w:rsidRDefault="00181E4C">
            <w:pPr>
              <w:tabs>
                <w:tab w:val="left" w:pos="1558"/>
              </w:tabs>
              <w:spacing w:after="0"/>
              <w:ind w:right="143"/>
              <w:jc w:val="right"/>
              <w:rPr>
                <w:rFonts w:eastAsia="Times New Roman" w:cs="Arial"/>
                <w:b/>
                <w:noProof/>
                <w:sz w:val="20"/>
              </w:rPr>
            </w:pPr>
            <w:r>
              <w:rPr>
                <w:noProof/>
                <w:sz w:val="20"/>
              </w:rPr>
              <w:t>‒</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268AD" w:rsidRDefault="00181E4C">
            <w:pPr>
              <w:tabs>
                <w:tab w:val="left" w:pos="1558"/>
              </w:tabs>
              <w:spacing w:after="0"/>
              <w:ind w:right="143"/>
              <w:jc w:val="right"/>
              <w:rPr>
                <w:rFonts w:cs="Arial"/>
                <w:b/>
                <w:noProof/>
                <w:sz w:val="20"/>
              </w:rPr>
            </w:pPr>
            <w:r>
              <w:rPr>
                <w:noProof/>
                <w:sz w:val="20"/>
              </w:rPr>
              <w:t>‒</w:t>
            </w:r>
          </w:p>
        </w:tc>
      </w:tr>
      <w:tr w:rsidR="001268AD">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268AD" w:rsidRDefault="001268AD">
            <w:pPr>
              <w:rPr>
                <w:rFonts w:cs="Arial"/>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268AD" w:rsidRDefault="001268AD">
            <w:pPr>
              <w:tabs>
                <w:tab w:val="left" w:pos="1558"/>
              </w:tabs>
              <w:ind w:right="143"/>
              <w:jc w:val="right"/>
              <w:rPr>
                <w:rFonts w:eastAsia="Times New Roman" w:cs="Arial"/>
                <w:noProof/>
                <w:sz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tcPr>
          <w:p w:rsidR="001268AD" w:rsidRDefault="001268AD">
            <w:pPr>
              <w:tabs>
                <w:tab w:val="left" w:pos="1558"/>
              </w:tabs>
              <w:ind w:right="143"/>
              <w:jc w:val="right"/>
              <w:rPr>
                <w:rFonts w:cs="Arial"/>
                <w:noProof/>
                <w:sz w:val="20"/>
              </w:rPr>
            </w:pPr>
          </w:p>
        </w:tc>
      </w:tr>
      <w:tr w:rsidR="001268AD">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268AD" w:rsidRDefault="00181E4C">
            <w:pPr>
              <w:rPr>
                <w:rFonts w:cs="Arial"/>
                <w:noProof/>
                <w:sz w:val="20"/>
              </w:rPr>
            </w:pPr>
            <w:r>
              <w:rPr>
                <w:b/>
                <w:noProof/>
                <w:sz w:val="20"/>
              </w:rPr>
              <w:t xml:space="preserve">Výdavky na </w:t>
            </w:r>
            <w:r>
              <w:rPr>
                <w:b/>
                <w:noProof/>
                <w:sz w:val="20"/>
              </w:rPr>
              <w:t>prevádzkové činnosti</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8AD" w:rsidRDefault="00181E4C">
            <w:pPr>
              <w:tabs>
                <w:tab w:val="left" w:pos="1558"/>
              </w:tabs>
              <w:spacing w:after="0"/>
              <w:ind w:right="143"/>
              <w:jc w:val="right"/>
              <w:rPr>
                <w:rFonts w:eastAsia="Times New Roman" w:cs="Arial"/>
                <w:b/>
                <w:noProof/>
                <w:sz w:val="20"/>
              </w:rPr>
            </w:pPr>
            <w:r>
              <w:rPr>
                <w:noProof/>
                <w:sz w:val="20"/>
              </w:rPr>
              <w:t>‒</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268AD" w:rsidRDefault="00181E4C">
            <w:pPr>
              <w:tabs>
                <w:tab w:val="left" w:pos="1558"/>
              </w:tabs>
              <w:spacing w:after="0"/>
              <w:ind w:right="143"/>
              <w:jc w:val="right"/>
              <w:rPr>
                <w:rFonts w:cs="Arial"/>
                <w:b/>
                <w:noProof/>
                <w:sz w:val="20"/>
              </w:rPr>
            </w:pPr>
            <w:r>
              <w:rPr>
                <w:noProof/>
                <w:sz w:val="20"/>
              </w:rPr>
              <w:t>‒</w:t>
            </w:r>
          </w:p>
        </w:tc>
      </w:tr>
      <w:tr w:rsidR="001268AD">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268AD" w:rsidRDefault="00181E4C">
            <w:pPr>
              <w:spacing w:after="0"/>
              <w:rPr>
                <w:rFonts w:cs="Arial"/>
                <w:noProof/>
                <w:sz w:val="20"/>
              </w:rPr>
            </w:pPr>
            <w:r>
              <w:rPr>
                <w:bCs/>
                <w:noProof/>
                <w:sz w:val="20"/>
              </w:rPr>
              <w:t>Iné výdavky na prevádzkové činnosti</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268AD" w:rsidRDefault="00181E4C">
            <w:pPr>
              <w:tabs>
                <w:tab w:val="left" w:pos="1558"/>
              </w:tabs>
              <w:spacing w:after="0"/>
              <w:ind w:right="143"/>
              <w:jc w:val="right"/>
              <w:rPr>
                <w:rFonts w:eastAsia="Arial Unicode MS" w:cs="Arial"/>
                <w:b/>
                <w:noProof/>
                <w:sz w:val="20"/>
              </w:rPr>
            </w:pPr>
            <w:r>
              <w:rPr>
                <w:noProof/>
                <w:sz w:val="20"/>
              </w:rPr>
              <w:t>(15 000)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68AD" w:rsidRDefault="00181E4C">
            <w:pPr>
              <w:tabs>
                <w:tab w:val="left" w:pos="1558"/>
              </w:tabs>
              <w:spacing w:after="0"/>
              <w:ind w:right="143"/>
              <w:jc w:val="right"/>
              <w:rPr>
                <w:rFonts w:eastAsia="Arial Unicode MS" w:cs="Arial"/>
                <w:b/>
                <w:noProof/>
                <w:sz w:val="20"/>
              </w:rPr>
            </w:pPr>
            <w:r>
              <w:rPr>
                <w:noProof/>
                <w:sz w:val="20"/>
              </w:rPr>
              <w:t>(15 000)</w:t>
            </w:r>
          </w:p>
        </w:tc>
      </w:tr>
      <w:tr w:rsidR="001268AD">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268AD" w:rsidRDefault="00181E4C">
            <w:pPr>
              <w:spacing w:after="0"/>
              <w:rPr>
                <w:rFonts w:eastAsia="Arial Unicode MS" w:cs="Arial"/>
                <w:i/>
                <w:noProof/>
                <w:sz w:val="20"/>
              </w:rPr>
            </w:pPr>
            <w:r>
              <w:rPr>
                <w:i/>
                <w:noProof/>
                <w:sz w:val="20"/>
              </w:rPr>
              <w:t xml:space="preserve"> Poplatky za audit</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268AD" w:rsidRDefault="00181E4C">
            <w:pPr>
              <w:tabs>
                <w:tab w:val="left" w:pos="1558"/>
              </w:tabs>
              <w:spacing w:after="0"/>
              <w:ind w:right="143"/>
              <w:jc w:val="right"/>
              <w:rPr>
                <w:rFonts w:cs="Arial"/>
                <w:i/>
                <w:noProof/>
                <w:sz w:val="20"/>
              </w:rPr>
            </w:pPr>
            <w:r>
              <w:rPr>
                <w:i/>
                <w:noProof/>
                <w:sz w:val="20"/>
              </w:rPr>
              <w:t>(15 000)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68AD" w:rsidRDefault="00181E4C">
            <w:pPr>
              <w:tabs>
                <w:tab w:val="left" w:pos="1558"/>
              </w:tabs>
              <w:spacing w:after="0"/>
              <w:ind w:right="143"/>
              <w:jc w:val="right"/>
              <w:rPr>
                <w:rFonts w:cs="Arial"/>
                <w:i/>
                <w:noProof/>
                <w:sz w:val="20"/>
              </w:rPr>
            </w:pPr>
            <w:r>
              <w:rPr>
                <w:i/>
                <w:noProof/>
                <w:sz w:val="20"/>
              </w:rPr>
              <w:t>(15 000)</w:t>
            </w:r>
          </w:p>
        </w:tc>
      </w:tr>
      <w:tr w:rsidR="001268AD">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268AD" w:rsidRDefault="001268AD">
            <w:pPr>
              <w:spacing w:after="0"/>
              <w:rPr>
                <w:rFonts w:cs="Arial"/>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268AD" w:rsidRDefault="001268AD">
            <w:pPr>
              <w:tabs>
                <w:tab w:val="left" w:pos="1558"/>
              </w:tabs>
              <w:spacing w:after="0"/>
              <w:ind w:right="143"/>
              <w:jc w:val="right"/>
              <w:rPr>
                <w:rFonts w:cs="Arial"/>
                <w:i/>
                <w:noProof/>
                <w:sz w:val="20"/>
                <w:lang w:eastAsia="ko-K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1268AD" w:rsidRDefault="001268AD">
            <w:pPr>
              <w:tabs>
                <w:tab w:val="left" w:pos="1558"/>
              </w:tabs>
              <w:spacing w:after="0"/>
              <w:ind w:right="143"/>
              <w:jc w:val="right"/>
              <w:rPr>
                <w:rFonts w:cs="Arial"/>
                <w:i/>
                <w:noProof/>
                <w:sz w:val="20"/>
                <w:lang w:eastAsia="ko-KR"/>
              </w:rPr>
            </w:pPr>
          </w:p>
        </w:tc>
      </w:tr>
      <w:tr w:rsidR="001268AD">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268AD" w:rsidRDefault="00181E4C">
            <w:pPr>
              <w:spacing w:after="0"/>
              <w:rPr>
                <w:rFonts w:cs="Arial"/>
                <w:noProof/>
                <w:sz w:val="20"/>
              </w:rPr>
            </w:pPr>
            <w:r>
              <w:rPr>
                <w:b/>
                <w:bCs/>
                <w:noProof/>
                <w:sz w:val="20"/>
              </w:rPr>
              <w:t>VÝSLEDOK PREVÁDZKOVÝCH ČINNOSTÍ</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268AD" w:rsidRDefault="00181E4C">
            <w:pPr>
              <w:tabs>
                <w:tab w:val="left" w:pos="1558"/>
              </w:tabs>
              <w:spacing w:after="0"/>
              <w:ind w:right="143"/>
              <w:jc w:val="right"/>
              <w:rPr>
                <w:rFonts w:cs="Arial"/>
                <w:b/>
                <w:noProof/>
                <w:sz w:val="20"/>
              </w:rPr>
            </w:pPr>
            <w:r>
              <w:rPr>
                <w:b/>
                <w:noProof/>
                <w:sz w:val="20"/>
              </w:rPr>
              <w:t>(15 000)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68AD" w:rsidRDefault="00181E4C">
            <w:pPr>
              <w:tabs>
                <w:tab w:val="left" w:pos="1558"/>
              </w:tabs>
              <w:spacing w:after="0"/>
              <w:ind w:right="143"/>
              <w:jc w:val="right"/>
              <w:rPr>
                <w:rFonts w:cs="Arial"/>
                <w:b/>
                <w:noProof/>
                <w:sz w:val="20"/>
              </w:rPr>
            </w:pPr>
            <w:r>
              <w:rPr>
                <w:b/>
                <w:noProof/>
                <w:sz w:val="20"/>
              </w:rPr>
              <w:t>(15 000)</w:t>
            </w:r>
          </w:p>
        </w:tc>
      </w:tr>
      <w:tr w:rsidR="001268AD">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268AD" w:rsidRDefault="001268AD">
            <w:pPr>
              <w:spacing w:after="0"/>
              <w:rPr>
                <w:rFonts w:cs="Arial"/>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268AD" w:rsidRDefault="001268AD">
            <w:pPr>
              <w:tabs>
                <w:tab w:val="left" w:pos="1558"/>
              </w:tabs>
              <w:spacing w:after="0"/>
              <w:ind w:right="143"/>
              <w:jc w:val="right"/>
              <w:rPr>
                <w:rFonts w:cs="Arial"/>
                <w:i/>
                <w:noProof/>
                <w:sz w:val="20"/>
                <w:lang w:eastAsia="ko-K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1268AD" w:rsidRDefault="001268AD">
            <w:pPr>
              <w:tabs>
                <w:tab w:val="left" w:pos="1558"/>
              </w:tabs>
              <w:spacing w:after="0"/>
              <w:ind w:right="143"/>
              <w:jc w:val="right"/>
              <w:rPr>
                <w:rFonts w:cs="Arial"/>
                <w:i/>
                <w:noProof/>
                <w:sz w:val="20"/>
                <w:lang w:eastAsia="ko-KR"/>
              </w:rPr>
            </w:pPr>
          </w:p>
        </w:tc>
      </w:tr>
      <w:tr w:rsidR="001268AD">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268AD" w:rsidRDefault="00181E4C">
            <w:pPr>
              <w:spacing w:after="0"/>
              <w:rPr>
                <w:rFonts w:eastAsia="Arial Unicode MS" w:cs="Arial"/>
                <w:b/>
                <w:bCs/>
                <w:noProof/>
                <w:sz w:val="20"/>
              </w:rPr>
            </w:pPr>
            <w:r>
              <w:rPr>
                <w:b/>
                <w:bCs/>
                <w:noProof/>
                <w:sz w:val="20"/>
              </w:rPr>
              <w:t xml:space="preserve">Finančné príjmy </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268AD" w:rsidRDefault="00181E4C">
            <w:pPr>
              <w:tabs>
                <w:tab w:val="left" w:pos="1558"/>
              </w:tabs>
              <w:spacing w:after="0"/>
              <w:ind w:right="143"/>
              <w:jc w:val="right"/>
              <w:rPr>
                <w:rFonts w:eastAsia="Arial Unicode MS" w:cs="Arial"/>
                <w:b/>
                <w:noProof/>
                <w:sz w:val="20"/>
              </w:rPr>
            </w:pPr>
            <w:r>
              <w:rPr>
                <w:b/>
                <w:noProof/>
                <w:sz w:val="20"/>
              </w:rPr>
              <w:t>188 403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68AD" w:rsidRDefault="00181E4C">
            <w:pPr>
              <w:tabs>
                <w:tab w:val="left" w:pos="1558"/>
              </w:tabs>
              <w:spacing w:after="0"/>
              <w:ind w:right="143"/>
              <w:jc w:val="right"/>
              <w:rPr>
                <w:rFonts w:eastAsia="Arial Unicode MS" w:cs="Arial"/>
                <w:b/>
                <w:noProof/>
                <w:sz w:val="20"/>
              </w:rPr>
            </w:pPr>
            <w:r>
              <w:rPr>
                <w:b/>
                <w:noProof/>
                <w:sz w:val="20"/>
              </w:rPr>
              <w:t>(1 088)</w:t>
            </w:r>
          </w:p>
        </w:tc>
      </w:tr>
      <w:tr w:rsidR="001268AD">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268AD" w:rsidRDefault="00181E4C">
            <w:pPr>
              <w:spacing w:after="0"/>
              <w:rPr>
                <w:rFonts w:eastAsia="Arial Unicode MS" w:cs="Arial"/>
                <w:noProof/>
                <w:sz w:val="20"/>
              </w:rPr>
            </w:pPr>
            <w:r>
              <w:rPr>
                <w:noProof/>
                <w:sz w:val="20"/>
              </w:rPr>
              <w:t>Úrokové výnosy:</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268AD" w:rsidRDefault="00181E4C">
            <w:pPr>
              <w:tabs>
                <w:tab w:val="left" w:pos="1558"/>
              </w:tabs>
              <w:spacing w:after="0"/>
              <w:ind w:right="143"/>
              <w:jc w:val="right"/>
              <w:rPr>
                <w:rFonts w:eastAsia="Arial Unicode MS" w:cs="Arial"/>
                <w:noProof/>
                <w:sz w:val="20"/>
              </w:rPr>
            </w:pPr>
            <w:r>
              <w:rPr>
                <w:noProof/>
                <w:sz w:val="20"/>
              </w:rPr>
              <w:t>(54 689)</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68AD" w:rsidRDefault="00181E4C">
            <w:pPr>
              <w:tabs>
                <w:tab w:val="left" w:pos="1558"/>
              </w:tabs>
              <w:spacing w:after="0"/>
              <w:ind w:right="143"/>
              <w:jc w:val="right"/>
              <w:rPr>
                <w:rFonts w:eastAsia="Arial Unicode MS" w:cs="Arial"/>
                <w:noProof/>
                <w:sz w:val="20"/>
              </w:rPr>
            </w:pPr>
            <w:r>
              <w:rPr>
                <w:noProof/>
                <w:sz w:val="20"/>
              </w:rPr>
              <w:t>(1 088)</w:t>
            </w:r>
          </w:p>
        </w:tc>
      </w:tr>
      <w:tr w:rsidR="001268AD">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268AD" w:rsidRDefault="00181E4C">
            <w:pPr>
              <w:spacing w:after="0"/>
              <w:rPr>
                <w:rFonts w:eastAsia="Arial Unicode MS" w:cs="Arial"/>
                <w:i/>
                <w:noProof/>
                <w:sz w:val="20"/>
              </w:rPr>
            </w:pPr>
            <w:r>
              <w:rPr>
                <w:i/>
                <w:noProof/>
                <w:sz w:val="20"/>
              </w:rPr>
              <w:t xml:space="preserve"> Peňažné prostriedky a peňažné ekvivalenty</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268AD" w:rsidRDefault="00181E4C">
            <w:pPr>
              <w:tabs>
                <w:tab w:val="left" w:pos="1558"/>
              </w:tabs>
              <w:spacing w:after="0"/>
              <w:ind w:right="143"/>
              <w:jc w:val="right"/>
              <w:rPr>
                <w:rFonts w:eastAsia="Times New Roman" w:cs="Arial"/>
                <w:i/>
                <w:noProof/>
                <w:sz w:val="20"/>
              </w:rPr>
            </w:pPr>
            <w:r>
              <w:rPr>
                <w:noProof/>
                <w:sz w:val="20"/>
              </w:rPr>
              <w:t>‒</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68AD" w:rsidRDefault="00181E4C">
            <w:pPr>
              <w:tabs>
                <w:tab w:val="left" w:pos="1558"/>
              </w:tabs>
              <w:spacing w:after="0"/>
              <w:ind w:right="143"/>
              <w:jc w:val="right"/>
              <w:rPr>
                <w:rFonts w:cs="Arial"/>
                <w:i/>
                <w:noProof/>
                <w:sz w:val="20"/>
              </w:rPr>
            </w:pPr>
            <w:r>
              <w:rPr>
                <w:noProof/>
                <w:sz w:val="20"/>
              </w:rPr>
              <w:t>‒</w:t>
            </w:r>
          </w:p>
        </w:tc>
      </w:tr>
      <w:tr w:rsidR="001268AD">
        <w:trPr>
          <w:trHeight w:hRule="exact" w:val="281"/>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268AD" w:rsidRDefault="00181E4C">
            <w:pPr>
              <w:spacing w:after="0"/>
              <w:rPr>
                <w:rFonts w:cs="Arial"/>
                <w:i/>
                <w:noProof/>
                <w:sz w:val="20"/>
              </w:rPr>
            </w:pPr>
            <w:r>
              <w:rPr>
                <w:i/>
                <w:noProof/>
                <w:sz w:val="20"/>
              </w:rPr>
              <w:t xml:space="preserve"> Aktíva k dispozícii na predaj</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268AD" w:rsidRDefault="00181E4C">
            <w:pPr>
              <w:tabs>
                <w:tab w:val="left" w:pos="1558"/>
              </w:tabs>
              <w:spacing w:after="0"/>
              <w:ind w:right="143"/>
              <w:jc w:val="right"/>
              <w:rPr>
                <w:rFonts w:eastAsia="Times New Roman" w:cs="Arial"/>
                <w:i/>
                <w:noProof/>
                <w:sz w:val="20"/>
              </w:rPr>
            </w:pPr>
            <w:r>
              <w:rPr>
                <w:i/>
                <w:noProof/>
                <w:sz w:val="20"/>
              </w:rPr>
              <w:t>(54 689)</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68AD" w:rsidRDefault="00181E4C">
            <w:pPr>
              <w:tabs>
                <w:tab w:val="left" w:pos="1558"/>
              </w:tabs>
              <w:spacing w:after="0"/>
              <w:ind w:right="143"/>
              <w:jc w:val="right"/>
              <w:rPr>
                <w:rFonts w:cs="Arial"/>
                <w:i/>
                <w:noProof/>
                <w:sz w:val="20"/>
              </w:rPr>
            </w:pPr>
            <w:r>
              <w:rPr>
                <w:i/>
                <w:noProof/>
                <w:sz w:val="20"/>
              </w:rPr>
              <w:t>(1 088)</w:t>
            </w:r>
          </w:p>
        </w:tc>
      </w:tr>
      <w:tr w:rsidR="001268AD">
        <w:trPr>
          <w:trHeight w:hRule="exact" w:val="281"/>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268AD" w:rsidRDefault="00181E4C">
            <w:pPr>
              <w:spacing w:after="0"/>
              <w:ind w:firstLine="284"/>
              <w:rPr>
                <w:rFonts w:cs="Arial"/>
                <w:i/>
                <w:noProof/>
                <w:sz w:val="20"/>
              </w:rPr>
            </w:pPr>
            <w:r>
              <w:rPr>
                <w:i/>
                <w:noProof/>
                <w:sz w:val="20"/>
              </w:rPr>
              <w:t>Iné úrokové výnosy</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268AD" w:rsidRDefault="00181E4C">
            <w:pPr>
              <w:tabs>
                <w:tab w:val="left" w:pos="1558"/>
              </w:tabs>
              <w:spacing w:after="0"/>
              <w:ind w:right="143"/>
              <w:jc w:val="right"/>
              <w:rPr>
                <w:rFonts w:eastAsia="Times New Roman" w:cs="Arial"/>
                <w:i/>
                <w:noProof/>
                <w:sz w:val="20"/>
              </w:rPr>
            </w:pPr>
            <w:r>
              <w:rPr>
                <w:i/>
                <w:noProof/>
                <w:sz w:val="20"/>
              </w:rPr>
              <w:t>‒</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68AD" w:rsidRDefault="00181E4C">
            <w:pPr>
              <w:tabs>
                <w:tab w:val="left" w:pos="1558"/>
              </w:tabs>
              <w:spacing w:after="0"/>
              <w:ind w:right="143"/>
              <w:jc w:val="right"/>
              <w:rPr>
                <w:rFonts w:cs="Arial"/>
                <w:i/>
                <w:noProof/>
                <w:sz w:val="20"/>
              </w:rPr>
            </w:pPr>
            <w:r>
              <w:rPr>
                <w:i/>
                <w:noProof/>
                <w:sz w:val="20"/>
              </w:rPr>
              <w:t>‒</w:t>
            </w:r>
          </w:p>
        </w:tc>
      </w:tr>
      <w:tr w:rsidR="001268AD">
        <w:trPr>
          <w:trHeight w:hRule="exact" w:val="281"/>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268AD" w:rsidRDefault="001268AD">
            <w:pPr>
              <w:spacing w:after="0"/>
              <w:rPr>
                <w:rFonts w:cs="Arial"/>
                <w:i/>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268AD" w:rsidRDefault="001268AD">
            <w:pPr>
              <w:tabs>
                <w:tab w:val="left" w:pos="1558"/>
              </w:tabs>
              <w:spacing w:after="0"/>
              <w:ind w:right="143"/>
              <w:jc w:val="right"/>
              <w:rPr>
                <w:rFonts w:eastAsia="Times New Roman" w:cs="Arial"/>
                <w:i/>
                <w:noProof/>
                <w:sz w:val="20"/>
                <w:lang w:eastAsia="ko-K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1268AD" w:rsidRDefault="001268AD">
            <w:pPr>
              <w:tabs>
                <w:tab w:val="left" w:pos="1558"/>
              </w:tabs>
              <w:spacing w:after="0"/>
              <w:ind w:right="143"/>
              <w:jc w:val="right"/>
              <w:rPr>
                <w:rFonts w:cs="Arial"/>
                <w:i/>
                <w:noProof/>
                <w:sz w:val="20"/>
                <w:lang w:eastAsia="ko-KR"/>
              </w:rPr>
            </w:pPr>
          </w:p>
        </w:tc>
      </w:tr>
      <w:tr w:rsidR="001268AD">
        <w:trPr>
          <w:trHeight w:hRule="exact" w:val="281"/>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268AD" w:rsidRDefault="00181E4C">
            <w:pPr>
              <w:spacing w:after="0"/>
              <w:rPr>
                <w:rFonts w:cs="Arial"/>
                <w:i/>
                <w:noProof/>
                <w:sz w:val="20"/>
              </w:rPr>
            </w:pPr>
            <w:r>
              <w:rPr>
                <w:noProof/>
                <w:sz w:val="20"/>
              </w:rPr>
              <w:t>Realizované zisky z predaja aktív k dispozícii na predaj</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268AD" w:rsidRDefault="00181E4C">
            <w:pPr>
              <w:tabs>
                <w:tab w:val="left" w:pos="1558"/>
              </w:tabs>
              <w:spacing w:after="0"/>
              <w:ind w:right="143"/>
              <w:jc w:val="right"/>
              <w:rPr>
                <w:rFonts w:eastAsia="Times New Roman" w:cs="Arial"/>
                <w:i/>
                <w:noProof/>
                <w:sz w:val="20"/>
              </w:rPr>
            </w:pPr>
            <w:r>
              <w:rPr>
                <w:noProof/>
                <w:sz w:val="20"/>
              </w:rPr>
              <w:t>240 839</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68AD" w:rsidRDefault="00181E4C">
            <w:pPr>
              <w:tabs>
                <w:tab w:val="left" w:pos="1558"/>
              </w:tabs>
              <w:spacing w:after="0"/>
              <w:ind w:right="143"/>
              <w:jc w:val="right"/>
              <w:rPr>
                <w:rFonts w:cs="Arial"/>
                <w:i/>
                <w:noProof/>
                <w:sz w:val="20"/>
              </w:rPr>
            </w:pPr>
            <w:r>
              <w:rPr>
                <w:i/>
                <w:noProof/>
                <w:sz w:val="20"/>
              </w:rPr>
              <w:t>‒</w:t>
            </w:r>
          </w:p>
        </w:tc>
      </w:tr>
      <w:tr w:rsidR="001268AD">
        <w:trPr>
          <w:trHeight w:hRule="exact" w:val="281"/>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268AD" w:rsidRDefault="001268AD">
            <w:pPr>
              <w:spacing w:after="0"/>
              <w:rPr>
                <w:rFonts w:cs="Arial"/>
                <w:i/>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268AD" w:rsidRDefault="001268AD">
            <w:pPr>
              <w:tabs>
                <w:tab w:val="left" w:pos="1558"/>
              </w:tabs>
              <w:spacing w:after="0"/>
              <w:ind w:right="143"/>
              <w:jc w:val="right"/>
              <w:rPr>
                <w:rFonts w:eastAsia="Times New Roman" w:cs="Arial"/>
                <w:i/>
                <w:noProof/>
                <w:sz w:val="20"/>
                <w:lang w:eastAsia="ko-K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1268AD" w:rsidRDefault="001268AD">
            <w:pPr>
              <w:tabs>
                <w:tab w:val="left" w:pos="1558"/>
              </w:tabs>
              <w:spacing w:after="0"/>
              <w:ind w:right="143"/>
              <w:jc w:val="right"/>
              <w:rPr>
                <w:rFonts w:cs="Arial"/>
                <w:i/>
                <w:noProof/>
                <w:sz w:val="20"/>
                <w:lang w:eastAsia="ko-KR"/>
              </w:rPr>
            </w:pPr>
          </w:p>
        </w:tc>
      </w:tr>
      <w:tr w:rsidR="001268AD">
        <w:trPr>
          <w:trHeight w:hRule="exact" w:val="281"/>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268AD" w:rsidRDefault="00181E4C">
            <w:pPr>
              <w:spacing w:after="0"/>
              <w:rPr>
                <w:rFonts w:cs="Arial"/>
                <w:i/>
                <w:noProof/>
                <w:sz w:val="20"/>
              </w:rPr>
            </w:pPr>
            <w:r>
              <w:rPr>
                <w:bCs/>
                <w:noProof/>
                <w:sz w:val="20"/>
              </w:rPr>
              <w:t>Príjmy z požičiavania cenných papierov</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268AD" w:rsidRDefault="00181E4C">
            <w:pPr>
              <w:tabs>
                <w:tab w:val="left" w:pos="1558"/>
              </w:tabs>
              <w:spacing w:after="0"/>
              <w:ind w:right="143"/>
              <w:jc w:val="right"/>
              <w:rPr>
                <w:rFonts w:eastAsia="Times New Roman" w:cs="Arial"/>
                <w:i/>
                <w:noProof/>
                <w:sz w:val="20"/>
              </w:rPr>
            </w:pPr>
            <w:r>
              <w:rPr>
                <w:noProof/>
                <w:sz w:val="20"/>
              </w:rPr>
              <w:t>2 253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68AD" w:rsidRDefault="00181E4C">
            <w:pPr>
              <w:tabs>
                <w:tab w:val="left" w:pos="1558"/>
              </w:tabs>
              <w:spacing w:after="0"/>
              <w:ind w:right="143"/>
              <w:jc w:val="right"/>
              <w:rPr>
                <w:rFonts w:cs="Arial"/>
                <w:i/>
                <w:noProof/>
                <w:sz w:val="20"/>
              </w:rPr>
            </w:pPr>
            <w:r>
              <w:rPr>
                <w:i/>
                <w:noProof/>
                <w:sz w:val="20"/>
              </w:rPr>
              <w:t>‒</w:t>
            </w:r>
          </w:p>
        </w:tc>
      </w:tr>
      <w:tr w:rsidR="001268AD">
        <w:trPr>
          <w:trHeight w:hRule="exact" w:val="281"/>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268AD" w:rsidRDefault="001268AD">
            <w:pPr>
              <w:spacing w:after="0"/>
              <w:rPr>
                <w:rFonts w:cs="Arial"/>
                <w:i/>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268AD" w:rsidRDefault="001268AD">
            <w:pPr>
              <w:tabs>
                <w:tab w:val="left" w:pos="1558"/>
              </w:tabs>
              <w:spacing w:after="0"/>
              <w:ind w:right="143"/>
              <w:jc w:val="right"/>
              <w:rPr>
                <w:rFonts w:eastAsia="Times New Roman" w:cs="Arial"/>
                <w:i/>
                <w:noProof/>
                <w:sz w:val="20"/>
                <w:lang w:eastAsia="ko-K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1268AD" w:rsidRDefault="001268AD">
            <w:pPr>
              <w:tabs>
                <w:tab w:val="left" w:pos="1558"/>
              </w:tabs>
              <w:spacing w:after="0"/>
              <w:ind w:right="143"/>
              <w:jc w:val="right"/>
              <w:rPr>
                <w:rFonts w:cs="Arial"/>
                <w:i/>
                <w:noProof/>
                <w:sz w:val="20"/>
                <w:lang w:eastAsia="ko-KR"/>
              </w:rPr>
            </w:pPr>
          </w:p>
        </w:tc>
      </w:tr>
      <w:tr w:rsidR="001268AD">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268AD" w:rsidRDefault="00181E4C">
            <w:pPr>
              <w:spacing w:after="0"/>
              <w:rPr>
                <w:rFonts w:eastAsia="Arial Unicode MS" w:cs="Arial"/>
                <w:b/>
                <w:bCs/>
                <w:noProof/>
                <w:sz w:val="20"/>
              </w:rPr>
            </w:pPr>
            <w:r>
              <w:rPr>
                <w:b/>
                <w:bCs/>
                <w:noProof/>
                <w:sz w:val="20"/>
              </w:rPr>
              <w:t xml:space="preserve">Finančné výdavky </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268AD" w:rsidRDefault="00181E4C">
            <w:pPr>
              <w:tabs>
                <w:tab w:val="left" w:pos="1558"/>
              </w:tabs>
              <w:spacing w:after="0"/>
              <w:ind w:right="143"/>
              <w:jc w:val="right"/>
              <w:rPr>
                <w:rFonts w:eastAsia="Arial Unicode MS" w:cs="Arial"/>
                <w:b/>
                <w:noProof/>
                <w:sz w:val="20"/>
              </w:rPr>
            </w:pPr>
            <w:r>
              <w:rPr>
                <w:b/>
                <w:noProof/>
                <w:sz w:val="20"/>
              </w:rPr>
              <w:t>(448 536)</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68AD" w:rsidRDefault="00181E4C">
            <w:pPr>
              <w:tabs>
                <w:tab w:val="left" w:pos="1558"/>
              </w:tabs>
              <w:spacing w:after="0"/>
              <w:ind w:right="143"/>
              <w:jc w:val="right"/>
              <w:rPr>
                <w:rFonts w:eastAsia="Arial Unicode MS" w:cs="Arial"/>
                <w:b/>
                <w:noProof/>
                <w:sz w:val="20"/>
              </w:rPr>
            </w:pPr>
            <w:r>
              <w:rPr>
                <w:b/>
                <w:noProof/>
                <w:sz w:val="20"/>
              </w:rPr>
              <w:t>(52 479)</w:t>
            </w:r>
          </w:p>
        </w:tc>
      </w:tr>
      <w:tr w:rsidR="001268AD">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268AD" w:rsidRDefault="00181E4C">
            <w:pPr>
              <w:spacing w:after="0"/>
              <w:rPr>
                <w:rFonts w:eastAsia="Times New Roman" w:cs="Arial"/>
                <w:bCs/>
                <w:noProof/>
                <w:sz w:val="20"/>
              </w:rPr>
            </w:pPr>
            <w:r>
              <w:rPr>
                <w:bCs/>
                <w:noProof/>
                <w:sz w:val="20"/>
              </w:rPr>
              <w:t>Úrokové náklady z </w:t>
            </w:r>
            <w:r>
              <w:rPr>
                <w:noProof/>
                <w:sz w:val="20"/>
              </w:rPr>
              <w:t>peňazí a peňažných ekvivalentov</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268AD" w:rsidRDefault="00181E4C">
            <w:pPr>
              <w:tabs>
                <w:tab w:val="left" w:pos="1558"/>
              </w:tabs>
              <w:spacing w:after="0"/>
              <w:ind w:right="143"/>
              <w:jc w:val="right"/>
              <w:rPr>
                <w:rFonts w:eastAsia="Times New Roman" w:cs="Arial"/>
                <w:noProof/>
                <w:sz w:val="20"/>
              </w:rPr>
            </w:pPr>
            <w:r>
              <w:rPr>
                <w:noProof/>
                <w:sz w:val="20"/>
              </w:rPr>
              <w:t>(404 272)</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68AD" w:rsidRDefault="00181E4C">
            <w:pPr>
              <w:tabs>
                <w:tab w:val="left" w:pos="1558"/>
              </w:tabs>
              <w:spacing w:after="0"/>
              <w:ind w:right="143"/>
              <w:jc w:val="right"/>
              <w:rPr>
                <w:rFonts w:cs="Arial"/>
                <w:b/>
                <w:noProof/>
                <w:sz w:val="20"/>
              </w:rPr>
            </w:pPr>
            <w:r>
              <w:rPr>
                <w:noProof/>
                <w:sz w:val="20"/>
              </w:rPr>
              <w:t>(50 958)</w:t>
            </w:r>
          </w:p>
        </w:tc>
      </w:tr>
      <w:tr w:rsidR="001268AD">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268AD" w:rsidRDefault="001268AD">
            <w:pPr>
              <w:spacing w:after="0"/>
              <w:rPr>
                <w:rFonts w:cs="Arial"/>
                <w:b/>
                <w:bCs/>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268AD" w:rsidRDefault="001268AD">
            <w:pPr>
              <w:tabs>
                <w:tab w:val="left" w:pos="1558"/>
              </w:tabs>
              <w:spacing w:after="0"/>
              <w:ind w:right="143"/>
              <w:jc w:val="right"/>
              <w:rPr>
                <w:rFonts w:eastAsia="Times New Roman" w:cs="Arial"/>
                <w:b/>
                <w:noProof/>
                <w:sz w:val="20"/>
                <w:lang w:eastAsia="ko-K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1268AD" w:rsidRDefault="001268AD">
            <w:pPr>
              <w:tabs>
                <w:tab w:val="left" w:pos="1558"/>
              </w:tabs>
              <w:spacing w:after="0"/>
              <w:ind w:right="143"/>
              <w:jc w:val="right"/>
              <w:rPr>
                <w:rFonts w:cs="Arial"/>
                <w:b/>
                <w:noProof/>
                <w:sz w:val="20"/>
                <w:lang w:eastAsia="ko-KR"/>
              </w:rPr>
            </w:pPr>
          </w:p>
        </w:tc>
      </w:tr>
      <w:tr w:rsidR="001268AD">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268AD" w:rsidRDefault="00181E4C">
            <w:pPr>
              <w:spacing w:after="0"/>
              <w:rPr>
                <w:rFonts w:cs="Arial"/>
                <w:b/>
                <w:bCs/>
                <w:noProof/>
                <w:sz w:val="20"/>
              </w:rPr>
            </w:pPr>
            <w:r>
              <w:rPr>
                <w:bCs/>
                <w:noProof/>
                <w:sz w:val="20"/>
              </w:rPr>
              <w:t>Realizované straty z predaja aktív k dispozícii na predaj</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268AD" w:rsidRDefault="00181E4C">
            <w:pPr>
              <w:tabs>
                <w:tab w:val="left" w:pos="1558"/>
              </w:tabs>
              <w:spacing w:after="0"/>
              <w:ind w:right="143"/>
              <w:jc w:val="right"/>
              <w:rPr>
                <w:rFonts w:eastAsia="Times New Roman" w:cs="Arial"/>
                <w:noProof/>
                <w:sz w:val="20"/>
              </w:rPr>
            </w:pPr>
            <w:r>
              <w:rPr>
                <w:noProof/>
                <w:sz w:val="20"/>
              </w:rPr>
              <w:t>(15)</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68AD" w:rsidRDefault="00181E4C">
            <w:pPr>
              <w:tabs>
                <w:tab w:val="left" w:pos="1558"/>
              </w:tabs>
              <w:spacing w:after="0"/>
              <w:ind w:right="143"/>
              <w:jc w:val="right"/>
              <w:rPr>
                <w:rFonts w:cs="Arial"/>
                <w:noProof/>
                <w:sz w:val="20"/>
              </w:rPr>
            </w:pPr>
            <w:r>
              <w:rPr>
                <w:i/>
                <w:noProof/>
                <w:sz w:val="20"/>
              </w:rPr>
              <w:t>‒</w:t>
            </w:r>
          </w:p>
        </w:tc>
      </w:tr>
      <w:tr w:rsidR="001268AD">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268AD" w:rsidRDefault="001268AD">
            <w:pPr>
              <w:spacing w:after="0"/>
              <w:rPr>
                <w:rFonts w:cs="Arial"/>
                <w:b/>
                <w:bCs/>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268AD" w:rsidRDefault="001268AD">
            <w:pPr>
              <w:tabs>
                <w:tab w:val="left" w:pos="1558"/>
              </w:tabs>
              <w:spacing w:after="0"/>
              <w:ind w:right="143"/>
              <w:jc w:val="right"/>
              <w:rPr>
                <w:rFonts w:eastAsia="Times New Roman" w:cs="Arial"/>
                <w:b/>
                <w:noProof/>
                <w:sz w:val="20"/>
                <w:lang w:eastAsia="ko-K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1268AD" w:rsidRDefault="001268AD">
            <w:pPr>
              <w:tabs>
                <w:tab w:val="left" w:pos="1558"/>
              </w:tabs>
              <w:spacing w:after="0"/>
              <w:ind w:right="143"/>
              <w:jc w:val="right"/>
              <w:rPr>
                <w:rFonts w:cs="Arial"/>
                <w:b/>
                <w:noProof/>
                <w:sz w:val="20"/>
                <w:lang w:eastAsia="ko-KR"/>
              </w:rPr>
            </w:pPr>
          </w:p>
        </w:tc>
      </w:tr>
      <w:tr w:rsidR="001268AD">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268AD" w:rsidRDefault="00181E4C">
            <w:pPr>
              <w:spacing w:after="0"/>
              <w:rPr>
                <w:rFonts w:cs="Arial"/>
                <w:bCs/>
                <w:noProof/>
                <w:sz w:val="20"/>
              </w:rPr>
            </w:pPr>
            <w:r>
              <w:rPr>
                <w:bCs/>
                <w:noProof/>
                <w:sz w:val="20"/>
              </w:rPr>
              <w:t>Poplatky za úschovu a ďalšie finančné výdavky</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268AD" w:rsidRDefault="00181E4C">
            <w:pPr>
              <w:tabs>
                <w:tab w:val="left" w:pos="1558"/>
              </w:tabs>
              <w:spacing w:after="0"/>
              <w:ind w:right="143"/>
              <w:jc w:val="right"/>
              <w:rPr>
                <w:rFonts w:cs="Arial"/>
                <w:noProof/>
                <w:sz w:val="20"/>
              </w:rPr>
            </w:pPr>
            <w:r>
              <w:rPr>
                <w:noProof/>
                <w:sz w:val="20"/>
              </w:rPr>
              <w:t>(44 249)</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68AD" w:rsidRDefault="00181E4C">
            <w:pPr>
              <w:tabs>
                <w:tab w:val="left" w:pos="1558"/>
              </w:tabs>
              <w:spacing w:after="0"/>
              <w:ind w:right="143"/>
              <w:jc w:val="right"/>
              <w:rPr>
                <w:rFonts w:cs="Arial"/>
                <w:noProof/>
                <w:sz w:val="20"/>
              </w:rPr>
            </w:pPr>
            <w:r>
              <w:rPr>
                <w:noProof/>
                <w:sz w:val="20"/>
              </w:rPr>
              <w:t>(1 521)</w:t>
            </w:r>
          </w:p>
        </w:tc>
      </w:tr>
      <w:tr w:rsidR="001268AD">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268AD" w:rsidRDefault="001268AD">
            <w:pPr>
              <w:spacing w:after="0"/>
              <w:rPr>
                <w:rFonts w:cs="Arial"/>
                <w:bCs/>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268AD" w:rsidRDefault="001268AD">
            <w:pPr>
              <w:tabs>
                <w:tab w:val="left" w:pos="1558"/>
              </w:tabs>
              <w:spacing w:after="0"/>
              <w:ind w:right="143"/>
              <w:jc w:val="right"/>
              <w:rPr>
                <w:rFonts w:eastAsia="Times New Roman" w:cs="Arial"/>
                <w:noProof/>
                <w:sz w:val="20"/>
                <w:lang w:eastAsia="ko-K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1268AD" w:rsidRDefault="001268AD">
            <w:pPr>
              <w:tabs>
                <w:tab w:val="left" w:pos="1558"/>
              </w:tabs>
              <w:spacing w:after="0"/>
              <w:ind w:right="143"/>
              <w:jc w:val="right"/>
              <w:rPr>
                <w:rFonts w:cs="Arial"/>
                <w:noProof/>
                <w:sz w:val="20"/>
                <w:lang w:eastAsia="ko-KR"/>
              </w:rPr>
            </w:pPr>
          </w:p>
        </w:tc>
      </w:tr>
      <w:tr w:rsidR="001268AD">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268AD" w:rsidRDefault="00181E4C">
            <w:pPr>
              <w:spacing w:after="0"/>
              <w:rPr>
                <w:rFonts w:cs="Arial"/>
                <w:b/>
                <w:bCs/>
                <w:noProof/>
                <w:sz w:val="20"/>
              </w:rPr>
            </w:pPr>
            <w:r>
              <w:rPr>
                <w:b/>
                <w:bCs/>
                <w:noProof/>
                <w:sz w:val="20"/>
              </w:rPr>
              <w:t>FINANČNÝ VÝSLEDOK</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268AD" w:rsidRDefault="00181E4C">
            <w:pPr>
              <w:tabs>
                <w:tab w:val="left" w:pos="1558"/>
              </w:tabs>
              <w:spacing w:after="0"/>
              <w:ind w:right="143"/>
              <w:jc w:val="right"/>
              <w:rPr>
                <w:rFonts w:eastAsia="Arial Unicode MS" w:cs="Arial"/>
                <w:b/>
                <w:noProof/>
                <w:sz w:val="20"/>
              </w:rPr>
            </w:pPr>
            <w:r>
              <w:rPr>
                <w:b/>
                <w:noProof/>
                <w:sz w:val="20"/>
              </w:rPr>
              <w:t>(260 133)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68AD" w:rsidRDefault="00181E4C">
            <w:pPr>
              <w:tabs>
                <w:tab w:val="left" w:pos="1558"/>
              </w:tabs>
              <w:spacing w:after="0"/>
              <w:ind w:right="143"/>
              <w:jc w:val="right"/>
              <w:rPr>
                <w:rFonts w:eastAsia="Arial Unicode MS" w:cs="Arial"/>
                <w:b/>
                <w:noProof/>
                <w:sz w:val="20"/>
              </w:rPr>
            </w:pPr>
            <w:r>
              <w:rPr>
                <w:b/>
                <w:noProof/>
                <w:sz w:val="20"/>
              </w:rPr>
              <w:t>(53 567)</w:t>
            </w:r>
          </w:p>
        </w:tc>
      </w:tr>
      <w:tr w:rsidR="001268AD">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268AD" w:rsidRDefault="001268AD">
            <w:pPr>
              <w:spacing w:after="0"/>
              <w:rPr>
                <w:rFonts w:eastAsia="Times New Roman" w:cs="Arial"/>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268AD" w:rsidRDefault="001268AD">
            <w:pPr>
              <w:tabs>
                <w:tab w:val="left" w:pos="1558"/>
              </w:tabs>
              <w:spacing w:after="0"/>
              <w:ind w:right="143"/>
              <w:jc w:val="right"/>
              <w:rPr>
                <w:rFonts w:cs="Arial"/>
                <w:noProof/>
                <w:sz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1268AD" w:rsidRDefault="001268AD">
            <w:pPr>
              <w:tabs>
                <w:tab w:val="left" w:pos="1558"/>
              </w:tabs>
              <w:spacing w:after="0"/>
              <w:ind w:right="143"/>
              <w:jc w:val="right"/>
              <w:rPr>
                <w:rFonts w:cs="Arial"/>
                <w:noProof/>
                <w:sz w:val="20"/>
              </w:rPr>
            </w:pPr>
          </w:p>
        </w:tc>
      </w:tr>
      <w:tr w:rsidR="001268AD">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268AD" w:rsidRDefault="00181E4C">
            <w:pPr>
              <w:spacing w:after="0"/>
              <w:rPr>
                <w:rFonts w:eastAsia="Arial Unicode MS" w:cs="Arial"/>
                <w:b/>
                <w:bCs/>
                <w:noProof/>
                <w:sz w:val="20"/>
              </w:rPr>
            </w:pPr>
            <w:r>
              <w:rPr>
                <w:b/>
                <w:bCs/>
                <w:noProof/>
                <w:sz w:val="20"/>
              </w:rPr>
              <w:t>HOSPODÁRSKY VÝSLEDOK ZA ROZPOČTOVÝ ROK</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268AD" w:rsidRDefault="00181E4C">
            <w:pPr>
              <w:tabs>
                <w:tab w:val="left" w:pos="1558"/>
              </w:tabs>
              <w:spacing w:after="0"/>
              <w:ind w:right="143"/>
              <w:jc w:val="right"/>
              <w:rPr>
                <w:rFonts w:eastAsia="Times New Roman" w:cs="Arial"/>
                <w:b/>
                <w:noProof/>
                <w:sz w:val="20"/>
                <w:highlight w:val="yellow"/>
              </w:rPr>
            </w:pPr>
            <w:r>
              <w:rPr>
                <w:b/>
                <w:noProof/>
                <w:sz w:val="20"/>
              </w:rPr>
              <w:t>(275 133)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68AD" w:rsidRDefault="00181E4C">
            <w:pPr>
              <w:tabs>
                <w:tab w:val="left" w:pos="1558"/>
              </w:tabs>
              <w:spacing w:after="0"/>
              <w:ind w:right="143"/>
              <w:jc w:val="right"/>
              <w:rPr>
                <w:rFonts w:cs="Arial"/>
                <w:b/>
                <w:noProof/>
                <w:sz w:val="20"/>
              </w:rPr>
            </w:pPr>
            <w:r>
              <w:rPr>
                <w:b/>
                <w:noProof/>
                <w:sz w:val="20"/>
              </w:rPr>
              <w:t>(68 567)</w:t>
            </w:r>
          </w:p>
        </w:tc>
      </w:tr>
    </w:tbl>
    <w:p w:rsidR="001268AD" w:rsidRDefault="001268AD">
      <w:pPr>
        <w:pStyle w:val="Footer"/>
        <w:tabs>
          <w:tab w:val="left" w:pos="708"/>
        </w:tabs>
        <w:rPr>
          <w:rFonts w:ascii="Arial" w:hAnsi="Arial" w:cs="Arial"/>
          <w:noProof/>
          <w:sz w:val="22"/>
          <w:szCs w:val="20"/>
        </w:rPr>
      </w:pPr>
    </w:p>
    <w:p w:rsidR="001268AD" w:rsidRDefault="00181E4C">
      <w:pPr>
        <w:rPr>
          <w:noProof/>
        </w:rPr>
      </w:pPr>
      <w:r>
        <w:rPr>
          <w:noProof/>
        </w:rPr>
        <w:br w:type="page"/>
      </w:r>
    </w:p>
    <w:p w:rsidR="001268AD" w:rsidRDefault="00181E4C">
      <w:pPr>
        <w:pStyle w:val="Heading2"/>
        <w:rPr>
          <w:noProof/>
        </w:rPr>
      </w:pPr>
      <w:bookmarkStart w:id="11" w:name="_Toc46412285"/>
      <w:r>
        <w:rPr>
          <w:noProof/>
        </w:rPr>
        <w:t>4.2. Tvorba rezerv</w:t>
      </w:r>
      <w:bookmarkEnd w:id="11"/>
    </w:p>
    <w:p w:rsidR="001268AD" w:rsidRDefault="00181E4C">
      <w:pPr>
        <w:jc w:val="both"/>
        <w:rPr>
          <w:noProof/>
        </w:rPr>
      </w:pPr>
      <w:r>
        <w:rPr>
          <w:noProof/>
        </w:rPr>
        <w:t xml:space="preserve">Záručný fond EFSD sa dopĺňa z rozpočtu Únie a Európskeho rozvojového fondu (ERF). V rámci aktuálneho viacročného finančného rámca </w:t>
      </w:r>
      <w:r>
        <w:rPr>
          <w:noProof/>
        </w:rPr>
        <w:t>(2014 až 2020) podrobný rozpis zdrojov financovania záručného fondu EFSD zahŕňa: 400 000 000 EUR zo všeobecnej rezervy ERF a 350 000 000 EUR zo všeobecného rozpočtu Únie vrátane prostriedkov z nástroja európskeho susedstva (ENI). Záručný fond EFSD môže byť</w:t>
      </w:r>
      <w:r>
        <w:rPr>
          <w:noProof/>
        </w:rPr>
        <w:t xml:space="preserve"> financovaný z dobrovoľných príspevkov členských štátov alebo iných prispievateľov, výnosov z investovaných zdrojov, príjmov a súm vymožených od dlžníkov v omeškaní. Estónsko, Česká republika, Dánsko a nadácia Billa a Melindy Gatesových podpísali do konca </w:t>
      </w:r>
      <w:r>
        <w:rPr>
          <w:noProof/>
        </w:rPr>
        <w:t>roka 2019 dohody o dodatočných príspevkoch v celkovej výške približne 49 miliónov EUR.</w:t>
      </w:r>
      <w:r>
        <w:rPr>
          <w:rStyle w:val="FootnoteReference"/>
          <w:noProof/>
          <w:szCs w:val="24"/>
        </w:rPr>
        <w:footnoteReference w:id="4"/>
      </w:r>
    </w:p>
    <w:p w:rsidR="001268AD" w:rsidRDefault="00181E4C">
      <w:pPr>
        <w:suppressAutoHyphens/>
        <w:jc w:val="both"/>
        <w:rPr>
          <w:noProof/>
          <w:szCs w:val="24"/>
        </w:rPr>
      </w:pPr>
      <w:r>
        <w:rPr>
          <w:noProof/>
        </w:rPr>
        <w:t>Záručný fond bol zriadený v roku 2018 a prvá platba vo výške 75 miliónov EUR bola zrealizovaná v novembri 2018. K 31. decembru 2019 predstavovala celková výška sumy pri</w:t>
      </w:r>
      <w:r>
        <w:rPr>
          <w:noProof/>
        </w:rPr>
        <w:t>jatej do záručného fondu z rozpočtu EÚ 600,1 milióna EUR. Do konca roka 2019 nedošlo k žiadnym výzvam na uplatnenie záruky EFSD.</w:t>
      </w:r>
    </w:p>
    <w:p w:rsidR="001268AD" w:rsidRDefault="00181E4C">
      <w:pPr>
        <w:pStyle w:val="Heading1"/>
        <w:rPr>
          <w:noProof/>
        </w:rPr>
      </w:pPr>
      <w:bookmarkStart w:id="12" w:name="_Toc46412286"/>
      <w:r>
        <w:rPr>
          <w:noProof/>
        </w:rPr>
        <w:t>5. Posúdenie primeranosti cieľovej sumy a úrovne záručného fondu EFSD</w:t>
      </w:r>
      <w:bookmarkEnd w:id="12"/>
    </w:p>
    <w:p w:rsidR="001268AD" w:rsidRDefault="00181E4C">
      <w:pPr>
        <w:jc w:val="both"/>
        <w:rPr>
          <w:noProof/>
        </w:rPr>
      </w:pPr>
      <w:r>
        <w:rPr>
          <w:noProof/>
        </w:rPr>
        <w:t>K 31. decembru 2019 boli uzatvorené celkovo tri dohody o </w:t>
      </w:r>
      <w:r>
        <w:rPr>
          <w:noProof/>
        </w:rPr>
        <w:t>zárukách EFSD vo výške 165 miliónov EUR, z toho jedna dohoda bola podpísaná v roku 2018 a dve v roku 2019</w:t>
      </w:r>
      <w:r>
        <w:rPr>
          <w:rStyle w:val="FootnoteReference"/>
          <w:noProof/>
        </w:rPr>
        <w:footnoteReference w:id="5"/>
      </w:r>
      <w:r>
        <w:rPr>
          <w:noProof/>
        </w:rPr>
        <w:t>.</w:t>
      </w:r>
    </w:p>
    <w:p w:rsidR="001268AD" w:rsidRDefault="00181E4C">
      <w:pPr>
        <w:jc w:val="both"/>
        <w:rPr>
          <w:noProof/>
        </w:rPr>
      </w:pPr>
      <w:r>
        <w:rPr>
          <w:noProof/>
        </w:rPr>
        <w:t>Cieľová suma záručného fondu EFSD bola stanovená na 50 % celkových záručných záväzkov EÚ. Celkové platby prijaté do záručného fondu z rozpočtu EÚ k </w:t>
      </w:r>
      <w:r>
        <w:rPr>
          <w:noProof/>
        </w:rPr>
        <w:t>31. decembru 2019 predstavovali 600,1 milióna EUR, takže toto financovanie pokrýva riziko podpísaných záruk v plnom rozsahu.</w:t>
      </w:r>
    </w:p>
    <w:p w:rsidR="001268AD" w:rsidRDefault="00181E4C">
      <w:pPr>
        <w:jc w:val="both"/>
        <w:rPr>
          <w:noProof/>
          <w:szCs w:val="24"/>
        </w:rPr>
      </w:pPr>
      <w:r>
        <w:rPr>
          <w:noProof/>
        </w:rPr>
        <w:t>V súlade s článkom 4 ods. 2 nariadenia o EFSD Komisii s prevádzkovým riadením EFSD pomáha skupina pre technické posúdenie záruky (G</w:t>
      </w:r>
      <w:r>
        <w:rPr>
          <w:noProof/>
        </w:rPr>
        <w:t>-TAG), ktorú tvoria odborníci na úverové riziká prizvaní z viacerých európskych finančných inštitúcií. Úlohou skupiny G-TAG je poskytovať Komisii nezávislú a nestrannú technickú expertízu k otázkam týkajúcim sa bankovníctva na podporu jej rozhodnutí v súvi</w:t>
      </w:r>
      <w:r>
        <w:rPr>
          <w:noProof/>
        </w:rPr>
        <w:t>slosti s poskytovaním záruky EFSD a k monitorovaniu rizík počas realizácie projektov využívajúcich túto záruku.</w:t>
      </w:r>
    </w:p>
    <w:p w:rsidR="001268AD" w:rsidRDefault="001268AD">
      <w:pPr>
        <w:rPr>
          <w:noProof/>
        </w:rPr>
      </w:pPr>
    </w:p>
    <w:sectPr w:rsidR="001268AD">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8AD" w:rsidRDefault="00181E4C">
      <w:pPr>
        <w:spacing w:after="0" w:line="240" w:lineRule="auto"/>
      </w:pPr>
      <w:r>
        <w:separator/>
      </w:r>
    </w:p>
  </w:endnote>
  <w:endnote w:type="continuationSeparator" w:id="0">
    <w:p w:rsidR="001268AD" w:rsidRDefault="00181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okChampa">
    <w:altName w:val="Arial"/>
    <w:charset w:val="00"/>
    <w:family w:val="swiss"/>
    <w:pitch w:val="variable"/>
    <w:sig w:usb0="0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8AD" w:rsidRDefault="001268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8AD" w:rsidRDefault="00181E4C">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8AD" w:rsidRDefault="001268AD">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8AD" w:rsidRDefault="001268A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79673"/>
      <w:docPartObj>
        <w:docPartGallery w:val="Page Numbers (Bottom of Page)"/>
        <w:docPartUnique/>
      </w:docPartObj>
    </w:sdtPr>
    <w:sdtEndPr>
      <w:rPr>
        <w:noProof/>
      </w:rPr>
    </w:sdtEndPr>
    <w:sdtContent>
      <w:p w:rsidR="001268AD" w:rsidRDefault="00181E4C">
        <w:pPr>
          <w:pStyle w:val="Footer"/>
          <w:jc w:val="right"/>
        </w:pPr>
        <w:r>
          <w:fldChar w:fldCharType="begin"/>
        </w:r>
        <w:r>
          <w:instrText xml:space="preserve"> PAGE   \* MERGEFORMAT </w:instrText>
        </w:r>
        <w:r>
          <w:fldChar w:fldCharType="separate"/>
        </w:r>
        <w:r>
          <w:rPr>
            <w:noProof/>
          </w:rPr>
          <w:t>1</w:t>
        </w:r>
        <w:r>
          <w:fldChar w:fldCharType="end"/>
        </w:r>
      </w:p>
    </w:sdtContent>
  </w:sdt>
  <w:p w:rsidR="001268AD" w:rsidRDefault="001268A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8AD" w:rsidRDefault="00126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8AD" w:rsidRDefault="00181E4C">
      <w:pPr>
        <w:spacing w:after="0" w:line="240" w:lineRule="auto"/>
      </w:pPr>
      <w:r>
        <w:separator/>
      </w:r>
    </w:p>
  </w:footnote>
  <w:footnote w:type="continuationSeparator" w:id="0">
    <w:p w:rsidR="001268AD" w:rsidRDefault="00181E4C">
      <w:pPr>
        <w:spacing w:after="0" w:line="240" w:lineRule="auto"/>
      </w:pPr>
      <w:r>
        <w:continuationSeparator/>
      </w:r>
    </w:p>
  </w:footnote>
  <w:footnote w:id="1">
    <w:p w:rsidR="001268AD" w:rsidRDefault="00181E4C">
      <w:pPr>
        <w:pStyle w:val="FootnoteText"/>
        <w:ind w:left="284" w:hanging="284"/>
        <w:jc w:val="both"/>
      </w:pPr>
      <w:r>
        <w:rPr>
          <w:rStyle w:val="FootnoteReference"/>
        </w:rPr>
        <w:footnoteRef/>
      </w:r>
      <w:r>
        <w:t xml:space="preserve"> Nariadenie Európskeho parlamentu a Rady (EÚ) 2017/1601 z 26. septembra 2017 o zriadení Európskeho fondu pre udržateľný rozvoj, záruky EFSD a záručného fondu EFSD.</w:t>
      </w:r>
    </w:p>
  </w:footnote>
  <w:footnote w:id="2">
    <w:p w:rsidR="001268AD" w:rsidRDefault="00181E4C">
      <w:pPr>
        <w:pStyle w:val="FootnoteText"/>
        <w:ind w:left="284" w:hanging="284"/>
        <w:jc w:val="both"/>
      </w:pPr>
      <w:r>
        <w:rPr>
          <w:rStyle w:val="FootnoteReference"/>
        </w:rPr>
        <w:footnoteRef/>
      </w:r>
      <w:r>
        <w:t xml:space="preserve"> COM(2020) 224, Správa Komisie Európskemu parlamentu a Rade o vykonávaní Európskeho fondu p</w:t>
      </w:r>
      <w:r>
        <w:t xml:space="preserve">re udržateľný rozvoj. </w:t>
      </w:r>
    </w:p>
  </w:footnote>
  <w:footnote w:id="3">
    <w:p w:rsidR="001268AD" w:rsidRDefault="00181E4C">
      <w:pPr>
        <w:pStyle w:val="FootnoteText"/>
        <w:ind w:left="284" w:hanging="284"/>
        <w:jc w:val="both"/>
      </w:pPr>
      <w:r>
        <w:rPr>
          <w:rStyle w:val="FootnoteReference"/>
        </w:rPr>
        <w:footnoteRef/>
      </w:r>
      <w:r>
        <w:t xml:space="preserve"> To zodpovedá peňažne váženej miere návratnosti vo výške -0,103 %, ktorá zohľadňuje podstatný nárast objemu záručného fondu EFSD v roku 2019 vďaka rozpočtovým príspevkom v tzv. fáze budovania. Peňažne vážená miera návratnosti bola v</w:t>
      </w:r>
      <w:r>
        <w:t xml:space="preserve"> roku 2019 nižšia ako časovo vážená výkonnosť uvedená v bode 3.3. Časovo vážená miera návratnosti je miera návratnosti, ktorá sa oficiálne používa na oznamovanie výkonnosti všetkých aktivít v súvislosti so správou aktív ES, keďže umožňuje odstrániť rušivé </w:t>
      </w:r>
      <w:r>
        <w:t xml:space="preserve">účinky prílevu a odlevu peňažných tokov. </w:t>
      </w:r>
    </w:p>
  </w:footnote>
  <w:footnote w:id="4">
    <w:p w:rsidR="001268AD" w:rsidRDefault="00181E4C">
      <w:pPr>
        <w:pStyle w:val="FootnoteText"/>
        <w:ind w:left="284" w:hanging="284"/>
      </w:pPr>
      <w:r>
        <w:rPr>
          <w:rStyle w:val="FootnoteReference"/>
        </w:rPr>
        <w:footnoteRef/>
      </w:r>
      <w:r>
        <w:t xml:space="preserve"> Estónsko: 100 000 EUR, Česká republika: 300 000 EUR, Dánsko: približne 9,4 milióna EUR, nadácia Billa a Melindy Gatesových: približne 39,2 milióna EUR (50 miliónov USD) – splatených bolo zatiaľ 19,2 milióna EUR.</w:t>
      </w:r>
    </w:p>
  </w:footnote>
  <w:footnote w:id="5">
    <w:p w:rsidR="001268AD" w:rsidRDefault="00181E4C">
      <w:pPr>
        <w:pStyle w:val="FootnoteText"/>
        <w:ind w:left="284" w:hanging="284"/>
        <w:jc w:val="both"/>
      </w:pPr>
      <w:r>
        <w:rPr>
          <w:rStyle w:val="FootnoteReference"/>
        </w:rPr>
        <w:footnoteRef/>
      </w:r>
      <w:r>
        <w:t xml:space="preserve"> Ďalšie štyri dohody v celkovej výške 196 miliónov EUR boli podpísané v apríli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8AD" w:rsidRDefault="00126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8AD" w:rsidRDefault="001268AD">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8AD" w:rsidRDefault="001268AD">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8AD" w:rsidRDefault="001268A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8AD" w:rsidRDefault="001268A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8AD" w:rsidRDefault="00126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734728B7"/>
    <w:multiLevelType w:val="hybridMultilevel"/>
    <w:tmpl w:val="66D0BF5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499A129-6342-48EF-8C3B-8A88ED3F5B04"/>
    <w:docVar w:name="LW_COVERPAGE_TYPE" w:val="1"/>
    <w:docVar w:name="LW_CROSSREFERENCE" w:val="&lt;UNUSED&gt;"/>
    <w:docVar w:name="LW_DocType" w:val="NORMAL"/>
    <w:docVar w:name="LW_EMISSION" w:val="31. 7. 2020"/>
    <w:docVar w:name="LW_EMISSION_ISODATE" w:val="2020-07-31"/>
    <w:docVar w:name="LW_EMISSION_LOCATION" w:val="BRX"/>
    <w:docVar w:name="LW_EMISSION_PREFIX" w:val="V Bruseli"/>
    <w:docVar w:name="LW_EMISSION_SUFFIX" w:val=" "/>
    <w:docVar w:name="LW_ID_DOCTYPE_NONLW" w:val="CP-035"/>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34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 spravovaní záru\u269?ného fondu Európskeho fondu pre udr\u382?ate\u318?ný rozvoj_x000d__x000d__x000d__x000b__x000d__x000d__x000d__x000d__x000b_"/>
    <w:docVar w:name="LW_TYPE.DOC.CP" w:val="SPRÁVA KOMISIE EURÓPSKEMU PARLAMENTU, RADE A DVORU AUDÍTOROV_x000b_"/>
  </w:docVars>
  <w:rsids>
    <w:rsidRoot w:val="001268AD"/>
    <w:rsid w:val="001268AD"/>
    <w:rsid w:val="00181E4C"/>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1F65388-0803-4CE3-AD3B-044210BD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pPr>
      <w:keepNext/>
      <w:keepLines/>
      <w:spacing w:before="600" w:after="360"/>
      <w:outlineLvl w:val="0"/>
    </w:pPr>
    <w:rPr>
      <w:rFonts w:eastAsiaTheme="majorEastAsia" w:cstheme="majorBidi"/>
      <w:b/>
      <w:smallCaps/>
      <w:color w:val="000000" w:themeColor="text1"/>
      <w:sz w:val="28"/>
      <w:szCs w:val="32"/>
    </w:rPr>
  </w:style>
  <w:style w:type="paragraph" w:styleId="Heading2">
    <w:name w:val="heading 2"/>
    <w:basedOn w:val="Normal"/>
    <w:next w:val="Normal"/>
    <w:link w:val="Heading2Char"/>
    <w:uiPriority w:val="9"/>
    <w:unhideWhenUsed/>
    <w:qFormat/>
    <w:pPr>
      <w:keepNext/>
      <w:keepLines/>
      <w:spacing w:before="360" w:after="36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heme="majorBidi"/>
      <w:b/>
      <w:smallCaps/>
      <w:color w:val="000000" w:themeColor="text1"/>
      <w:sz w:val="28"/>
      <w:szCs w:val="32"/>
    </w:rPr>
  </w:style>
  <w:style w:type="character" w:customStyle="1" w:styleId="Heading2Char">
    <w:name w:val="Heading 2 Char"/>
    <w:basedOn w:val="DefaultParagraphFont"/>
    <w:link w:val="Heading2"/>
    <w:uiPriority w:val="9"/>
    <w:rPr>
      <w:rFonts w:ascii="Times New Roman" w:eastAsiaTheme="majorEastAsia" w:hAnsi="Times New Roman" w:cstheme="majorBidi"/>
      <w:b/>
      <w:color w:val="000000" w:themeColor="text1"/>
      <w:sz w:val="24"/>
      <w:szCs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sz w:val="24"/>
    </w:rPr>
  </w:style>
  <w:style w:type="paragraph" w:styleId="TOCHeading">
    <w:name w:val="TOC Heading"/>
    <w:basedOn w:val="Heading1"/>
    <w:next w:val="Normal"/>
    <w:link w:val="TOCHeadingChar"/>
    <w:uiPriority w:val="39"/>
    <w:unhideWhenUsed/>
    <w:qFormat/>
    <w:pPr>
      <w:spacing w:line="259" w:lineRule="auto"/>
      <w:outlineLvl w:val="9"/>
    </w:pPr>
  </w:style>
  <w:style w:type="paragraph" w:styleId="FootnoteText">
    <w:name w:val="footnote text"/>
    <w:aliases w:val="Fußnotentext Char1,Fußnotentext Char Char,Fußnotentext Char1 Char Char,Fußnotentext Char Char Char Char,Fußnotentext Char1 Char Char Char Char,Fußnotentext Char Char Char Char Char Char,Fußnotentext Char Char1 Char Char,Footnote,Fußnote,fn"/>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ußnotentext Char1 Char,Fußnotentext Char Char Char,Fußnotentext Char1 Char Char Char,Fußnotentext Char Char Char Char Char,Fußnotentext Char1 Char Char Char Char Char,Fußnotentext Char Char Char Char Char Char Char,Footnote Char"/>
    <w:basedOn w:val="DefaultParagraphFont"/>
    <w:link w:val="FootnoteText"/>
    <w:uiPriority w:val="99"/>
    <w:rPr>
      <w:rFonts w:ascii="Times New Roman" w:hAnsi="Times New Roman"/>
      <w:sz w:val="20"/>
      <w:szCs w:val="20"/>
    </w:rPr>
  </w:style>
  <w:style w:type="character" w:styleId="FootnoteReference">
    <w:name w:val="footnote reference"/>
    <w:aliases w:val="number,SUPERS,Footnote Reference Superscript,-E Fuﬂnotenzeichen,-E Fuûnotenzeichen,-E Fußnotenzeichen,EN Footnote Reference,Footnote number,stylish,Footnote symbol,(Footnote Reference),Footnote reference number,note TESI,BVI fnr,ftref"/>
    <w:basedOn w:val="DefaultParagraphFont"/>
    <w:link w:val="BVIfnrChar"/>
    <w:uiPriority w:val="99"/>
    <w:unhideWhenUsed/>
    <w:qFormat/>
    <w:rPr>
      <w:vertAlign w:val="superscript"/>
    </w:rPr>
  </w:style>
  <w:style w:type="paragraph" w:customStyle="1" w:styleId="BVIfnrChar">
    <w:name w:val="BVI fnr Char"/>
    <w:aliases w:val="Appel note de bas de p.;BVI fnr Car Car Car Car, BVI fnr Car Car,BVI fnr Car, BVI fnr Car Car Car Car, BVI fnr Car Car Car Car Char,Appel note de bas de p..BVI fnr Car Car Car Car, BVI fnr Char,Appel note de bas de p."/>
    <w:basedOn w:val="Normal"/>
    <w:link w:val="FootnoteReference"/>
    <w:uiPriority w:val="99"/>
    <w:pPr>
      <w:spacing w:after="160" w:line="240" w:lineRule="exact"/>
    </w:pPr>
    <w:rPr>
      <w:rFonts w:asciiTheme="minorHAnsi" w:hAnsiTheme="minorHAnsi"/>
      <w:sz w:val="22"/>
      <w:vertAlign w:val="superscript"/>
    </w:r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000FF" w:themeColor="hyperlink"/>
      <w:u w:val="single"/>
    </w:rPr>
  </w:style>
  <w:style w:type="paragraph" w:styleId="TOC2">
    <w:name w:val="toc 2"/>
    <w:basedOn w:val="Normal"/>
    <w:next w:val="Normal"/>
    <w:autoRedefine/>
    <w:uiPriority w:val="39"/>
    <w:unhideWhenUsed/>
    <w:pPr>
      <w:spacing w:after="100"/>
      <w:ind w:left="240"/>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cs="Times New Roman"/>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style>
  <w:style w:type="character" w:customStyle="1" w:styleId="TOCHeadingChar">
    <w:name w:val="TOC Heading Char"/>
    <w:basedOn w:val="Heading1Char"/>
    <w:link w:val="TOCHeading"/>
    <w:uiPriority w:val="39"/>
    <w:rPr>
      <w:rFonts w:ascii="Times New Roman" w:eastAsiaTheme="majorEastAsia" w:hAnsi="Times New Roman" w:cstheme="majorBidi"/>
      <w:b/>
      <w:smallCaps/>
      <w:color w:val="000000" w:themeColor="text1"/>
      <w:sz w:val="28"/>
      <w:szCs w:val="32"/>
      <w:lang w:val="sk-SK"/>
    </w:rPr>
  </w:style>
  <w:style w:type="character" w:customStyle="1" w:styleId="FooterCoverPageChar">
    <w:name w:val="Footer Cover Page Char"/>
    <w:basedOn w:val="TOCHeadingChar"/>
    <w:link w:val="FooterCoverPage"/>
    <w:rPr>
      <w:rFonts w:ascii="Times New Roman" w:eastAsiaTheme="majorEastAsia" w:hAnsi="Times New Roman" w:cstheme="majorBidi"/>
      <w:b w:val="0"/>
      <w:smallCaps w:val="0"/>
      <w:color w:val="000000" w:themeColor="text1"/>
      <w:sz w:val="24"/>
      <w:szCs w:val="32"/>
      <w:lang w:val="sk-SK"/>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TOCHeadingChar"/>
    <w:link w:val="FooterSensitivity"/>
    <w:rPr>
      <w:rFonts w:ascii="Times New Roman" w:eastAsiaTheme="majorEastAsia" w:hAnsi="Times New Roman" w:cstheme="majorBidi"/>
      <w:b/>
      <w:smallCaps w:val="0"/>
      <w:color w:val="000000" w:themeColor="text1"/>
      <w:sz w:val="32"/>
      <w:szCs w:val="32"/>
      <w:lang w:val="sk-SK"/>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basedOn w:val="TOCHeadingChar"/>
    <w:link w:val="HeaderCoverPage"/>
    <w:rPr>
      <w:rFonts w:ascii="Times New Roman" w:eastAsiaTheme="majorEastAsia" w:hAnsi="Times New Roman" w:cstheme="majorBidi"/>
      <w:b w:val="0"/>
      <w:smallCaps w:val="0"/>
      <w:color w:val="000000" w:themeColor="text1"/>
      <w:sz w:val="24"/>
      <w:szCs w:val="32"/>
      <w:lang w:val="sk-SK"/>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TOCHeadingChar"/>
    <w:link w:val="HeaderSensitivity"/>
    <w:rPr>
      <w:rFonts w:ascii="Times New Roman" w:eastAsiaTheme="majorEastAsia" w:hAnsi="Times New Roman" w:cstheme="majorBidi"/>
      <w:b/>
      <w:smallCaps w:val="0"/>
      <w:color w:val="000000" w:themeColor="text1"/>
      <w:sz w:val="32"/>
      <w:szCs w:val="32"/>
      <w:lang w:val="sk-SK"/>
    </w:rPr>
  </w:style>
  <w:style w:type="paragraph" w:customStyle="1" w:styleId="HeaderSensitivityRight">
    <w:name w:val="Header Sensitivity Right"/>
    <w:basedOn w:val="Normal"/>
    <w:link w:val="HeaderSensitivityRightChar"/>
    <w:pPr>
      <w:spacing w:after="120" w:line="240" w:lineRule="auto"/>
      <w:jc w:val="right"/>
    </w:pPr>
    <w:rPr>
      <w:sz w:val="28"/>
    </w:rPr>
  </w:style>
  <w:style w:type="character" w:customStyle="1" w:styleId="HeaderSensitivityRightChar">
    <w:name w:val="Header Sensitivity Right Char"/>
    <w:basedOn w:val="TOCHeadingChar"/>
    <w:link w:val="HeaderSensitivityRight"/>
    <w:rPr>
      <w:rFonts w:ascii="Times New Roman" w:eastAsiaTheme="majorEastAsia" w:hAnsi="Times New Roman" w:cstheme="majorBidi"/>
      <w:b w:val="0"/>
      <w:smallCaps w:val="0"/>
      <w:color w:val="000000" w:themeColor="text1"/>
      <w:sz w:val="28"/>
      <w:szCs w:val="32"/>
      <w:lang w:val="sk-SK"/>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LegalNumPar">
    <w:name w:val="LegalNumPar"/>
    <w:basedOn w:val="Normal"/>
    <w:pPr>
      <w:numPr>
        <w:numId w:val="4"/>
      </w:numPr>
      <w:spacing w:line="360" w:lineRule="auto"/>
    </w:pPr>
  </w:style>
  <w:style w:type="paragraph" w:customStyle="1" w:styleId="LegalNumPar2">
    <w:name w:val="LegalNumPar2"/>
    <w:basedOn w:val="Normal"/>
    <w:pPr>
      <w:numPr>
        <w:ilvl w:val="1"/>
        <w:numId w:val="4"/>
      </w:numPr>
      <w:spacing w:line="360" w:lineRule="auto"/>
    </w:pPr>
  </w:style>
  <w:style w:type="paragraph" w:customStyle="1" w:styleId="LegalNumPar3">
    <w:name w:val="LegalNumPar3"/>
    <w:basedOn w:val="Normal"/>
    <w:pPr>
      <w:numPr>
        <w:ilvl w:val="2"/>
        <w:numId w:val="4"/>
      </w:numPr>
      <w:spacing w:line="360" w:lineRule="auto"/>
    </w:pPr>
  </w:style>
  <w:style w:type="paragraph" w:styleId="ListParagraph">
    <w:name w:val="List Paragraph"/>
    <w:basedOn w:val="Normal"/>
    <w:uiPriority w:val="34"/>
    <w:qFormat/>
    <w:pPr>
      <w:spacing w:after="0" w:line="240" w:lineRule="auto"/>
      <w:ind w:left="720"/>
    </w:pPr>
    <w:rPr>
      <w:rFonts w:ascii="Calibri" w:hAnsi="Calibri" w:cs="Calibr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character" w:customStyle="1" w:styleId="e24kjd">
    <w:name w:val="e24kjd"/>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6252">
      <w:bodyDiv w:val="1"/>
      <w:marLeft w:val="0"/>
      <w:marRight w:val="0"/>
      <w:marTop w:val="0"/>
      <w:marBottom w:val="0"/>
      <w:divBdr>
        <w:top w:val="none" w:sz="0" w:space="0" w:color="auto"/>
        <w:left w:val="none" w:sz="0" w:space="0" w:color="auto"/>
        <w:bottom w:val="none" w:sz="0" w:space="0" w:color="auto"/>
        <w:right w:val="none" w:sz="0" w:space="0" w:color="auto"/>
      </w:divBdr>
    </w:div>
    <w:div w:id="99237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cid:image001.jpg@01D6134B.2AD5ADD0"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c.cec/sg/vista/home?documentDetails&amp;DocRef=C/2017/7693&amp;ComCat=SPINE"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9</Pages>
  <Words>1797</Words>
  <Characters>9977</Characters>
  <Application>Microsoft Office Word</Application>
  <DocSecurity>0</DocSecurity>
  <Lines>399</Lines>
  <Paragraphs>214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LAGES CARVALHO Patrick (SG)</cp:lastModifiedBy>
  <cp:revision>18</cp:revision>
  <dcterms:created xsi:type="dcterms:W3CDTF">2020-07-23T13:24:00Z</dcterms:created>
  <dcterms:modified xsi:type="dcterms:W3CDTF">2020-07-31T06:17:00Z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CP-035</vt:lpwstr>
  </property>
  <property fmtid="{D5CDD505-2E9C-101B-9397-08002B2CF9AE}" pid="7" name="Last edited using">
    <vt:lpwstr>LW 7.0, Build 20190717</vt:lpwstr>
  </property>
  <property fmtid="{D5CDD505-2E9C-101B-9397-08002B2CF9AE}" pid="8" name="Created using">
    <vt:lpwstr>LW 7.0.1, Build 20190916</vt:lpwstr>
  </property>
</Properties>
</file>