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D68F80B-3FAD-4C33-9DFA-9AAE369EFDA8" style="width:450.4pt;height:352.8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noProof/>
        </w:rPr>
      </w:pPr>
      <w:r>
        <w:rPr>
          <w:noProof/>
          <w:color w:val="000000"/>
          <w:u w:color="000000"/>
          <w:bdr w:val="nil"/>
        </w:rPr>
        <w:t>•</w:t>
      </w:r>
      <w:r>
        <w:rPr>
          <w:noProof/>
        </w:rPr>
        <w:tab/>
        <w:t>Motiv och syfte med förslaget</w:t>
      </w:r>
    </w:p>
    <w:p>
      <w:pPr>
        <w:rPr>
          <w:noProof/>
        </w:rPr>
      </w:pPr>
      <w:r>
        <w:rPr>
          <w:noProof/>
        </w:rPr>
        <w:t>Förenade kungariket lämnade Europeiska unionen (EU) den 31 januari 2020. I enlighet med utträdesavtalet</w:t>
      </w:r>
      <w:r>
        <w:rPr>
          <w:rStyle w:val="FootnoteReference"/>
          <w:noProof/>
        </w:rPr>
        <w:footnoteReference w:id="1"/>
      </w:r>
      <w:r>
        <w:rPr>
          <w:noProof/>
        </w:rPr>
        <w:t xml:space="preserve"> är Förenade kungariket nu ett tredjeland i förhållande till EU.</w:t>
      </w:r>
    </w:p>
    <w:p>
      <w:pPr>
        <w:rPr>
          <w:noProof/>
        </w:rPr>
      </w:pPr>
      <w:r>
        <w:rPr>
          <w:noProof/>
        </w:rPr>
        <w:t>EU och Förenade kungariket enades dock om en övergångsperiod fram till slutet av 2020, under vilken bland annat EU:s lagstiftning om mervärdesskatt (moms) kommer att fortsätta att tillämpas i Förenade kungariket</w:t>
      </w:r>
      <w:r>
        <w:rPr>
          <w:rStyle w:val="FootnoteReference"/>
          <w:noProof/>
        </w:rPr>
        <w:footnoteReference w:id="2"/>
      </w:r>
      <w:r>
        <w:rPr>
          <w:noProof/>
        </w:rPr>
        <w:t>.</w:t>
      </w:r>
    </w:p>
    <w:p>
      <w:pPr>
        <w:rPr>
          <w:noProof/>
        </w:rPr>
      </w:pPr>
      <w:r>
        <w:rPr>
          <w:noProof/>
        </w:rPr>
        <w:t>Från och med den 1 januari 2021 kommer EU:s momslagstiftning inte längre att gälla för Förenade kungariket. På grundval av protokollet om Irland/Nordirland</w:t>
      </w:r>
      <w:r>
        <w:rPr>
          <w:rStyle w:val="FootnoteReference"/>
          <w:noProof/>
        </w:rPr>
        <w:footnoteReference w:id="3"/>
      </w:r>
      <w:r>
        <w:rPr>
          <w:noProof/>
        </w:rPr>
        <w:t xml:space="preserve"> (nedan kallat </w:t>
      </w:r>
      <w:r>
        <w:rPr>
          <w:i/>
          <w:iCs/>
          <w:noProof/>
        </w:rPr>
        <w:t>protokollet</w:t>
      </w:r>
      <w:r>
        <w:rPr>
          <w:noProof/>
        </w:rPr>
        <w:t>), som är en del av utträdesavtalet, kommer Nordirland emellertid fortsätta att omfattas av EU:s momslagstiftning, för att undvika en hård gräns mellan Irland och Nordirland. Vad gäller tjänster betraktas Nordirland, tillsammans med resten av Förenade kungariket Storbritannien, som tredjeland.</w:t>
      </w:r>
    </w:p>
    <w:p>
      <w:pPr>
        <w:rPr>
          <w:noProof/>
        </w:rPr>
      </w:pPr>
      <w:r>
        <w:rPr>
          <w:noProof/>
        </w:rPr>
        <w:t>Detta leder oundvikligen till ett system med dubbla eller blandade momssystem i Nordirland, vilket innebär att leveranser, förvärv inom gemenskapen och import av varor som är belägna i Nordirland, enligt de regler om platsen för beskattningsbara transaktioner som fastställs i avdelning V i momsdirektivet</w:t>
      </w:r>
      <w:r>
        <w:rPr>
          <w:rStyle w:val="FootnoteReference"/>
          <w:noProof/>
        </w:rPr>
        <w:footnoteReference w:id="4"/>
      </w:r>
      <w:r>
        <w:rPr>
          <w:noProof/>
        </w:rPr>
        <w:t xml:space="preserve"> , omfattas av de harmoniserade EU-reglerna, medan tillhandahållande av tjänster inom samma territorium inte omfattas av EU:s momssystem.</w:t>
      </w:r>
    </w:p>
    <w:p>
      <w:pPr>
        <w:rPr>
          <w:noProof/>
        </w:rPr>
      </w:pPr>
      <w:r>
        <w:rPr>
          <w:noProof/>
        </w:rPr>
        <w:t>För att EU:s momssystem ska fungera väl är det viktigt att beskattningsbara personer som utför leveranser av varor från Nordirland (inbegripet så kallade gemenskapsinterna leveranser) eller gemenskapsinterna förvärv av varor (inbegripet sådana som görs av icke beskattningsbara juridiska personer) som anges i artikel 214, är momsregistrerade i enlighet med EU:s regler. Detta är också nödvändigt för att säkerställa att de frivilliga särskilda ordningarna för beskattningsbara personer som tillhandahåller tjänster till icke beskattningsbara personer eller utför distansförsäljning av varor fungerar korrekt.</w:t>
      </w:r>
    </w:p>
    <w:p>
      <w:pPr>
        <w:rPr>
          <w:noProof/>
        </w:rPr>
      </w:pPr>
      <w:r>
        <w:rPr>
          <w:noProof/>
        </w:rPr>
        <w:t>Ur det perspektivet är det viktigt att beskattningsbara personer (och i förekommande fall icke-beskattningsbara juridiska personer) identifieras i Nordirland via ett separat momsregistreringsnummer för EU som beviljas i enlighet med EU:s regler och som skiljer sig från de eventuella brittiska momsregistreringsnummer (med prefixet ”GB”) som kommer att beviljas enligt Förenade kungarikets lagstiftning. Det är möjligt att detta EU-momsregistreringsnummer måste tilldelas utöver det momsregistreringsnummer som används i Förenade kungariket, t.ex. när ett företag tillhandahåller både varor och tjänster i Nordirland.</w:t>
      </w:r>
    </w:p>
    <w:p>
      <w:pPr>
        <w:rPr>
          <w:noProof/>
        </w:rPr>
      </w:pPr>
      <w:r>
        <w:rPr>
          <w:noProof/>
        </w:rPr>
        <w:t xml:space="preserve">För företag, särskilt de som ägnar sig åt handel med varor till och från Nordirland, bör det vara tydligt och lätt att förstå vilka regler som gäller, dvs. om det är EU:s regler eller de brittiska reglerna som gäller. EU:s momsregistreringsnummer spelar en viktig roll för hur EU:s momssystem fungerar, t.ex. för att motivera undantaget för så kallade gemenskapsinterna leveranser av varor (via Vies-systemet), för att fastställa tillämpliga </w:t>
      </w:r>
      <w:r>
        <w:rPr>
          <w:noProof/>
        </w:rPr>
        <w:lastRenderedPageBreak/>
        <w:t>förfaranden för återbetalning av moms (EU:s system för återbetalning av moms</w:t>
      </w:r>
      <w:r>
        <w:rPr>
          <w:rStyle w:val="FootnoteReference"/>
          <w:noProof/>
        </w:rPr>
        <w:footnoteReference w:id="5"/>
      </w:r>
      <w:r>
        <w:rPr>
          <w:noProof/>
        </w:rPr>
        <w:t xml:space="preserve"> eller det trettonde direktivet</w:t>
      </w:r>
      <w:r>
        <w:rPr>
          <w:rStyle w:val="FootnoteReference"/>
          <w:noProof/>
        </w:rPr>
        <w:footnoteReference w:id="6"/>
      </w:r>
      <w:r>
        <w:rPr>
          <w:noProof/>
        </w:rPr>
        <w:t>), momsgrupper, trepartstransaktioner och kedjetransaktioner (”intermediära aktörer”), call-off lagerarrangemang, ”tullförfarande 42”, ”skyddsnät” (plats för gemenskapsinternt förvärv i den medlemsstat som har utfärdat mervärdesskatten).</w:t>
      </w:r>
    </w:p>
    <w:p>
      <w:pPr>
        <w:rPr>
          <w:noProof/>
        </w:rPr>
      </w:pPr>
      <w:r>
        <w:rPr>
          <w:noProof/>
        </w:rPr>
        <w:t>Det föreslås därför att momsregistreringsnumret för Nordirland ska ha det särskilda prefixet ”XI”. Det krävs ett nytt särskilt prefix eftersom Nordirland inte har någon specifik ISO-kod 3166 – alfa 2 som används för att fastställa prefix för momsregistreringsnummer i EU i enlighet med artikel 215 i mervärdesskattedirektivet. I ISO föreskrivs dock en möjlighet att använda X-koder för territorier som inte har någon specifik kod. Koden ”XI” är därför ett logiskt val.</w:t>
      </w:r>
    </w:p>
    <w:p>
      <w:pPr>
        <w:rPr>
          <w:noProof/>
        </w:rPr>
      </w:pPr>
      <w:r>
        <w:rPr>
          <w:noProof/>
        </w:rPr>
        <w:t>Observera att även om det finns en allmän skyldighet enligt artikel 214 i momsdirektivet att identifiera beskattningsbara personer (och i tillämpliga fall icke beskattningsbara juridiska personer), finns det, med förbehåll för villkoren i artikel 272 i momsdirektivet, även möjlighet att undanta vissa beskattningsbara personer från dessa och andra skyldigheter. Till följd av detta skulle Förenade kungariket kunna välja att begränsa identifieringen genom att använda det särskilda prefixet på de handlare i Nordirland som faktiskt bedriver handel med varor inom EU och utesluta exempelvis de företag som endast försörjer den inhemska marknaden.</w:t>
      </w:r>
    </w:p>
    <w:p>
      <w:pPr>
        <w:rPr>
          <w:noProof/>
        </w:rPr>
      </w:pPr>
      <w:r>
        <w:rPr>
          <w:noProof/>
        </w:rPr>
        <w:t>Som redan nämnts spelar momsregistreringsnumret (med ett korrekt landprefix) en viktig roll i handeln inom EU. Ett giltigt momsregistreringsnummer, med korrekt prefix, är nu ett materiellt villkor för att tillämpa undantaget i artikel 138 i momsdirektivet på så kallat gemenskapsinternt tillhandahållande av varor. Det är också nödvändigt att sökande kan få tillgång till EU:s system för återbetalning av moms.</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noProof/>
        </w:rPr>
      </w:pPr>
      <w:r>
        <w:rPr>
          <w:noProof/>
        </w:rPr>
        <w:t>Den föreslagna användningen av koden ”XI” är förenlig med dess planerade användning för tull- och punktskatteändamål med avseende på Nordirland.</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Förslaget är förenligt med det övergripande genomförandet av protokollet för att säkerställa en snabb och välorganiserad förberedelse av Nordirlands särskilda ställning efter Förenade kungarikets utträde ur EU.</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rPr>
        <w:tab/>
      </w:r>
      <w:r>
        <w:rPr>
          <w:noProof/>
          <w:u w:color="000000"/>
          <w:bdr w:val="nil"/>
        </w:rPr>
        <w:t>Rättslig grund</w:t>
      </w:r>
    </w:p>
    <w:p>
      <w:pPr>
        <w:rPr>
          <w:noProof/>
        </w:rPr>
      </w:pPr>
      <w:r>
        <w:rPr>
          <w:noProof/>
        </w:rPr>
        <w:t>Genom direktivet ändras momsdirektivet på grundval av artikel 113 i fördraget om Europeiska unionens funktionssätt. I denna bestämmelse föreskrivs att rådet enhälligt, i enlighet med ett särskilt lagstiftningsförfarande och efter att ha hört Europaparlamentet och Europeiska ekonomiska och sociala kommittén, ska anta bestämmelser om harmonisering av medlemsstaternas regler på området för indirekt beskattning.</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 xml:space="preserve">Subsidiaritetsprincipen (för icke-exklusiv befogenhet) </w:t>
      </w:r>
    </w:p>
    <w:p>
      <w:pPr>
        <w:pStyle w:val="Text1"/>
        <w:ind w:left="0"/>
        <w:rPr>
          <w:noProof/>
        </w:rPr>
      </w:pPr>
      <w:r>
        <w:rPr>
          <w:noProof/>
        </w:rPr>
        <w:t>Enligt subsidiaritetsprincipen (artikel 5.3 i fördraget om Europeiska unionen) ska åtgärder vidtas på unionsnivå endast om och i den mån som målen för den planerade åtgärden inte i tillräcklig utsträckning kan uppnås av medlemsstaterna och därför, på grund av den planerade åtgärdens omfattning eller verkningar, bättre kan uppnås på unionsnivå.</w:t>
      </w:r>
    </w:p>
    <w:p>
      <w:pPr>
        <w:pStyle w:val="Text1"/>
        <w:ind w:left="0"/>
        <w:rPr>
          <w:noProof/>
        </w:rPr>
      </w:pPr>
      <w:r>
        <w:rPr>
          <w:noProof/>
        </w:rPr>
        <w:t>Momsarrangemangen med avseende på Nordirland är av sådan natur att de inte kan beslutas av enskilda medlemsstater. Momsen är dessutom harmoniserad på EU-nivå och därför krävs det ett förslag från kommissionen om ändring av momsdirektivet för att införa en särskild kod som ska användas för Nordirland i EU:s momssystem.</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Proportionalitetsprincipen</w:t>
      </w:r>
    </w:p>
    <w:p>
      <w:pPr>
        <w:pBdr>
          <w:top w:val="nil"/>
          <w:left w:val="nil"/>
          <w:bottom w:val="nil"/>
          <w:right w:val="nil"/>
          <w:between w:val="nil"/>
          <w:bar w:val="nil"/>
        </w:pBdr>
        <w:spacing w:before="0" w:after="240"/>
        <w:rPr>
          <w:noProof/>
        </w:rPr>
      </w:pPr>
      <w:r>
        <w:rPr>
          <w:noProof/>
        </w:rPr>
        <w:t>Förslaget vad gäller införandet av den särskilda koden för Nordirland är förenligt med proportionalitetsprincipen, det vill säga det går inte utöver vad som är nödvändigt för att uppnå målen i fördragen, särskilt en väl fungerande inre marknad efter Förenade kungarikets utträde ur EU. I likhet med vad som sagts ovan med avseende på subsidiaritetstestet är det inte möjligt för medlemsstaterna att hantera de praktiska aspekterna av Nordirlands särskilda situation i EU:s momssystem utan ett förslag till ändring av momsskattedirektivet.</w:t>
      </w:r>
    </w:p>
    <w:p>
      <w:pPr>
        <w:pStyle w:val="ManualHeading2"/>
        <w:rPr>
          <w:rFonts w:eastAsia="Arial Unicode MS"/>
          <w:noProof/>
          <w:u w:color="000000"/>
          <w:bdr w:val="nil"/>
        </w:rPr>
      </w:pPr>
      <w:r>
        <w:rPr>
          <w:noProof/>
          <w:u w:color="000000"/>
          <w:bdr w:val="nil"/>
        </w:rPr>
        <w:t>•</w:t>
      </w:r>
      <w:r>
        <w:rPr>
          <w:noProof/>
        </w:rPr>
        <w:tab/>
      </w:r>
      <w:r>
        <w:rPr>
          <w:noProof/>
          <w:u w:color="000000"/>
          <w:bdr w:val="nil"/>
        </w:rPr>
        <w:t>Val av instrument</w:t>
      </w:r>
    </w:p>
    <w:p>
      <w:pPr>
        <w:pBdr>
          <w:top w:val="nil"/>
          <w:left w:val="nil"/>
          <w:bottom w:val="nil"/>
          <w:right w:val="nil"/>
          <w:between w:val="nil"/>
          <w:bar w:val="nil"/>
        </w:pBdr>
        <w:spacing w:before="0" w:after="240"/>
        <w:rPr>
          <w:rFonts w:eastAsia="Arial Unicode MS"/>
          <w:noProof/>
        </w:rPr>
      </w:pPr>
      <w:r>
        <w:rPr>
          <w:noProof/>
        </w:rPr>
        <w:t>Ett direktiv föreslås för att ändra mervärdesskattedirektivet.</w:t>
      </w:r>
    </w:p>
    <w:p>
      <w:pPr>
        <w:pStyle w:val="ManualHeading1"/>
        <w:rPr>
          <w:noProof/>
        </w:rPr>
      </w:pPr>
      <w:r>
        <w:rPr>
          <w:noProof/>
        </w:rPr>
        <w:t>4.</w:t>
      </w:r>
      <w:r>
        <w:rPr>
          <w:noProof/>
        </w:rPr>
        <w:tab/>
        <w:t>BUDGETKONSEKVENSER</w:t>
      </w:r>
    </w:p>
    <w:p>
      <w:pPr>
        <w:rPr>
          <w:noProof/>
        </w:rPr>
      </w:pPr>
      <w:r>
        <w:rPr>
          <w:noProof/>
        </w:rPr>
        <w:t>Förslaget påverkar inte unionens budget.</w:t>
      </w:r>
    </w:p>
    <w:p>
      <w:r>
        <w:rPr>
          <w:noProof/>
        </w:rPr>
        <w:t xml:space="preserve">I detta sammanhang påminns det om att i enlighet med artikel 8 andra stycket i protokollet ska inkomster från transaktioner som är beskattningsbara i Nordirland inte överföras till unionen. </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2020/0165 (CNS)</w:t>
      </w:r>
    </w:p>
    <w:p>
      <w:pPr>
        <w:pStyle w:val="Statut"/>
        <w:rPr>
          <w:noProof/>
        </w:rPr>
      </w:pPr>
      <w:r>
        <w:rPr>
          <w:noProof/>
        </w:rPr>
        <w:t>Förslag till</w:t>
      </w:r>
    </w:p>
    <w:p>
      <w:pPr>
        <w:pStyle w:val="Typedudocument"/>
        <w:rPr>
          <w:noProof/>
        </w:rPr>
      </w:pPr>
      <w:r>
        <w:rPr>
          <w:noProof/>
        </w:rPr>
        <w:t>RÅDETS DIREKTIV</w:t>
      </w:r>
    </w:p>
    <w:p>
      <w:pPr>
        <w:pStyle w:val="Titreobjet"/>
        <w:rPr>
          <w:noProof/>
        </w:rPr>
      </w:pPr>
      <w:r>
        <w:rPr>
          <w:noProof/>
        </w:rPr>
        <w:t>om ändring av direktiv 2006/112/EG om ett gemensamt system för mervärdesskatt vad gäller identifiering av beskattningsbara personer i Nordirland</w:t>
      </w:r>
    </w:p>
    <w:p>
      <w:pPr>
        <w:pStyle w:val="Institutionquiagit"/>
        <w:rPr>
          <w:noProof/>
        </w:rPr>
      </w:pPr>
      <w:r>
        <w:rPr>
          <w:noProof/>
        </w:rPr>
        <w:t>EUROPEISKA UNIONENS RÅD HAR ANTAGIT DETTA DIREKTIV</w:t>
      </w:r>
    </w:p>
    <w:p>
      <w:pPr>
        <w:rPr>
          <w:noProof/>
        </w:rPr>
      </w:pPr>
      <w:r>
        <w:rPr>
          <w:noProof/>
        </w:rPr>
        <w:t>med beaktande av fördraget om Europeiska unionens funktionssätt, särskilt artikel 113 jämförd med artikel 131 i avtalet om Förenade konungariket Storbritannien och Nordirlands utträde ur Europeiska unionen och Europeiska atomenergigemenskapen</w:t>
      </w:r>
      <w:r>
        <w:rPr>
          <w:rStyle w:val="FootnoteReference"/>
          <w:noProof/>
        </w:rPr>
        <w:footnoteReference w:id="7"/>
      </w:r>
      <w:r>
        <w:rPr>
          <w:noProof/>
        </w:rPr>
        <w:t>,</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Europaparlamentets yttrande</w:t>
      </w:r>
      <w:r>
        <w:rPr>
          <w:rStyle w:val="FootnoteReference"/>
          <w:noProof/>
        </w:rPr>
        <w:footnoteReference w:id="8"/>
      </w:r>
      <w:r>
        <w:rPr>
          <w:noProof/>
        </w:rPr>
        <w:t>,</w:t>
      </w:r>
    </w:p>
    <w:p>
      <w:pPr>
        <w:rPr>
          <w:noProof/>
        </w:rPr>
      </w:pPr>
      <w:r>
        <w:rPr>
          <w:noProof/>
        </w:rPr>
        <w:t>med beaktande av Europeiska ekonomiska och sociala kommitténs yttrande</w:t>
      </w:r>
      <w:r>
        <w:rPr>
          <w:rStyle w:val="FootnoteReference"/>
          <w:noProof/>
        </w:rPr>
        <w:footnoteReference w:id="9"/>
      </w:r>
      <w:r>
        <w:rPr>
          <w:noProof/>
        </w:rPr>
        <w:t xml:space="preserve">, </w:t>
      </w:r>
    </w:p>
    <w:p>
      <w:pPr>
        <w:rPr>
          <w:noProof/>
        </w:rPr>
      </w:pPr>
      <w:r>
        <w:rPr>
          <w:noProof/>
        </w:rPr>
        <w:t>i enlighet med ett särskilt lagstiftningsförfarande, och</w:t>
      </w:r>
    </w:p>
    <w:p>
      <w:pPr>
        <w:rPr>
          <w:noProof/>
        </w:rPr>
      </w:pPr>
      <w:r>
        <w:rPr>
          <w:noProof/>
        </w:rPr>
        <w:t>av följande skäl:</w:t>
      </w:r>
    </w:p>
    <w:p>
      <w:pPr>
        <w:pStyle w:val="ManualConsidrant"/>
        <w:rPr>
          <w:noProof/>
        </w:rPr>
      </w:pPr>
      <w:r>
        <w:t>(1)</w:t>
      </w:r>
      <w:r>
        <w:tab/>
      </w:r>
      <w:r>
        <w:rPr>
          <w:noProof/>
        </w:rPr>
        <w:t xml:space="preserve">Förenade kungariket utträdde ur Europeiska unionen den 31 januari 2020 på grundval av avtalet om Förenade konungariket Storbritannien och Nordirlands utträde ur Europeiska unionen och Europeiska atomenergigemenskapen (nedan kallat </w:t>
      </w:r>
      <w:r>
        <w:rPr>
          <w:i/>
          <w:iCs/>
          <w:noProof/>
        </w:rPr>
        <w:t>utträdesavtalet</w:t>
      </w:r>
      <w:r>
        <w:rPr>
          <w:noProof/>
        </w:rPr>
        <w:t>). Utträdesavtalet föreskriver en övergångsperiod som löper ut den 31 december 2020. Fram till detta datum ska unionens lagstiftning om mervärdesskatt fortsätta att tillämpas på och i Förenade kungariket. Efter övergångsperioden kommer unionens lagstiftning om mervärdesskatt inte längre att vara tillämplig på eller i Förenade kungariket.</w:t>
      </w:r>
    </w:p>
    <w:p>
      <w:pPr>
        <w:pStyle w:val="ManualConsidrant"/>
        <w:rPr>
          <w:noProof/>
        </w:rPr>
      </w:pPr>
      <w:r>
        <w:t>(2)</w:t>
      </w:r>
      <w:r>
        <w:tab/>
      </w:r>
      <w:r>
        <w:rPr>
          <w:noProof/>
        </w:rPr>
        <w:t xml:space="preserve">Enligt artikel 8 i protokollet om Irland/Nordirland (nedan kallat </w:t>
      </w:r>
      <w:r>
        <w:rPr>
          <w:i/>
          <w:iCs/>
          <w:noProof/>
        </w:rPr>
        <w:t>protokollet</w:t>
      </w:r>
      <w:r>
        <w:rPr>
          <w:noProof/>
        </w:rPr>
        <w:t>), som är en del av utträdesavtalet, kommer unionslagstiftningen om mervärdesskatt emellertid, vad gäller varor, att fortsätta tillämpas i Nordirland</w:t>
      </w:r>
      <w:r>
        <w:rPr>
          <w:rStyle w:val="FootnoteReference"/>
          <w:noProof/>
        </w:rPr>
        <w:footnoteReference w:id="10"/>
      </w:r>
      <w:r>
        <w:rPr>
          <w:noProof/>
        </w:rPr>
        <w:t xml:space="preserve"> även efter övergångsperioden, i syfte att undvika en hård gräns mellan Irland och Nordirland. </w:t>
      </w:r>
    </w:p>
    <w:p>
      <w:pPr>
        <w:pStyle w:val="ManualConsidrant"/>
        <w:rPr>
          <w:noProof/>
        </w:rPr>
      </w:pPr>
      <w:r>
        <w:t>(3)</w:t>
      </w:r>
      <w:r>
        <w:tab/>
      </w:r>
      <w:r>
        <w:rPr>
          <w:noProof/>
        </w:rPr>
        <w:t>Därför kommer beskattningsbara personer och vissa icke beskattningsbara juridiska personer att omfattas av unionslagstiftningen om mervärdesskatt när det gäller vissa transaktioner med varor i Nordirland, medan de kommer att omfattas av Förenade kungarikets lagstiftning om mervärdesskatt för alla övriga transaktioner i Förenade kungariket och Nordirland.</w:t>
      </w:r>
    </w:p>
    <w:p>
      <w:pPr>
        <w:pStyle w:val="ManualConsidrant"/>
        <w:rPr>
          <w:noProof/>
        </w:rPr>
      </w:pPr>
      <w:r>
        <w:t>(4)</w:t>
      </w:r>
      <w:r>
        <w:tab/>
      </w:r>
      <w:r>
        <w:rPr>
          <w:noProof/>
        </w:rPr>
        <w:t xml:space="preserve">För att unionens mervärdesskattesystem ska fungera väl är det viktigt att ett tydligt registreringsnummer för mervärdesskatt tilldelas varje beskattningsbar person som </w:t>
      </w:r>
      <w:r>
        <w:rPr>
          <w:noProof/>
        </w:rPr>
        <w:lastRenderedPageBreak/>
        <w:t>utför leveranser av varor i Nordirland eller som gör gemenskapsinterna förvärv av varor (inbegripet icke beskattningsbara juridiska personer) som anges i artikel 214.1 a, b och c i rådets direktiv 2006/112/EG</w:t>
      </w:r>
      <w:r>
        <w:rPr>
          <w:rStyle w:val="FootnoteReference"/>
          <w:noProof/>
        </w:rPr>
        <w:footnoteReference w:id="11"/>
      </w:r>
      <w:r>
        <w:rPr>
          <w:noProof/>
        </w:rPr>
        <w:t>, eller till en beskattningsbar person med avseende på användningen av de frivilliga särskilda ordningarna för beskattningsbara personer som tillhandahåller tjänster till icke beskattningsbara personer eller som utför distansförsäljning av varor.</w:t>
      </w:r>
    </w:p>
    <w:p>
      <w:pPr>
        <w:pStyle w:val="ManualConsidrant"/>
        <w:rPr>
          <w:noProof/>
        </w:rPr>
      </w:pPr>
      <w:r>
        <w:t>(5)</w:t>
      </w:r>
      <w:r>
        <w:tab/>
      </w:r>
      <w:r>
        <w:rPr>
          <w:noProof/>
        </w:rPr>
        <w:t>Därför bör särskilda registreringsnummer för mervärdesskatt med ett särskilt prefix införas i Nordirland för att skilja mellan beskattningsbara personer och icke-beskattningsbara juridiska personer vilkas transaktioner med varor i Nordirland omfattas av unionslagstiftningen om mervärdesskatt, å ena sidan, och personer som utför andra transaktioner för vilka de är registrerade för mervärdesskatt i Förenade kungariket å den andra.</w:t>
      </w:r>
    </w:p>
    <w:p>
      <w:pPr>
        <w:pStyle w:val="ManualConsidrant"/>
        <w:rPr>
          <w:noProof/>
        </w:rPr>
      </w:pPr>
      <w:r>
        <w:t>(6)</w:t>
      </w:r>
      <w:r>
        <w:tab/>
      </w:r>
      <w:r>
        <w:rPr>
          <w:noProof/>
        </w:rPr>
        <w:t>Som regel baseras prefix för registreringsnummer för mervärdesskatt i unionen på ISO kod 3166 – alfa 2 för länder. Nordirland har ingen särskild kod enligt detta system, men i ISO föreskrivs möjligheten att använda X-koder för territorier som inte har någon specifik kod. Därför är det lämpligt att föreslå koden ”XI” för Nordirland.</w:t>
      </w:r>
    </w:p>
    <w:p>
      <w:pPr>
        <w:pStyle w:val="ManualConsidrant"/>
        <w:rPr>
          <w:noProof/>
        </w:rPr>
      </w:pPr>
      <w:r>
        <w:t>(7)</w:t>
      </w:r>
      <w:r>
        <w:tab/>
      </w:r>
      <w:r>
        <w:rPr>
          <w:noProof/>
        </w:rPr>
        <w:t>Direktiv 2006/112/EG bör därför ändras i enlighet med detta.</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I artikel 215 i direktiv 2006/112/EG ska följande läggas till som tredje stycket:</w:t>
      </w:r>
    </w:p>
    <w:p>
      <w:pPr>
        <w:rPr>
          <w:noProof/>
        </w:rPr>
      </w:pPr>
      <w:r>
        <w:rPr>
          <w:noProof/>
        </w:rPr>
        <w:t>”Prefixet ”XI” ska användas för Nordirland.”</w:t>
      </w:r>
    </w:p>
    <w:p>
      <w:pPr>
        <w:pStyle w:val="Titrearticle"/>
        <w:rPr>
          <w:noProof/>
        </w:rPr>
      </w:pPr>
      <w:r>
        <w:rPr>
          <w:noProof/>
        </w:rPr>
        <w:t>Artikel 2</w:t>
      </w:r>
    </w:p>
    <w:p>
      <w:pPr>
        <w:pStyle w:val="ManualNumPar1"/>
        <w:rPr>
          <w:noProof/>
        </w:rPr>
      </w:pPr>
      <w:r>
        <w:rPr>
          <w:noProof/>
        </w:rPr>
        <w:t>1.</w:t>
      </w:r>
      <w:r>
        <w:rPr>
          <w:noProof/>
        </w:rPr>
        <w:tab/>
        <w:t>Medlemsstaterna ska sätta i kraft de bestämmelser i lagar och andra författningar som är nödvändiga för att följa detta direktiv senast den 31 december 2020. De ska genast överlämna texten till dessa bestämmelser till kommissionen.</w:t>
      </w:r>
    </w:p>
    <w:p>
      <w:pPr>
        <w:pStyle w:val="Text1"/>
        <w:rPr>
          <w:noProof/>
        </w:rPr>
      </w:pPr>
      <w:r>
        <w:rPr>
          <w:noProof/>
        </w:rPr>
        <w:t xml:space="preserve">När en medlemsstat antar dessa bestämmelser ska de innehålla en hänvisning till detta direktiv eller åtföljas av en sådan hänvisning när de offentliggörs. Närmare föreskrifter om hur hänvisningen ska göras </w:t>
      </w:r>
      <w:r>
        <w:rPr>
          <w:noProof/>
          <w:snapToGrid w:val="0"/>
        </w:rPr>
        <w:t>och om hur uppgiften ska formuleras</w:t>
      </w:r>
      <w:r>
        <w:rPr>
          <w:noProof/>
        </w:rPr>
        <w:t xml:space="preserve"> ska varje medlemsstat själv utfärda.</w:t>
      </w:r>
    </w:p>
    <w:p>
      <w:pPr>
        <w:pStyle w:val="ManualNumPar1"/>
        <w:rPr>
          <w:noProof/>
        </w:rPr>
      </w:pPr>
      <w:r>
        <w:rPr>
          <w:noProof/>
        </w:rPr>
        <w:t>2.</w:t>
      </w:r>
      <w:r>
        <w:rPr>
          <w:noProof/>
        </w:rPr>
        <w:tab/>
        <w:t>Medlemsstaterna ska till kommissionen överlämna texten till de centrala bestämmelser i nationell rätt som de antar inom det område som omfattas av detta direktiv.</w:t>
      </w:r>
    </w:p>
    <w:p>
      <w:pPr>
        <w:pStyle w:val="Titrearticle"/>
        <w:rPr>
          <w:noProof/>
        </w:rPr>
      </w:pPr>
      <w:r>
        <w:rPr>
          <w:noProof/>
        </w:rPr>
        <w:t>Artikel 3</w:t>
      </w:r>
    </w:p>
    <w:p>
      <w:pPr>
        <w:rPr>
          <w:noProof/>
        </w:rPr>
      </w:pPr>
      <w:r>
        <w:rPr>
          <w:noProof/>
        </w:rPr>
        <w:t xml:space="preserve">Detta direktiv träder i kraft dagen efter det att det har offentliggjorts i </w:t>
      </w:r>
      <w:r>
        <w:rPr>
          <w:i/>
          <w:iCs/>
          <w:noProof/>
        </w:rPr>
        <w:t>Europeiska unionens officiella tidning</w:t>
      </w:r>
      <w:r>
        <w:rPr>
          <w:noProof/>
        </w:rPr>
        <w:t>.</w:t>
      </w:r>
    </w:p>
    <w:p>
      <w:pPr>
        <w:pStyle w:val="Titrearticle"/>
        <w:rPr>
          <w:noProof/>
        </w:rPr>
      </w:pPr>
      <w:r>
        <w:rPr>
          <w:noProof/>
        </w:rPr>
        <w:lastRenderedPageBreak/>
        <w:t>Artikel 4</w:t>
      </w:r>
    </w:p>
    <w:p>
      <w:pPr>
        <w:keepNext/>
        <w:keepLines/>
        <w:rPr>
          <w:noProof/>
        </w:rPr>
      </w:pPr>
      <w:r>
        <w:rPr>
          <w:noProof/>
        </w:rPr>
        <w:t>Detta direktiv riktar sig till medlemsstaterna.</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Avtal om Förenade konungariket Storbritannien och Nordirlands utträde ur Europeiska unionen och Europeiska atomenergigemenskapen (EUT C 384 I, 12.11.2019, s. 1).</w:t>
      </w:r>
    </w:p>
  </w:footnote>
  <w:footnote w:id="2">
    <w:p>
      <w:pPr>
        <w:pStyle w:val="FootnoteText"/>
      </w:pPr>
      <w:r>
        <w:rPr>
          <w:rStyle w:val="FootnoteReference"/>
        </w:rPr>
        <w:footnoteRef/>
      </w:r>
      <w:r>
        <w:tab/>
        <w:t>Se artiklarna 126 och 127 i utträdesavtalet.</w:t>
      </w:r>
    </w:p>
  </w:footnote>
  <w:footnote w:id="3">
    <w:p>
      <w:pPr>
        <w:pStyle w:val="FootnoteText"/>
      </w:pPr>
      <w:r>
        <w:rPr>
          <w:rStyle w:val="FootnoteReference"/>
        </w:rPr>
        <w:footnoteRef/>
      </w:r>
      <w:r>
        <w:tab/>
        <w:t>EUT C 384 I, 12.11.2019, s. 92.</w:t>
      </w:r>
    </w:p>
  </w:footnote>
  <w:footnote w:id="4">
    <w:p>
      <w:pPr>
        <w:pStyle w:val="FootnoteText"/>
      </w:pPr>
      <w:r>
        <w:rPr>
          <w:rStyle w:val="FootnoteReference"/>
        </w:rPr>
        <w:footnoteRef/>
      </w:r>
      <w:r>
        <w:tab/>
        <w:t>Rådets direktiv 2006/112/EG av den 28 november 2006 om ett gemensamt system för mervärdesskatt (EUT L 347, 11.12.2006, s. 1).</w:t>
      </w:r>
    </w:p>
  </w:footnote>
  <w:footnote w:id="5">
    <w:p>
      <w:pPr>
        <w:pStyle w:val="FootnoteText"/>
      </w:pPr>
      <w:r>
        <w:rPr>
          <w:rStyle w:val="FootnoteReference"/>
        </w:rPr>
        <w:footnoteRef/>
      </w:r>
      <w:r>
        <w:tab/>
        <w:t>Rådets direktiv 2008/9/EG av den 12 februari 2008 om fastställande av närmare regler för återbetalning enligt direktiv 2006/112/EG av mervärdesskatt till beskattningsbara personer som inte är etablerade i den återbetalande medlemsstaten men i en annan medlemsstat (EUT L 44, 20.2.2008, s. 23).</w:t>
      </w:r>
    </w:p>
  </w:footnote>
  <w:footnote w:id="6">
    <w:p>
      <w:pPr>
        <w:pStyle w:val="FootnoteText"/>
      </w:pPr>
      <w:r>
        <w:rPr>
          <w:rStyle w:val="FootnoteReference"/>
        </w:rPr>
        <w:footnoteRef/>
      </w:r>
      <w:r>
        <w:tab/>
        <w:t>Rådets trettonde direktiv 86/560/EEG av den 17 november 1986 om harmonisering av medlemsstaternas lagstiftning om omsättningsskatter – Regler om återbetalning av mervärdeskatt till skattskyldiga personer som inte är etablerade i gemenskapens territorium (EGT L 326, 21.11.1986, s. 40).</w:t>
      </w:r>
    </w:p>
  </w:footnote>
  <w:footnote w:id="7">
    <w:p>
      <w:pPr>
        <w:pStyle w:val="FootnoteText"/>
        <w:rPr>
          <w:lang w:val="fr-BE"/>
        </w:rPr>
      </w:pPr>
      <w:r>
        <w:rPr>
          <w:rStyle w:val="FootnoteReference"/>
        </w:rPr>
        <w:footnoteRef/>
      </w:r>
      <w:r>
        <w:rPr>
          <w:lang w:val="fr-BE"/>
        </w:rPr>
        <w:tab/>
        <w:t>EUT L 29, 31.1.2020, s. 7.</w:t>
      </w:r>
    </w:p>
  </w:footnote>
  <w:footnote w:id="8">
    <w:p>
      <w:pPr>
        <w:pStyle w:val="FootnoteText"/>
        <w:rPr>
          <w:lang w:val="fr-BE"/>
        </w:rPr>
      </w:pPr>
      <w:r>
        <w:rPr>
          <w:rStyle w:val="FootnoteReference"/>
        </w:rPr>
        <w:footnoteRef/>
      </w:r>
      <w:r>
        <w:rPr>
          <w:lang w:val="fr-BE"/>
        </w:rPr>
        <w:tab/>
        <w:t>EUT C , , s. .</w:t>
      </w:r>
    </w:p>
  </w:footnote>
  <w:footnote w:id="9">
    <w:p>
      <w:pPr>
        <w:pStyle w:val="FootnoteText"/>
      </w:pPr>
      <w:r>
        <w:rPr>
          <w:rStyle w:val="FootnoteReference"/>
        </w:rPr>
        <w:footnoteRef/>
      </w:r>
      <w:r>
        <w:tab/>
        <w:t>EUT C , , s. .</w:t>
      </w:r>
    </w:p>
  </w:footnote>
  <w:footnote w:id="10">
    <w:p>
      <w:pPr>
        <w:pStyle w:val="FootnoteText"/>
      </w:pPr>
      <w:r>
        <w:rPr>
          <w:rStyle w:val="FootnoteReference"/>
        </w:rPr>
        <w:footnoteRef/>
      </w:r>
      <w:r>
        <w:tab/>
        <w:t>Med förbehåll för det demokratiska samtycke till fortsatt tillämpning av artikel 8 i protokollet som avses i artikel 18 i protokollet om Irland/Nordirland.</w:t>
      </w:r>
    </w:p>
  </w:footnote>
  <w:footnote w:id="11">
    <w:p>
      <w:pPr>
        <w:pStyle w:val="FootnoteText"/>
      </w:pPr>
      <w:r>
        <w:rPr>
          <w:rStyle w:val="FootnoteReference"/>
        </w:rPr>
        <w:footnoteRef/>
      </w:r>
      <w:r>
        <w:tab/>
        <w:t>Rådets direktiv 2006/112/EG av den 28 november 2006 om ett gemensamt system för mervärdesskatt (EUT L 347, 11.12.2006,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EA6F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18A5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1F079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186C4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CE05B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22A8C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4563F64"/>
    <w:lvl w:ilvl="0">
      <w:start w:val="1"/>
      <w:numFmt w:val="decimal"/>
      <w:pStyle w:val="ListNumber"/>
      <w:lvlText w:val="%1."/>
      <w:lvlJc w:val="left"/>
      <w:pPr>
        <w:tabs>
          <w:tab w:val="num" w:pos="360"/>
        </w:tabs>
        <w:ind w:left="360" w:hanging="360"/>
      </w:pPr>
    </w:lvl>
  </w:abstractNum>
  <w:abstractNum w:abstractNumId="7">
    <w:nsid w:val="FFFFFF89"/>
    <w:multiLevelType w:val="singleLevel"/>
    <w:tmpl w:val="6BC854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0 10:00: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D68F80B-3FAD-4C33-9DFA-9AAE369EFDA8"/>
    <w:docVar w:name="LW_COVERPAGE_TYPE" w:val="1"/>
    <w:docVar w:name="LW_CROSSREFERENCE" w:val="&lt;UNUSED&gt;"/>
    <w:docVar w:name="LW_DocType" w:val="COM"/>
    <w:docVar w:name="LW_EMISSION" w:val="7.8.2020"/>
    <w:docVar w:name="LW_EMISSION_ISODATE" w:val="2020-08-07"/>
    <w:docVar w:name="LW_EMISSION_LOCATION" w:val="BRX"/>
    <w:docVar w:name="LW_EMISSION_PREFIX" w:val="Bryssel den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NS"/>
    <w:docVar w:name="LW_REF.II.NEW.CP_NUMBER" w:val="0165"/>
    <w:docVar w:name="LW_REF.II.NEW.CP_YEAR" w:val="2020"/>
    <w:docVar w:name="LW_REF.INST.NEW" w:val="COM"/>
    <w:docVar w:name="LW_REF.INST.NEW_ADOPTED" w:val="final"/>
    <w:docVar w:name="LW_REF.INST.NEW_TEXT" w:val="(2020) 3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ändring av direktiv 2006/112/EG om ett gemensamt system för mervärdesskatt vad gäller identifiering av beskattningsbara personer i Nordirland"/>
    <w:docVar w:name="LW_TYPE.DOC.CP" w:val="RÅDETS DIREKT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1E55-5ECD-4A46-9066-2920FCF1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1668</Words>
  <Characters>10510</Characters>
  <Application>Microsoft Office Word</Application>
  <DocSecurity>0</DocSecurity>
  <Lines>175</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2020-06-16T12:20:00Z</cp:lastPrinted>
  <dcterms:created xsi:type="dcterms:W3CDTF">2020-08-07T06:57:00Z</dcterms:created>
  <dcterms:modified xsi:type="dcterms:W3CDTF">2020-08-10T08:00:00Z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